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FF0000"/>
          <w:sz w:val="36"/>
          <w:szCs w:val="36"/>
        </w:rPr>
      </w:pPr>
    </w:p>
    <w:p>
      <w:pPr>
        <w:rPr>
          <w:color w:val="FF0000"/>
          <w:sz w:val="36"/>
          <w:szCs w:val="36"/>
        </w:rPr>
      </w:pPr>
    </w:p>
    <w:p>
      <w:pPr>
        <w:rPr>
          <w:sz w:val="36"/>
          <w:szCs w:val="36"/>
        </w:rPr>
      </w:pPr>
    </w:p>
    <w:p>
      <w:pPr>
        <w:rPr>
          <w:sz w:val="36"/>
          <w:szCs w:val="36"/>
        </w:rPr>
      </w:pPr>
    </w:p>
    <w:p>
      <w:pPr>
        <w:rPr>
          <w:sz w:val="36"/>
          <w:szCs w:val="36"/>
        </w:rPr>
      </w:pPr>
    </w:p>
    <w:p>
      <w:pPr>
        <w:adjustRightInd w:val="0"/>
        <w:snapToGrid w:val="0"/>
        <w:jc w:val="center"/>
        <w:outlineLvl w:val="0"/>
        <w:rPr>
          <w:bCs/>
          <w:sz w:val="72"/>
          <w:szCs w:val="72"/>
        </w:rPr>
      </w:pPr>
      <w:r>
        <w:rPr>
          <w:bCs/>
          <w:sz w:val="72"/>
          <w:szCs w:val="72"/>
        </w:rPr>
        <w:t>建设项目环境影响报告表</w:t>
      </w:r>
    </w:p>
    <w:p>
      <w:pPr>
        <w:adjustRightInd w:val="0"/>
        <w:snapToGrid w:val="0"/>
        <w:spacing w:before="192" w:beforeLines="80"/>
        <w:jc w:val="center"/>
        <w:rPr>
          <w:bCs/>
          <w:sz w:val="48"/>
          <w:szCs w:val="48"/>
        </w:rPr>
      </w:pPr>
      <w:r>
        <w:rPr>
          <w:bCs/>
          <w:sz w:val="48"/>
          <w:szCs w:val="48"/>
        </w:rPr>
        <w:t>（污染影响类）</w:t>
      </w:r>
    </w:p>
    <w:p>
      <w:pPr>
        <w:jc w:val="center"/>
        <w:rPr>
          <w:kern w:val="44"/>
          <w:sz w:val="44"/>
          <w:szCs w:val="44"/>
        </w:rPr>
      </w:pPr>
    </w:p>
    <w:p>
      <w:pPr>
        <w:jc w:val="center"/>
        <w:rPr>
          <w:sz w:val="52"/>
          <w:szCs w:val="52"/>
        </w:rPr>
      </w:pPr>
    </w:p>
    <w:p>
      <w:pPr>
        <w:ind w:firstLine="1040"/>
        <w:rPr>
          <w:sz w:val="44"/>
          <w:szCs w:val="44"/>
        </w:rPr>
      </w:pPr>
    </w:p>
    <w:p>
      <w:pPr>
        <w:ind w:firstLine="1040"/>
        <w:rPr>
          <w:color w:val="FF0000"/>
          <w:sz w:val="44"/>
          <w:szCs w:val="44"/>
        </w:rPr>
      </w:pPr>
    </w:p>
    <w:p>
      <w:pPr>
        <w:ind w:firstLine="1040"/>
        <w:rPr>
          <w:color w:val="FF0000"/>
          <w:sz w:val="44"/>
          <w:szCs w:val="44"/>
        </w:rPr>
      </w:pPr>
    </w:p>
    <w:p>
      <w:pPr>
        <w:ind w:firstLine="1040"/>
        <w:rPr>
          <w:color w:val="FF0000"/>
          <w:sz w:val="44"/>
          <w:szCs w:val="44"/>
        </w:rPr>
      </w:pPr>
    </w:p>
    <w:p>
      <w:pPr>
        <w:adjustRightInd w:val="0"/>
        <w:snapToGrid w:val="0"/>
        <w:spacing w:line="288" w:lineRule="auto"/>
        <w:ind w:firstLine="720" w:firstLineChars="200"/>
        <w:jc w:val="left"/>
        <w:rPr>
          <w:sz w:val="36"/>
          <w:szCs w:val="36"/>
          <w:u w:val="single"/>
        </w:rPr>
      </w:pPr>
      <w:r>
        <w:rPr>
          <w:sz w:val="36"/>
          <w:szCs w:val="36"/>
        </w:rPr>
        <w:t>项目名称：</w:t>
      </w:r>
      <w:r>
        <w:rPr>
          <w:rFonts w:hint="eastAsia"/>
          <w:sz w:val="36"/>
          <w:szCs w:val="36"/>
          <w:u w:val="single"/>
        </w:rPr>
        <w:t>江西德朗实业有限公司年产600万个汽车波纹金属软管项目</w:t>
      </w:r>
    </w:p>
    <w:p>
      <w:pPr>
        <w:adjustRightInd w:val="0"/>
        <w:snapToGrid w:val="0"/>
        <w:spacing w:line="288" w:lineRule="auto"/>
        <w:ind w:firstLine="688" w:firstLineChars="200"/>
        <w:jc w:val="left"/>
        <w:rPr>
          <w:spacing w:val="-8"/>
          <w:sz w:val="36"/>
          <w:szCs w:val="36"/>
          <w:u w:val="single"/>
        </w:rPr>
      </w:pPr>
      <w:r>
        <w:rPr>
          <w:spacing w:val="-8"/>
          <w:sz w:val="36"/>
          <w:szCs w:val="36"/>
        </w:rPr>
        <w:t>建设单位（盖章）：</w:t>
      </w:r>
      <w:r>
        <w:rPr>
          <w:rFonts w:hint="eastAsia"/>
          <w:sz w:val="36"/>
          <w:szCs w:val="36"/>
          <w:u w:val="single"/>
        </w:rPr>
        <w:t>江西德朗实业有限公司</w:t>
      </w:r>
    </w:p>
    <w:p>
      <w:pPr>
        <w:adjustRightInd w:val="0"/>
        <w:snapToGrid w:val="0"/>
        <w:spacing w:line="288" w:lineRule="auto"/>
        <w:ind w:firstLine="720" w:firstLineChars="200"/>
        <w:jc w:val="left"/>
        <w:rPr>
          <w:sz w:val="36"/>
          <w:szCs w:val="36"/>
          <w:u w:val="single"/>
        </w:rPr>
      </w:pPr>
      <w:r>
        <w:rPr>
          <w:sz w:val="36"/>
          <w:szCs w:val="36"/>
        </w:rPr>
        <w:t>编制日期：</w:t>
      </w:r>
      <w:r>
        <w:rPr>
          <w:sz w:val="36"/>
          <w:szCs w:val="36"/>
          <w:u w:val="single"/>
        </w:rPr>
        <w:t>2021年</w:t>
      </w:r>
      <w:r>
        <w:rPr>
          <w:rFonts w:hint="eastAsia"/>
          <w:color w:val="FF0000"/>
          <w:sz w:val="36"/>
          <w:szCs w:val="36"/>
          <w:u w:val="single"/>
        </w:rPr>
        <w:t>11</w:t>
      </w:r>
      <w:r>
        <w:rPr>
          <w:sz w:val="36"/>
          <w:szCs w:val="36"/>
          <w:u w:val="single"/>
        </w:rPr>
        <w:t>月</w:t>
      </w:r>
    </w:p>
    <w:p>
      <w:pPr>
        <w:adjustRightInd w:val="0"/>
        <w:snapToGrid w:val="0"/>
        <w:spacing w:line="288" w:lineRule="auto"/>
        <w:ind w:firstLine="1040"/>
        <w:rPr>
          <w:color w:val="FF0000"/>
          <w:sz w:val="36"/>
          <w:szCs w:val="36"/>
          <w:u w:val="single"/>
        </w:rPr>
      </w:pPr>
      <w:bookmarkStart w:id="0" w:name="_Hlk57884087"/>
    </w:p>
    <w:p>
      <w:pPr>
        <w:adjustRightInd w:val="0"/>
        <w:snapToGrid w:val="0"/>
        <w:spacing w:line="288" w:lineRule="auto"/>
        <w:ind w:firstLine="1040"/>
        <w:rPr>
          <w:color w:val="FF0000"/>
          <w:sz w:val="36"/>
          <w:szCs w:val="36"/>
        </w:rPr>
      </w:pPr>
    </w:p>
    <w:p>
      <w:pPr>
        <w:adjustRightInd w:val="0"/>
        <w:snapToGrid w:val="0"/>
        <w:spacing w:line="288" w:lineRule="auto"/>
        <w:ind w:firstLine="1040"/>
        <w:rPr>
          <w:color w:val="FF0000"/>
          <w:sz w:val="36"/>
          <w:szCs w:val="36"/>
        </w:rPr>
      </w:pPr>
    </w:p>
    <w:p>
      <w:pPr>
        <w:adjustRightInd w:val="0"/>
        <w:snapToGrid w:val="0"/>
        <w:spacing w:line="288" w:lineRule="auto"/>
        <w:ind w:firstLine="1040"/>
        <w:rPr>
          <w:color w:val="FF0000"/>
          <w:sz w:val="36"/>
          <w:szCs w:val="36"/>
        </w:rPr>
      </w:pPr>
    </w:p>
    <w:p>
      <w:pPr>
        <w:adjustRightInd w:val="0"/>
        <w:snapToGrid w:val="0"/>
        <w:spacing w:line="288" w:lineRule="auto"/>
        <w:ind w:firstLine="1040"/>
        <w:rPr>
          <w:color w:val="FF0000"/>
          <w:sz w:val="36"/>
          <w:szCs w:val="36"/>
        </w:rPr>
      </w:pPr>
    </w:p>
    <w:bookmarkEnd w:id="0"/>
    <w:p>
      <w:pPr>
        <w:adjustRightInd w:val="0"/>
        <w:snapToGrid w:val="0"/>
        <w:spacing w:line="288" w:lineRule="auto"/>
        <w:jc w:val="center"/>
        <w:rPr>
          <w:sz w:val="36"/>
          <w:szCs w:val="36"/>
        </w:rPr>
      </w:pPr>
      <w:r>
        <w:rPr>
          <w:sz w:val="36"/>
          <w:szCs w:val="36"/>
        </w:rPr>
        <w:t>中华人民共和国生态环境部制</w:t>
      </w:r>
    </w:p>
    <w:p>
      <w:pPr>
        <w:adjustRightInd w:val="0"/>
        <w:snapToGrid w:val="0"/>
        <w:spacing w:line="288" w:lineRule="auto"/>
        <w:ind w:firstLine="1040"/>
        <w:rPr>
          <w:color w:val="FF0000"/>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pPr>
        <w:pStyle w:val="35"/>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40"/>
        <w:tblW w:w="103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3"/>
        <w:gridCol w:w="1724"/>
        <w:gridCol w:w="2175"/>
        <w:gridCol w:w="4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建设项目名称</w:t>
            </w:r>
          </w:p>
        </w:tc>
        <w:tc>
          <w:tcPr>
            <w:tcW w:w="8625" w:type="dxa"/>
            <w:gridSpan w:val="3"/>
            <w:vAlign w:val="center"/>
          </w:tcPr>
          <w:p>
            <w:pPr>
              <w:adjustRightInd w:val="0"/>
              <w:snapToGrid w:val="0"/>
              <w:jc w:val="center"/>
              <w:rPr>
                <w:sz w:val="24"/>
              </w:rPr>
            </w:pPr>
            <w:r>
              <w:rPr>
                <w:rFonts w:hint="eastAsia"/>
                <w:sz w:val="24"/>
              </w:rPr>
              <w:t>江西德朗实业有限公司年产600万个</w:t>
            </w:r>
            <w:commentRangeStart w:id="0"/>
            <w:r>
              <w:rPr>
                <w:rFonts w:hint="eastAsia"/>
                <w:sz w:val="24"/>
              </w:rPr>
              <w:t>汽车波纹金属软</w:t>
            </w:r>
            <w:commentRangeEnd w:id="0"/>
            <w:r>
              <w:commentReference w:id="0"/>
            </w:r>
            <w:r>
              <w:rPr>
                <w:rFonts w:hint="eastAsia"/>
                <w:sz w:val="24"/>
              </w:rPr>
              <w:t>管项目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项目代码</w:t>
            </w:r>
          </w:p>
        </w:tc>
        <w:tc>
          <w:tcPr>
            <w:tcW w:w="8625" w:type="dxa"/>
            <w:gridSpan w:val="3"/>
            <w:vAlign w:val="center"/>
          </w:tcPr>
          <w:p>
            <w:pPr>
              <w:adjustRightInd w:val="0"/>
              <w:snapToGrid w:val="0"/>
              <w:jc w:val="center"/>
              <w:rPr>
                <w:sz w:val="24"/>
              </w:rPr>
            </w:pPr>
            <w:r>
              <w:rPr>
                <w:sz w:val="24"/>
              </w:rPr>
              <w:t>2020-360121-36-03-019539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建设单位联系人</w:t>
            </w:r>
          </w:p>
        </w:tc>
        <w:tc>
          <w:tcPr>
            <w:tcW w:w="1724" w:type="dxa"/>
            <w:vAlign w:val="center"/>
          </w:tcPr>
          <w:p>
            <w:pPr>
              <w:adjustRightInd w:val="0"/>
              <w:snapToGrid w:val="0"/>
              <w:jc w:val="center"/>
              <w:rPr>
                <w:sz w:val="24"/>
              </w:rPr>
            </w:pPr>
            <w:r>
              <w:rPr>
                <w:rFonts w:hint="eastAsia"/>
                <w:sz w:val="24"/>
              </w:rPr>
              <w:t>肖家平</w:t>
            </w:r>
          </w:p>
        </w:tc>
        <w:tc>
          <w:tcPr>
            <w:tcW w:w="2175" w:type="dxa"/>
            <w:vAlign w:val="center"/>
          </w:tcPr>
          <w:p>
            <w:pPr>
              <w:adjustRightInd w:val="0"/>
              <w:snapToGrid w:val="0"/>
              <w:jc w:val="center"/>
              <w:rPr>
                <w:sz w:val="24"/>
              </w:rPr>
            </w:pPr>
            <w:r>
              <w:rPr>
                <w:sz w:val="24"/>
              </w:rPr>
              <w:t>联系方式</w:t>
            </w:r>
          </w:p>
        </w:tc>
        <w:tc>
          <w:tcPr>
            <w:tcW w:w="4726" w:type="dxa"/>
            <w:vAlign w:val="center"/>
          </w:tcPr>
          <w:p>
            <w:pPr>
              <w:adjustRightInd w:val="0"/>
              <w:snapToGrid w:val="0"/>
              <w:jc w:val="center"/>
              <w:rPr>
                <w:sz w:val="24"/>
              </w:rPr>
            </w:pPr>
            <w:r>
              <w:rPr>
                <w:sz w:val="24"/>
              </w:rPr>
              <w:t>13576129556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建设地点</w:t>
            </w:r>
          </w:p>
        </w:tc>
        <w:tc>
          <w:tcPr>
            <w:tcW w:w="8625" w:type="dxa"/>
            <w:gridSpan w:val="3"/>
            <w:vAlign w:val="center"/>
          </w:tcPr>
          <w:p>
            <w:pPr>
              <w:adjustRightInd w:val="0"/>
              <w:snapToGrid w:val="0"/>
              <w:jc w:val="center"/>
              <w:rPr>
                <w:sz w:val="24"/>
              </w:rPr>
            </w:pPr>
            <w:r>
              <w:rPr>
                <w:rFonts w:hint="eastAsia"/>
                <w:sz w:val="24"/>
              </w:rPr>
              <w:t>南昌县小蓝经济技术开发区涟漪路以西、汽车南路以北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地理坐标</w:t>
            </w:r>
          </w:p>
        </w:tc>
        <w:tc>
          <w:tcPr>
            <w:tcW w:w="8625" w:type="dxa"/>
            <w:gridSpan w:val="3"/>
            <w:vAlign w:val="center"/>
          </w:tcPr>
          <w:p>
            <w:pPr>
              <w:jc w:val="center"/>
              <w:rPr>
                <w:color w:val="FF0000"/>
                <w:sz w:val="24"/>
              </w:rPr>
            </w:pPr>
            <w:r>
              <w:rPr>
                <w:sz w:val="24"/>
              </w:rPr>
              <w:t>东经115°52'34.295"，北纬28°30'41.306"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724" w:type="dxa"/>
            <w:vAlign w:val="center"/>
          </w:tcPr>
          <w:p>
            <w:pPr>
              <w:adjustRightInd w:val="0"/>
              <w:snapToGrid w:val="0"/>
              <w:jc w:val="left"/>
              <w:rPr>
                <w:sz w:val="24"/>
              </w:rPr>
            </w:pPr>
            <w:r>
              <w:rPr>
                <w:rFonts w:hint="eastAsia"/>
                <w:sz w:val="24"/>
              </w:rPr>
              <w:t>C3670汽车零部件及配件制造</w:t>
            </w:r>
          </w:p>
        </w:tc>
        <w:tc>
          <w:tcPr>
            <w:tcW w:w="2175" w:type="dxa"/>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4726" w:type="dxa"/>
            <w:vAlign w:val="center"/>
          </w:tcPr>
          <w:p>
            <w:pPr>
              <w:adjustRightInd w:val="0"/>
              <w:snapToGrid w:val="0"/>
              <w:jc w:val="left"/>
              <w:rPr>
                <w:sz w:val="24"/>
              </w:rPr>
            </w:pPr>
            <w:r>
              <w:rPr>
                <w:sz w:val="24"/>
              </w:rPr>
              <w:t>三十三</w:t>
            </w:r>
            <w:r>
              <w:rPr>
                <w:rFonts w:hint="eastAsia"/>
                <w:sz w:val="24"/>
              </w:rPr>
              <w:t>、</w:t>
            </w:r>
            <w:r>
              <w:rPr>
                <w:sz w:val="24"/>
              </w:rPr>
              <w:t>汽车制造业</w:t>
            </w:r>
            <w:r>
              <w:rPr>
                <w:rFonts w:hint="eastAsia"/>
                <w:sz w:val="24"/>
              </w:rPr>
              <w:t>36，71汽车零部件及配件制造367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建设性质</w:t>
            </w:r>
          </w:p>
        </w:tc>
        <w:tc>
          <w:tcPr>
            <w:tcW w:w="1724" w:type="dxa"/>
            <w:vAlign w:val="center"/>
          </w:tcPr>
          <w:p>
            <w:pPr>
              <w:jc w:val="left"/>
              <w:rPr>
                <w:sz w:val="24"/>
              </w:rPr>
            </w:pPr>
            <w:r>
              <w:rPr>
                <w:sz w:val="24"/>
              </w:rPr>
              <w:t>√新建（迁建）</w:t>
            </w:r>
          </w:p>
          <w:p>
            <w:pPr>
              <w:jc w:val="left"/>
              <w:rPr>
                <w:sz w:val="24"/>
              </w:rPr>
            </w:pPr>
            <w:r>
              <w:rPr>
                <w:sz w:val="24"/>
              </w:rPr>
              <w:t>□改建</w:t>
            </w:r>
          </w:p>
          <w:p>
            <w:pPr>
              <w:jc w:val="left"/>
              <w:rPr>
                <w:sz w:val="24"/>
              </w:rPr>
            </w:pPr>
            <w:r>
              <w:rPr>
                <w:sz w:val="24"/>
              </w:rPr>
              <w:t>□扩建</w:t>
            </w:r>
          </w:p>
          <w:p>
            <w:pPr>
              <w:jc w:val="left"/>
              <w:rPr>
                <w:sz w:val="24"/>
              </w:rPr>
            </w:pPr>
            <w:r>
              <w:rPr>
                <w:sz w:val="24"/>
              </w:rPr>
              <w:t>□技术改造</w:t>
            </w:r>
          </w:p>
        </w:tc>
        <w:tc>
          <w:tcPr>
            <w:tcW w:w="2175"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4726" w:type="dxa"/>
            <w:vAlign w:val="center"/>
          </w:tcPr>
          <w:p>
            <w:pPr>
              <w:jc w:val="left"/>
              <w:rPr>
                <w:sz w:val="24"/>
              </w:rPr>
            </w:pPr>
            <w:r>
              <w:rPr>
                <w:sz w:val="24"/>
              </w:rPr>
              <w:t xml:space="preserve">√首次申报项目             </w:t>
            </w:r>
          </w:p>
          <w:p>
            <w:pPr>
              <w:jc w:val="left"/>
              <w:rPr>
                <w:sz w:val="24"/>
              </w:rPr>
            </w:pPr>
            <w:r>
              <w:rPr>
                <w:sz w:val="24"/>
              </w:rPr>
              <w:t>□不予批准后再次申报项目</w:t>
            </w:r>
          </w:p>
          <w:p>
            <w:pPr>
              <w:jc w:val="left"/>
              <w:rPr>
                <w:sz w:val="24"/>
              </w:rPr>
            </w:pPr>
            <w:r>
              <w:rPr>
                <w:sz w:val="24"/>
              </w:rPr>
              <w:t xml:space="preserve">□超五年重新审核项目     </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项目审批（核准/备案）部门（选填）</w:t>
            </w:r>
          </w:p>
        </w:tc>
        <w:tc>
          <w:tcPr>
            <w:tcW w:w="1724" w:type="dxa"/>
            <w:vAlign w:val="center"/>
          </w:tcPr>
          <w:p>
            <w:pPr>
              <w:adjustRightInd w:val="0"/>
              <w:snapToGrid w:val="0"/>
              <w:jc w:val="left"/>
              <w:rPr>
                <w:sz w:val="24"/>
              </w:rPr>
            </w:pPr>
            <w:r>
              <w:rPr>
                <w:sz w:val="24"/>
              </w:rPr>
              <w:t>南昌县行政审批局</w:t>
            </w:r>
          </w:p>
        </w:tc>
        <w:tc>
          <w:tcPr>
            <w:tcW w:w="2175"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4726" w:type="dxa"/>
            <w:vAlign w:val="center"/>
          </w:tcPr>
          <w:p>
            <w:pPr>
              <w:adjustRightInd w:val="0"/>
              <w:snapToGrid w:val="0"/>
              <w:jc w:val="left"/>
              <w:rPr>
                <w:color w:val="FF0000"/>
                <w:sz w:val="24"/>
              </w:rPr>
            </w:pPr>
            <w:r>
              <w:rPr>
                <w:sz w:val="24"/>
              </w:rPr>
              <w:t>2020-360121-36-03-019539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总投资（万元）</w:t>
            </w:r>
          </w:p>
        </w:tc>
        <w:tc>
          <w:tcPr>
            <w:tcW w:w="1724" w:type="dxa"/>
            <w:vAlign w:val="center"/>
          </w:tcPr>
          <w:p>
            <w:pPr>
              <w:adjustRightInd w:val="0"/>
              <w:snapToGrid w:val="0"/>
              <w:jc w:val="left"/>
              <w:rPr>
                <w:sz w:val="24"/>
              </w:rPr>
            </w:pPr>
            <w:r>
              <w:rPr>
                <w:rFonts w:hint="eastAsia"/>
                <w:sz w:val="24"/>
              </w:rPr>
              <w:t>15008.2</w:t>
            </w:r>
          </w:p>
        </w:tc>
        <w:tc>
          <w:tcPr>
            <w:tcW w:w="2175" w:type="dxa"/>
            <w:tcMar>
              <w:top w:w="16" w:type="dxa"/>
              <w:left w:w="16" w:type="dxa"/>
              <w:right w:w="16" w:type="dxa"/>
            </w:tcMar>
            <w:vAlign w:val="center"/>
          </w:tcPr>
          <w:p>
            <w:pPr>
              <w:adjustRightInd w:val="0"/>
              <w:snapToGrid w:val="0"/>
              <w:jc w:val="center"/>
              <w:rPr>
                <w:color w:val="FF0000"/>
                <w:sz w:val="24"/>
              </w:rPr>
            </w:pPr>
            <w:r>
              <w:rPr>
                <w:color w:val="FF0000"/>
                <w:sz w:val="24"/>
              </w:rPr>
              <w:t>环保投资（万元）</w:t>
            </w:r>
          </w:p>
        </w:tc>
        <w:tc>
          <w:tcPr>
            <w:tcW w:w="4726" w:type="dxa"/>
            <w:vAlign w:val="center"/>
          </w:tcPr>
          <w:p>
            <w:pPr>
              <w:adjustRightInd w:val="0"/>
              <w:snapToGrid w:val="0"/>
              <w:jc w:val="left"/>
              <w:rPr>
                <w:color w:val="FF0000"/>
                <w:sz w:val="24"/>
              </w:rPr>
            </w:pPr>
            <w:r>
              <w:rPr>
                <w:rFonts w:hint="eastAsia"/>
                <w:color w:val="FF0000"/>
                <w:sz w:val="24"/>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color w:val="FF0000"/>
                <w:sz w:val="24"/>
              </w:rPr>
            </w:pPr>
            <w:r>
              <w:rPr>
                <w:color w:val="FF0000"/>
                <w:sz w:val="24"/>
              </w:rPr>
              <w:t>环保投资占比（%）</w:t>
            </w:r>
          </w:p>
        </w:tc>
        <w:tc>
          <w:tcPr>
            <w:tcW w:w="1724" w:type="dxa"/>
            <w:vAlign w:val="center"/>
          </w:tcPr>
          <w:p>
            <w:pPr>
              <w:adjustRightInd w:val="0"/>
              <w:snapToGrid w:val="0"/>
              <w:jc w:val="left"/>
              <w:rPr>
                <w:color w:val="FF0000"/>
                <w:sz w:val="24"/>
              </w:rPr>
            </w:pPr>
            <w:r>
              <w:rPr>
                <w:color w:val="FF0000"/>
                <w:sz w:val="24"/>
              </w:rPr>
              <w:t>0.20</w:t>
            </w:r>
            <w:r>
              <w:rPr>
                <w:rFonts w:hint="eastAsia"/>
                <w:color w:val="FF0000"/>
                <w:sz w:val="24"/>
              </w:rPr>
              <w:t>%</w:t>
            </w:r>
          </w:p>
        </w:tc>
        <w:tc>
          <w:tcPr>
            <w:tcW w:w="2175" w:type="dxa"/>
            <w:tcMar>
              <w:top w:w="16" w:type="dxa"/>
              <w:left w:w="16" w:type="dxa"/>
              <w:right w:w="16" w:type="dxa"/>
            </w:tcMar>
            <w:vAlign w:val="center"/>
          </w:tcPr>
          <w:p>
            <w:pPr>
              <w:adjustRightInd w:val="0"/>
              <w:snapToGrid w:val="0"/>
              <w:jc w:val="center"/>
              <w:rPr>
                <w:sz w:val="24"/>
              </w:rPr>
            </w:pPr>
            <w:r>
              <w:rPr>
                <w:sz w:val="24"/>
              </w:rPr>
              <w:t>施工工期</w:t>
            </w:r>
          </w:p>
        </w:tc>
        <w:tc>
          <w:tcPr>
            <w:tcW w:w="4726" w:type="dxa"/>
            <w:vAlign w:val="center"/>
          </w:tcPr>
          <w:p>
            <w:pPr>
              <w:adjustRightInd w:val="0"/>
              <w:snapToGrid w:val="0"/>
              <w:jc w:val="left"/>
              <w:rPr>
                <w:sz w:val="24"/>
              </w:rPr>
            </w:pPr>
            <w:r>
              <w:rPr>
                <w:sz w:val="24"/>
              </w:rPr>
              <w:t>202</w:t>
            </w:r>
            <w:r>
              <w:rPr>
                <w:rFonts w:hint="eastAsia"/>
                <w:sz w:val="24"/>
              </w:rPr>
              <w:t>2</w:t>
            </w:r>
            <w:r>
              <w:rPr>
                <w:sz w:val="24"/>
              </w:rPr>
              <w:t>.2~202</w:t>
            </w:r>
            <w:r>
              <w:rPr>
                <w:rFonts w:hint="eastAsia"/>
                <w:sz w:val="24"/>
              </w:rPr>
              <w:t>3</w:t>
            </w:r>
            <w:r>
              <w:rPr>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tcMar>
              <w:top w:w="16" w:type="dxa"/>
              <w:left w:w="16" w:type="dxa"/>
              <w:right w:w="16" w:type="dxa"/>
            </w:tcMar>
            <w:vAlign w:val="center"/>
          </w:tcPr>
          <w:p>
            <w:pPr>
              <w:adjustRightInd w:val="0"/>
              <w:snapToGrid w:val="0"/>
              <w:jc w:val="center"/>
              <w:rPr>
                <w:sz w:val="24"/>
              </w:rPr>
            </w:pPr>
            <w:r>
              <w:rPr>
                <w:sz w:val="24"/>
              </w:rPr>
              <w:t>是否开工建设</w:t>
            </w:r>
          </w:p>
        </w:tc>
        <w:tc>
          <w:tcPr>
            <w:tcW w:w="1724" w:type="dxa"/>
            <w:vAlign w:val="center"/>
          </w:tcPr>
          <w:p>
            <w:pPr>
              <w:adjustRightInd w:val="0"/>
              <w:snapToGrid w:val="0"/>
              <w:jc w:val="left"/>
              <w:rPr>
                <w:sz w:val="24"/>
              </w:rPr>
            </w:pPr>
            <w:r>
              <w:rPr>
                <w:sz w:val="24"/>
              </w:rPr>
              <w:t>√否</w:t>
            </w:r>
          </w:p>
          <w:p>
            <w:pPr>
              <w:adjustRightInd w:val="0"/>
              <w:snapToGrid w:val="0"/>
              <w:jc w:val="left"/>
              <w:rPr>
                <w:sz w:val="24"/>
              </w:rPr>
            </w:pPr>
            <w:r>
              <w:rPr>
                <w:sz w:val="24"/>
              </w:rPr>
              <w:sym w:font="Wingdings 2" w:char="00A3"/>
            </w:r>
            <w:r>
              <w:rPr>
                <w:sz w:val="24"/>
              </w:rPr>
              <w:t>是：</w:t>
            </w:r>
          </w:p>
        </w:tc>
        <w:tc>
          <w:tcPr>
            <w:tcW w:w="2175" w:type="dxa"/>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4726" w:type="dxa"/>
            <w:vAlign w:val="center"/>
          </w:tcPr>
          <w:p>
            <w:pPr>
              <w:adjustRightInd w:val="0"/>
              <w:snapToGrid w:val="0"/>
              <w:jc w:val="left"/>
              <w:rPr>
                <w:sz w:val="24"/>
                <w:highlight w:val="yellow"/>
              </w:rPr>
            </w:pPr>
            <w:r>
              <w:rPr>
                <w:sz w:val="24"/>
              </w:rPr>
              <w:t>26773.33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13" w:type="dxa"/>
            <w:vAlign w:val="center"/>
          </w:tcPr>
          <w:p>
            <w:pPr>
              <w:autoSpaceDE w:val="0"/>
              <w:autoSpaceDN w:val="0"/>
              <w:adjustRightInd w:val="0"/>
              <w:snapToGrid w:val="0"/>
              <w:jc w:val="center"/>
              <w:rPr>
                <w:kern w:val="0"/>
                <w:sz w:val="24"/>
              </w:rPr>
            </w:pPr>
            <w:r>
              <w:rPr>
                <w:kern w:val="0"/>
                <w:sz w:val="24"/>
              </w:rPr>
              <w:t>专项评价设置情况</w:t>
            </w:r>
          </w:p>
        </w:tc>
        <w:tc>
          <w:tcPr>
            <w:tcW w:w="8625" w:type="dxa"/>
            <w:gridSpan w:val="3"/>
            <w:vAlign w:val="center"/>
          </w:tcPr>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3324"/>
              <w:gridCol w:w="3874"/>
              <w:gridCol w:w="574"/>
            </w:tblGrid>
            <w:tr>
              <w:tblPrEx>
                <w:tblCellMar>
                  <w:top w:w="0" w:type="dxa"/>
                  <w:left w:w="108" w:type="dxa"/>
                  <w:bottom w:w="0" w:type="dxa"/>
                  <w:right w:w="108" w:type="dxa"/>
                </w:tblCellMar>
              </w:tblPrEx>
              <w:trPr>
                <w:trHeight w:val="99"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b/>
                      <w:sz w:val="21"/>
                      <w:szCs w:val="21"/>
                    </w:rPr>
                  </w:pPr>
                  <w:r>
                    <w:rPr>
                      <w:rFonts w:hint="eastAsia"/>
                      <w:b/>
                      <w:sz w:val="21"/>
                      <w:szCs w:val="21"/>
                    </w:rPr>
                    <w:t>要素</w:t>
                  </w:r>
                </w:p>
              </w:tc>
              <w:tc>
                <w:tcPr>
                  <w:tcW w:w="1979"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b/>
                      <w:sz w:val="21"/>
                      <w:szCs w:val="21"/>
                    </w:rPr>
                  </w:pPr>
                  <w:r>
                    <w:rPr>
                      <w:rFonts w:hint="eastAsia"/>
                      <w:b/>
                      <w:sz w:val="21"/>
                      <w:szCs w:val="21"/>
                    </w:rPr>
                    <w:t>判定依据</w:t>
                  </w:r>
                </w:p>
              </w:tc>
              <w:tc>
                <w:tcPr>
                  <w:tcW w:w="2306"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b/>
                      <w:sz w:val="21"/>
                      <w:szCs w:val="21"/>
                    </w:rPr>
                  </w:pPr>
                  <w:r>
                    <w:rPr>
                      <w:rFonts w:hint="eastAsia"/>
                      <w:b/>
                      <w:sz w:val="21"/>
                      <w:szCs w:val="21"/>
                    </w:rPr>
                    <w:t>判定过程</w:t>
                  </w:r>
                </w:p>
              </w:tc>
              <w:tc>
                <w:tcPr>
                  <w:tcW w:w="342"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b/>
                      <w:sz w:val="21"/>
                      <w:szCs w:val="21"/>
                    </w:rPr>
                  </w:pPr>
                  <w:r>
                    <w:rPr>
                      <w:rFonts w:hint="eastAsia"/>
                      <w:b/>
                      <w:sz w:val="21"/>
                      <w:szCs w:val="21"/>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大气环境</w:t>
                  </w:r>
                </w:p>
              </w:tc>
              <w:tc>
                <w:tcPr>
                  <w:tcW w:w="1979"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排放废气含有毒有害污染物、二噁英、苯并</w:t>
                  </w:r>
                  <w:r>
                    <w:rPr>
                      <w:sz w:val="21"/>
                      <w:szCs w:val="21"/>
                    </w:rPr>
                    <w:t>[ a ]</w:t>
                  </w:r>
                  <w:r>
                    <w:rPr>
                      <w:rFonts w:hint="eastAsia"/>
                      <w:sz w:val="21"/>
                      <w:szCs w:val="21"/>
                    </w:rPr>
                    <w:t>芘、氰化物、氯气且厂界外</w:t>
                  </w:r>
                  <w:r>
                    <w:rPr>
                      <w:sz w:val="21"/>
                      <w:szCs w:val="21"/>
                    </w:rPr>
                    <w:t xml:space="preserve">500 </w:t>
                  </w:r>
                  <w:r>
                    <w:rPr>
                      <w:rFonts w:hint="eastAsia"/>
                      <w:sz w:val="21"/>
                      <w:szCs w:val="21"/>
                    </w:rPr>
                    <w:t>米范围内有环境空气保护目标的建设项目</w:t>
                  </w:r>
                </w:p>
              </w:tc>
              <w:tc>
                <w:tcPr>
                  <w:tcW w:w="2306"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本项目排放废气为</w:t>
                  </w:r>
                  <w:r>
                    <w:rPr>
                      <w:sz w:val="21"/>
                      <w:szCs w:val="21"/>
                    </w:rPr>
                    <w:t>颗粒物</w:t>
                  </w:r>
                  <w:r>
                    <w:rPr>
                      <w:rFonts w:hint="eastAsia"/>
                      <w:sz w:val="21"/>
                      <w:szCs w:val="21"/>
                    </w:rPr>
                    <w:t>。不涉及二噁英、苯并</w:t>
                  </w:r>
                  <w:r>
                    <w:rPr>
                      <w:sz w:val="21"/>
                      <w:szCs w:val="21"/>
                    </w:rPr>
                    <w:t>[ a ]</w:t>
                  </w:r>
                  <w:r>
                    <w:rPr>
                      <w:rFonts w:hint="eastAsia"/>
                      <w:sz w:val="21"/>
                      <w:szCs w:val="21"/>
                    </w:rPr>
                    <w:t>芘、氰化物、氯气及《有毒有害大气污染物名录》中污染物</w:t>
                  </w:r>
                </w:p>
              </w:tc>
              <w:tc>
                <w:tcPr>
                  <w:tcW w:w="342"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无需设置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地表水环境</w:t>
                  </w:r>
                </w:p>
              </w:tc>
              <w:tc>
                <w:tcPr>
                  <w:tcW w:w="1979"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新增工业废水直排建设项目（槽罐车外送污水处理厂的除外）；新增废水直排的污水集中处理厂</w:t>
                  </w:r>
                </w:p>
              </w:tc>
              <w:tc>
                <w:tcPr>
                  <w:tcW w:w="2306"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sz w:val="21"/>
                      <w:szCs w:val="21"/>
                    </w:rPr>
                    <w:t>本项目仅有生活污水，</w:t>
                  </w:r>
                  <w:r>
                    <w:rPr>
                      <w:rFonts w:hint="eastAsia"/>
                      <w:sz w:val="21"/>
                      <w:szCs w:val="21"/>
                    </w:rPr>
                    <w:t>经</w:t>
                  </w:r>
                  <w:r>
                    <w:rPr>
                      <w:sz w:val="21"/>
                      <w:szCs w:val="21"/>
                    </w:rPr>
                    <w:t>化粪池处理后排入小蓝污水处理厂处理</w:t>
                  </w:r>
                </w:p>
              </w:tc>
              <w:tc>
                <w:tcPr>
                  <w:tcW w:w="342"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无需设置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地下水环境</w:t>
                  </w:r>
                </w:p>
              </w:tc>
              <w:tc>
                <w:tcPr>
                  <w:tcW w:w="1979"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涉及集中式饮用水水源和热水、矿泉水、温泉等特殊地下水资源保护区</w:t>
                  </w:r>
                </w:p>
              </w:tc>
              <w:tc>
                <w:tcPr>
                  <w:tcW w:w="2306"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本项目不涉及集中式饮用水水源和热水、矿泉水、温泉等特殊地下水资源保护区</w:t>
                  </w:r>
                </w:p>
              </w:tc>
              <w:tc>
                <w:tcPr>
                  <w:tcW w:w="342"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无需设置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生态环境</w:t>
                  </w:r>
                </w:p>
              </w:tc>
              <w:tc>
                <w:tcPr>
                  <w:tcW w:w="1979"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取水口下游</w:t>
                  </w:r>
                  <w:r>
                    <w:rPr>
                      <w:sz w:val="21"/>
                      <w:szCs w:val="21"/>
                    </w:rPr>
                    <w:t xml:space="preserve"> 500 </w:t>
                  </w:r>
                  <w:r>
                    <w:rPr>
                      <w:rFonts w:hint="eastAsia"/>
                      <w:sz w:val="21"/>
                      <w:szCs w:val="21"/>
                    </w:rPr>
                    <w:t>米范围内有重要水生生物的自然产卵场、索饵场、越冬场和洄游通道的新增河道取水的污染类建设项目</w:t>
                  </w:r>
                </w:p>
              </w:tc>
              <w:tc>
                <w:tcPr>
                  <w:tcW w:w="2306"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本项目不设置取水口</w:t>
                  </w:r>
                </w:p>
              </w:tc>
              <w:tc>
                <w:tcPr>
                  <w:tcW w:w="342"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无需设置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73"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环境风险</w:t>
                  </w:r>
                </w:p>
              </w:tc>
              <w:tc>
                <w:tcPr>
                  <w:tcW w:w="1979"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有毒有害和易燃易爆危险物质存储量超过临界量的建设项目</w:t>
                  </w:r>
                </w:p>
              </w:tc>
              <w:tc>
                <w:tcPr>
                  <w:tcW w:w="2306"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sz w:val="21"/>
                      <w:szCs w:val="21"/>
                    </w:rPr>
                  </w:pPr>
                  <w:r>
                    <w:rPr>
                      <w:rFonts w:hint="eastAsia"/>
                      <w:sz w:val="21"/>
                      <w:szCs w:val="21"/>
                    </w:rPr>
                    <w:t>项目</w:t>
                  </w:r>
                  <w:r>
                    <w:rPr>
                      <w:sz w:val="21"/>
                      <w:szCs w:val="21"/>
                    </w:rPr>
                    <w:t>Q=0</w:t>
                  </w:r>
                  <w:r>
                    <w:rPr>
                      <w:rFonts w:hint="eastAsia"/>
                      <w:sz w:val="21"/>
                      <w:szCs w:val="21"/>
                    </w:rPr>
                    <w:t>.070＜</w:t>
                  </w:r>
                  <w:r>
                    <w:rPr>
                      <w:sz w:val="21"/>
                      <w:szCs w:val="21"/>
                    </w:rPr>
                    <w:t>1</w:t>
                  </w:r>
                  <w:r>
                    <w:rPr>
                      <w:rFonts w:hint="eastAsia"/>
                      <w:sz w:val="21"/>
                      <w:szCs w:val="21"/>
                    </w:rPr>
                    <w:t>，详见项目环境风险分析章节</w:t>
                  </w:r>
                </w:p>
              </w:tc>
              <w:tc>
                <w:tcPr>
                  <w:tcW w:w="342" w:type="pct"/>
                  <w:tcBorders>
                    <w:top w:val="single" w:color="auto" w:sz="4" w:space="0"/>
                    <w:left w:val="single" w:color="auto" w:sz="4" w:space="0"/>
                    <w:bottom w:val="single" w:color="auto" w:sz="4" w:space="0"/>
                    <w:right w:val="single" w:color="auto" w:sz="4" w:space="0"/>
                  </w:tcBorders>
                  <w:vAlign w:val="center"/>
                </w:tcPr>
                <w:p>
                  <w:pPr>
                    <w:pStyle w:val="18"/>
                    <w:spacing w:after="0"/>
                    <w:ind w:left="0" w:leftChars="0"/>
                    <w:jc w:val="center"/>
                    <w:rPr>
                      <w:color w:val="FF0000"/>
                      <w:sz w:val="21"/>
                      <w:szCs w:val="21"/>
                    </w:rPr>
                  </w:pPr>
                  <w:r>
                    <w:rPr>
                      <w:rFonts w:hint="eastAsia"/>
                      <w:sz w:val="21"/>
                      <w:szCs w:val="21"/>
                    </w:rPr>
                    <w:t>无需设置</w:t>
                  </w:r>
                </w:p>
              </w:tc>
            </w:tr>
          </w:tbl>
          <w:p>
            <w:pPr>
              <w:autoSpaceDE w:val="0"/>
              <w:autoSpaceDN w:val="0"/>
              <w:adjustRightInd w:val="0"/>
              <w:snapToGrid w:val="0"/>
              <w:jc w:val="center"/>
              <w:rPr>
                <w:color w:val="FF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3" w:type="dxa"/>
            <w:vAlign w:val="center"/>
          </w:tcPr>
          <w:p>
            <w:pPr>
              <w:autoSpaceDE w:val="0"/>
              <w:autoSpaceDN w:val="0"/>
              <w:adjustRightInd w:val="0"/>
              <w:snapToGrid w:val="0"/>
              <w:jc w:val="center"/>
              <w:rPr>
                <w:kern w:val="0"/>
                <w:sz w:val="24"/>
              </w:rPr>
            </w:pPr>
            <w:r>
              <w:rPr>
                <w:sz w:val="24"/>
              </w:rPr>
              <w:t>规划情况</w:t>
            </w:r>
          </w:p>
        </w:tc>
        <w:tc>
          <w:tcPr>
            <w:tcW w:w="8625" w:type="dxa"/>
            <w:gridSpan w:val="3"/>
            <w:vAlign w:val="center"/>
          </w:tcPr>
          <w:p>
            <w:pPr>
              <w:numPr>
                <w:ilvl w:val="0"/>
                <w:numId w:val="2"/>
              </w:numPr>
              <w:autoSpaceDE w:val="0"/>
              <w:autoSpaceDN w:val="0"/>
              <w:snapToGrid w:val="0"/>
              <w:spacing w:line="360" w:lineRule="auto"/>
              <w:jc w:val="left"/>
              <w:rPr>
                <w:sz w:val="24"/>
              </w:rPr>
            </w:pPr>
            <w:r>
              <w:rPr>
                <w:kern w:val="0"/>
                <w:sz w:val="24"/>
              </w:rPr>
              <w:t>规划名称</w:t>
            </w:r>
            <w:r>
              <w:rPr>
                <w:rFonts w:hint="eastAsia"/>
                <w:kern w:val="0"/>
                <w:sz w:val="24"/>
              </w:rPr>
              <w:t>：</w:t>
            </w:r>
            <w:r>
              <w:rPr>
                <w:kern w:val="0"/>
                <w:sz w:val="24"/>
              </w:rPr>
              <w:t>《</w:t>
            </w:r>
            <w:r>
              <w:rPr>
                <w:snapToGrid w:val="0"/>
                <w:sz w:val="24"/>
              </w:rPr>
              <w:t>南昌小蓝经济技术开发区规划（2016-2030）</w:t>
            </w:r>
            <w:r>
              <w:rPr>
                <w:kern w:val="0"/>
                <w:sz w:val="24"/>
              </w:rPr>
              <w:t>》</w:t>
            </w:r>
            <w:r>
              <w:rPr>
                <w:rFonts w:hint="eastAsia"/>
                <w:kern w:val="0"/>
                <w:sz w:val="24"/>
              </w:rPr>
              <w:t>；</w:t>
            </w:r>
          </w:p>
          <w:p>
            <w:pPr>
              <w:numPr>
                <w:ilvl w:val="0"/>
                <w:numId w:val="2"/>
              </w:numPr>
              <w:autoSpaceDE w:val="0"/>
              <w:autoSpaceDN w:val="0"/>
              <w:snapToGrid w:val="0"/>
              <w:spacing w:line="360" w:lineRule="auto"/>
              <w:jc w:val="left"/>
              <w:rPr>
                <w:kern w:val="0"/>
                <w:sz w:val="24"/>
              </w:rPr>
            </w:pPr>
            <w:r>
              <w:rPr>
                <w:rFonts w:hint="eastAsia"/>
                <w:sz w:val="24"/>
              </w:rPr>
              <w:t>审批机关：无</w:t>
            </w:r>
          </w:p>
          <w:p>
            <w:pPr>
              <w:numPr>
                <w:ilvl w:val="0"/>
                <w:numId w:val="2"/>
              </w:numPr>
              <w:autoSpaceDE w:val="0"/>
              <w:autoSpaceDN w:val="0"/>
              <w:snapToGrid w:val="0"/>
              <w:spacing w:line="360" w:lineRule="auto"/>
              <w:jc w:val="left"/>
              <w:rPr>
                <w:kern w:val="0"/>
                <w:sz w:val="24"/>
              </w:rPr>
            </w:pPr>
            <w:r>
              <w:rPr>
                <w:rFonts w:hint="eastAsia"/>
                <w:sz w:val="24"/>
              </w:rPr>
              <w:t>审批文件名称及文号：无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3"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8625" w:type="dxa"/>
            <w:gridSpan w:val="3"/>
            <w:vAlign w:val="center"/>
          </w:tcPr>
          <w:p>
            <w:pPr>
              <w:autoSpaceDE w:val="0"/>
              <w:autoSpaceDN w:val="0"/>
              <w:adjustRightInd w:val="0"/>
              <w:snapToGrid w:val="0"/>
              <w:spacing w:line="360" w:lineRule="auto"/>
              <w:jc w:val="left"/>
              <w:rPr>
                <w:snapToGrid w:val="0"/>
                <w:sz w:val="24"/>
              </w:rPr>
            </w:pPr>
            <w:r>
              <w:rPr>
                <w:snapToGrid w:val="0"/>
                <w:sz w:val="24"/>
              </w:rPr>
              <w:t>（1）规划环境影响评价文件：《南昌小蓝经济技术开发区规划环境影响报告书》；</w:t>
            </w:r>
          </w:p>
          <w:p>
            <w:pPr>
              <w:autoSpaceDE w:val="0"/>
              <w:autoSpaceDN w:val="0"/>
              <w:adjustRightInd w:val="0"/>
              <w:snapToGrid w:val="0"/>
              <w:spacing w:line="360" w:lineRule="auto"/>
              <w:jc w:val="left"/>
              <w:rPr>
                <w:snapToGrid w:val="0"/>
                <w:sz w:val="24"/>
              </w:rPr>
            </w:pPr>
            <w:r>
              <w:rPr>
                <w:snapToGrid w:val="0"/>
                <w:sz w:val="24"/>
              </w:rPr>
              <w:t>（2）召集审查机关：中华人民共和国生态环境部；</w:t>
            </w:r>
          </w:p>
          <w:p>
            <w:pPr>
              <w:autoSpaceDE w:val="0"/>
              <w:autoSpaceDN w:val="0"/>
              <w:adjustRightInd w:val="0"/>
              <w:snapToGrid w:val="0"/>
              <w:jc w:val="left"/>
              <w:rPr>
                <w:color w:val="FF0000"/>
                <w:kern w:val="0"/>
                <w:sz w:val="24"/>
              </w:rPr>
            </w:pPr>
            <w:r>
              <w:rPr>
                <w:snapToGrid w:val="0"/>
                <w:sz w:val="24"/>
              </w:rPr>
              <w:t>（3）审查文号：“环审[2019]151号”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3" w:type="dxa"/>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8625" w:type="dxa"/>
            <w:gridSpan w:val="3"/>
            <w:vAlign w:val="center"/>
          </w:tcPr>
          <w:p>
            <w:pPr>
              <w:adjustRightInd w:val="0"/>
              <w:snapToGrid w:val="0"/>
              <w:spacing w:line="360" w:lineRule="auto"/>
              <w:ind w:firstLine="482"/>
              <w:rPr>
                <w:b/>
                <w:bCs/>
                <w:snapToGrid w:val="0"/>
                <w:sz w:val="24"/>
              </w:rPr>
            </w:pPr>
            <w:r>
              <w:rPr>
                <w:b/>
                <w:bCs/>
                <w:snapToGrid w:val="0"/>
                <w:sz w:val="24"/>
              </w:rPr>
              <w:t>1、与园区规划符合性分析</w:t>
            </w:r>
          </w:p>
          <w:p>
            <w:pPr>
              <w:spacing w:line="360" w:lineRule="auto"/>
              <w:ind w:right="170" w:firstLine="480" w:firstLineChars="200"/>
              <w:rPr>
                <w:sz w:val="24"/>
              </w:rPr>
            </w:pPr>
            <w:r>
              <w:rPr>
                <w:rFonts w:hint="eastAsia"/>
                <w:sz w:val="24"/>
              </w:rPr>
              <w:t>小蓝经开区将形成“一城四园”的发展格局。一城：即小蓝汽车城。四园即综合产业园、创新型产业园、滨江高新技术产业园、智能制造装备产业园。</w:t>
            </w:r>
          </w:p>
          <w:p>
            <w:pPr>
              <w:spacing w:line="360" w:lineRule="auto"/>
              <w:ind w:right="170" w:firstLine="480" w:firstLineChars="200"/>
              <w:rPr>
                <w:color w:val="FF0000"/>
                <w:sz w:val="24"/>
              </w:rPr>
            </w:pPr>
            <w:r>
              <w:rPr>
                <w:sz w:val="24"/>
              </w:rPr>
              <w:t>小蓝汽车城</w:t>
            </w:r>
            <w:r>
              <w:rPr>
                <w:rFonts w:hint="eastAsia"/>
                <w:sz w:val="24"/>
              </w:rPr>
              <w:t>，</w:t>
            </w:r>
            <w:r>
              <w:rPr>
                <w:sz w:val="24"/>
              </w:rPr>
              <w:t>规划约21.2平方公里。目前，小蓝汽车城已经形成了江铃股份60万辆、江铃控股15万辆以及相关整车企业等共80万辆整车产能布局，完成了62万台汽、柴油发动机的产能布局，吸引了包括五十铃、伟世通、天纳克、李尔内饰、佛吉亚等世界500强企业在内的169家零部件生产企业，主导产品涉及到发动机、汽车电子、制动系统、传动系统、转向系统、行驶系统、车身附件、汽车管理及服务等九大系152件部件（总成）产品，产业链配套较为完善，已成为全国重要的商用车生产基地和江西省汽车零部件企业最为齐全、最为集中的开发区。</w:t>
            </w:r>
          </w:p>
          <w:p>
            <w:pPr>
              <w:spacing w:line="360" w:lineRule="auto"/>
              <w:ind w:right="170" w:firstLine="480" w:firstLineChars="200"/>
              <w:rPr>
                <w:sz w:val="24"/>
              </w:rPr>
            </w:pPr>
            <w:r>
              <w:rPr>
                <w:sz w:val="24"/>
              </w:rPr>
              <w:t>项目建设地点位于南昌小蓝经济技术开发区</w:t>
            </w:r>
            <w:r>
              <w:rPr>
                <w:rFonts w:hint="eastAsia"/>
                <w:sz w:val="24"/>
              </w:rPr>
              <w:t>涟漪路以西、汽车南路以北</w:t>
            </w:r>
            <w:r>
              <w:rPr>
                <w:sz w:val="24"/>
              </w:rPr>
              <w:t>，根据</w:t>
            </w:r>
            <w:r>
              <w:rPr>
                <w:rFonts w:hint="eastAsia"/>
                <w:sz w:val="24"/>
              </w:rPr>
              <w:t>产业结构规划图（附图8），项目位于小蓝汽车城内，同时根据用</w:t>
            </w:r>
            <w:r>
              <w:rPr>
                <w:sz w:val="24"/>
              </w:rPr>
              <w:t>地布局规划，项目所在地为工业用地（附图</w:t>
            </w:r>
            <w:r>
              <w:rPr>
                <w:rFonts w:hint="eastAsia"/>
                <w:sz w:val="24"/>
              </w:rPr>
              <w:t>7</w:t>
            </w:r>
            <w:r>
              <w:rPr>
                <w:sz w:val="24"/>
              </w:rPr>
              <w:t>），本项目属于汽车零部件及配件制造</w:t>
            </w:r>
            <w:r>
              <w:rPr>
                <w:rFonts w:hint="eastAsia"/>
                <w:sz w:val="24"/>
              </w:rPr>
              <w:t>，</w:t>
            </w:r>
            <w:r>
              <w:rPr>
                <w:sz w:val="24"/>
              </w:rPr>
              <w:t>符合产业发展规划要求，因此符合相关规划。</w:t>
            </w:r>
          </w:p>
          <w:p>
            <w:pPr>
              <w:spacing w:line="360" w:lineRule="auto"/>
              <w:ind w:right="170" w:firstLine="482" w:firstLineChars="200"/>
              <w:rPr>
                <w:b/>
                <w:sz w:val="24"/>
              </w:rPr>
            </w:pPr>
            <w:r>
              <w:rPr>
                <w:b/>
                <w:sz w:val="24"/>
              </w:rPr>
              <w:t>2、与南昌小蓝经济技术开发区规划环境影响评价结论及审查意见的相符性分析</w:t>
            </w:r>
          </w:p>
          <w:p>
            <w:pPr>
              <w:spacing w:line="360" w:lineRule="auto"/>
              <w:ind w:right="170" w:firstLine="480" w:firstLineChars="200"/>
              <w:rPr>
                <w:sz w:val="24"/>
              </w:rPr>
            </w:pPr>
            <w:r>
              <w:rPr>
                <w:sz w:val="24"/>
              </w:rPr>
              <w:t>2004年南昌市环境保护研究设计院编制完成了《南昌市小蓝工业园环境影响报告书》，并于2004年3月获南昌市环保局批复（批复文号：洪环【2004】25号）。小蓝工业园为小蓝经济技术开发区前称，2012年7月升级为国家级经济技术开发区。2019年江西省环境保护科学研究院编制完成了《南昌小蓝经济技术开发区规划环境影响报告书》，并取得中华人民共和国生态环境部的审查意见（环审[2019]151号）。</w:t>
            </w:r>
            <w:r>
              <w:commentReference w:id="1"/>
            </w:r>
            <w:r>
              <w:rPr>
                <w:sz w:val="24"/>
              </w:rPr>
              <w:t>项目与</w:t>
            </w:r>
            <w:r>
              <w:rPr>
                <w:rFonts w:hint="eastAsia"/>
                <w:sz w:val="24"/>
              </w:rPr>
              <w:t>南昌小蓝经济技术开发区环境准入产业清单要求相符性分析如下：</w:t>
            </w:r>
          </w:p>
          <w:p>
            <w:pPr>
              <w:keepNext/>
              <w:jc w:val="center"/>
              <w:outlineLvl w:val="3"/>
              <w:rPr>
                <w:szCs w:val="21"/>
              </w:rPr>
            </w:pPr>
            <w:r>
              <w:rPr>
                <w:b/>
                <w:szCs w:val="21"/>
              </w:rPr>
              <w:t xml:space="preserve">表1-1  </w:t>
            </w:r>
            <w:r>
              <w:rPr>
                <w:rFonts w:hint="eastAsia"/>
                <w:b/>
                <w:szCs w:val="21"/>
              </w:rPr>
              <w:t>南昌小蓝经济技术开发区环境准入产业清单</w:t>
            </w:r>
          </w:p>
          <w:tbl>
            <w:tblPr>
              <w:tblStyle w:val="40"/>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5204"/>
              <w:gridCol w:w="1602"/>
              <w:gridCol w:w="1601"/>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b/>
                      <w:szCs w:val="22"/>
                    </w:rPr>
                  </w:pPr>
                  <w:r>
                    <w:rPr>
                      <w:b/>
                      <w:szCs w:val="22"/>
                    </w:rPr>
                    <w:t>清单要求</w:t>
                  </w:r>
                </w:p>
              </w:tc>
              <w:tc>
                <w:tcPr>
                  <w:tcW w:w="953" w:type="pct"/>
                  <w:vAlign w:val="center"/>
                </w:tcPr>
                <w:p>
                  <w:pPr>
                    <w:jc w:val="center"/>
                    <w:rPr>
                      <w:b/>
                      <w:szCs w:val="22"/>
                    </w:rPr>
                  </w:pPr>
                  <w:r>
                    <w:rPr>
                      <w:b/>
                      <w:szCs w:val="22"/>
                    </w:rPr>
                    <w:t>本项目情况</w:t>
                  </w:r>
                </w:p>
              </w:tc>
              <w:tc>
                <w:tcPr>
                  <w:tcW w:w="952" w:type="pct"/>
                  <w:vAlign w:val="center"/>
                </w:tcPr>
                <w:p>
                  <w:pPr>
                    <w:jc w:val="center"/>
                    <w:rPr>
                      <w:b/>
                      <w:szCs w:val="22"/>
                    </w:rPr>
                  </w:pPr>
                  <w:r>
                    <w:rPr>
                      <w:b/>
                      <w:szCs w:val="22"/>
                    </w:rPr>
                    <w:t>是否符合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①《产业结构调整指导目录(2011本)2013年修订本》中的限制、淘汰类项目；</w:t>
                  </w:r>
                </w:p>
              </w:tc>
              <w:tc>
                <w:tcPr>
                  <w:tcW w:w="953" w:type="pct"/>
                  <w:vAlign w:val="center"/>
                </w:tcPr>
                <w:p>
                  <w:pPr>
                    <w:jc w:val="center"/>
                    <w:rPr>
                      <w:szCs w:val="22"/>
                    </w:rPr>
                  </w:pPr>
                  <w:r>
                    <w:rPr>
                      <w:rFonts w:hint="eastAsia"/>
                      <w:szCs w:val="22"/>
                    </w:rPr>
                    <w:t>本项目不属于限制类、淘汰类和鼓励类，即属允许类。</w:t>
                  </w:r>
                </w:p>
              </w:tc>
              <w:tc>
                <w:tcPr>
                  <w:tcW w:w="952" w:type="pct"/>
                  <w:vAlign w:val="center"/>
                </w:tcPr>
                <w:p>
                  <w:pPr>
                    <w:jc w:val="center"/>
                    <w:rPr>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②《外商投资产业指导目录》（2019年）中的限制、淘汰类项目；</w:t>
                  </w:r>
                </w:p>
              </w:tc>
              <w:tc>
                <w:tcPr>
                  <w:tcW w:w="953" w:type="pct"/>
                  <w:vAlign w:val="center"/>
                </w:tcPr>
                <w:p>
                  <w:pPr>
                    <w:jc w:val="center"/>
                    <w:rPr>
                      <w:szCs w:val="22"/>
                    </w:rPr>
                  </w:pPr>
                  <w:r>
                    <w:rPr>
                      <w:szCs w:val="22"/>
                    </w:rPr>
                    <w:t>项目不属于外商投资</w:t>
                  </w:r>
                </w:p>
              </w:tc>
              <w:tc>
                <w:tcPr>
                  <w:tcW w:w="952" w:type="pct"/>
                  <w:vAlign w:val="center"/>
                </w:tcPr>
                <w:p>
                  <w:pPr>
                    <w:jc w:val="center"/>
                    <w:rPr>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③《国土资源部禁止和限制用地项目名录(2012年本)》中的项目；</w:t>
                  </w:r>
                </w:p>
              </w:tc>
              <w:tc>
                <w:tcPr>
                  <w:tcW w:w="953" w:type="pct"/>
                  <w:vAlign w:val="center"/>
                </w:tcPr>
                <w:p>
                  <w:pPr>
                    <w:jc w:val="center"/>
                    <w:rPr>
                      <w:szCs w:val="22"/>
                    </w:rPr>
                  </w:pPr>
                  <w:r>
                    <w:rPr>
                      <w:szCs w:val="22"/>
                    </w:rPr>
                    <w:t>用地为工业用地</w:t>
                  </w:r>
                </w:p>
              </w:tc>
              <w:tc>
                <w:tcPr>
                  <w:tcW w:w="952" w:type="pct"/>
                  <w:vAlign w:val="center"/>
                </w:tcPr>
                <w:p>
                  <w:pPr>
                    <w:jc w:val="center"/>
                    <w:rPr>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④ 与国务院大气、水、土壤污染防治十条措施相违背的项目；</w:t>
                  </w:r>
                </w:p>
              </w:tc>
              <w:tc>
                <w:tcPr>
                  <w:tcW w:w="953" w:type="pct"/>
                  <w:vAlign w:val="center"/>
                </w:tcPr>
                <w:p>
                  <w:pPr>
                    <w:jc w:val="center"/>
                    <w:rPr>
                      <w:szCs w:val="22"/>
                    </w:rPr>
                  </w:pPr>
                  <w:r>
                    <w:rPr>
                      <w:szCs w:val="22"/>
                    </w:rPr>
                    <w:t>不违背</w:t>
                  </w:r>
                </w:p>
              </w:tc>
              <w:tc>
                <w:tcPr>
                  <w:tcW w:w="952" w:type="pct"/>
                  <w:vAlign w:val="center"/>
                </w:tcPr>
                <w:p>
                  <w:pPr>
                    <w:jc w:val="center"/>
                    <w:rPr>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⑤ 涉及生态红线且不符合国家、地方生态红线管理办法的项目；</w:t>
                  </w:r>
                </w:p>
              </w:tc>
              <w:tc>
                <w:tcPr>
                  <w:tcW w:w="953" w:type="pct"/>
                  <w:vAlign w:val="center"/>
                </w:tcPr>
                <w:p>
                  <w:pPr>
                    <w:jc w:val="center"/>
                    <w:rPr>
                      <w:szCs w:val="22"/>
                    </w:rPr>
                  </w:pPr>
                  <w:r>
                    <w:rPr>
                      <w:szCs w:val="22"/>
                    </w:rPr>
                    <w:t>不涉及生态红线</w:t>
                  </w:r>
                </w:p>
              </w:tc>
              <w:tc>
                <w:tcPr>
                  <w:tcW w:w="952" w:type="pct"/>
                  <w:vAlign w:val="center"/>
                </w:tcPr>
                <w:p>
                  <w:pPr>
                    <w:jc w:val="center"/>
                    <w:rPr>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⑥ 《江西省人民政府办公厅转发省发改委省环保局关于加强高能耗高排放项目准入管理实施意见的通知》 (赣府厅发[2008]58号)文中的高污染、高能耗项目。</w:t>
                  </w:r>
                </w:p>
              </w:tc>
              <w:tc>
                <w:tcPr>
                  <w:tcW w:w="953" w:type="pct"/>
                  <w:vAlign w:val="center"/>
                </w:tcPr>
                <w:p>
                  <w:pPr>
                    <w:jc w:val="center"/>
                    <w:rPr>
                      <w:szCs w:val="22"/>
                    </w:rPr>
                  </w:pPr>
                  <w:r>
                    <w:rPr>
                      <w:szCs w:val="22"/>
                    </w:rPr>
                    <w:t>不属于两高项目</w:t>
                  </w:r>
                </w:p>
              </w:tc>
              <w:tc>
                <w:tcPr>
                  <w:tcW w:w="952" w:type="pct"/>
                  <w:vAlign w:val="center"/>
                </w:tcPr>
                <w:p>
                  <w:pPr>
                    <w:jc w:val="center"/>
                    <w:rPr>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3095" w:type="pct"/>
                  <w:vAlign w:val="center"/>
                </w:tcPr>
                <w:p>
                  <w:pPr>
                    <w:jc w:val="center"/>
                    <w:rPr>
                      <w:szCs w:val="22"/>
                    </w:rPr>
                  </w:pPr>
                  <w:r>
                    <w:rPr>
                      <w:rFonts w:hint="eastAsia"/>
                      <w:szCs w:val="22"/>
                    </w:rPr>
                    <w:t>⑦ 其他类型项目：</w:t>
                  </w:r>
                </w:p>
                <w:p>
                  <w:pPr>
                    <w:jc w:val="center"/>
                    <w:rPr>
                      <w:szCs w:val="22"/>
                    </w:rPr>
                  </w:pPr>
                  <w:r>
                    <w:rPr>
                      <w:rFonts w:hint="eastAsia"/>
                      <w:szCs w:val="22"/>
                    </w:rPr>
                    <w:t>新增铅、汞、镉、铬、砷等重金属排放且无总量来源的项目。</w:t>
                  </w:r>
                </w:p>
                <w:p>
                  <w:pPr>
                    <w:jc w:val="center"/>
                    <w:rPr>
                      <w:szCs w:val="22"/>
                    </w:rPr>
                  </w:pPr>
                  <w:r>
                    <w:rPr>
                      <w:rFonts w:hint="eastAsia"/>
                      <w:szCs w:val="22"/>
                    </w:rPr>
                    <w:t>排放高盐废水或高浓度有机废水，且不能有效处置的项目。</w:t>
                  </w:r>
                </w:p>
                <w:p>
                  <w:pPr>
                    <w:jc w:val="center"/>
                    <w:rPr>
                      <w:szCs w:val="22"/>
                    </w:rPr>
                  </w:pPr>
                  <w:r>
                    <w:rPr>
                      <w:rFonts w:hint="eastAsia"/>
                      <w:szCs w:val="22"/>
                    </w:rPr>
                    <w:t>排放异味或高浓度有机废气，且不能有效处置的项目。</w:t>
                  </w:r>
                </w:p>
                <w:p>
                  <w:pPr>
                    <w:jc w:val="center"/>
                    <w:rPr>
                      <w:szCs w:val="22"/>
                    </w:rPr>
                  </w:pPr>
                  <w:r>
                    <w:rPr>
                      <w:rFonts w:hint="eastAsia"/>
                      <w:szCs w:val="22"/>
                    </w:rPr>
                    <w:t>新建、扩建、改建水泥制造项目。</w:t>
                  </w:r>
                </w:p>
                <w:p>
                  <w:pPr>
                    <w:jc w:val="center"/>
                    <w:rPr>
                      <w:szCs w:val="22"/>
                    </w:rPr>
                  </w:pPr>
                  <w:r>
                    <w:rPr>
                      <w:rFonts w:hint="eastAsia"/>
                      <w:szCs w:val="22"/>
                    </w:rPr>
                    <w:t>染料、染料中间体、有机染料、印染助剂生产项目。</w:t>
                  </w:r>
                </w:p>
                <w:p>
                  <w:pPr>
                    <w:jc w:val="center"/>
                    <w:rPr>
                      <w:szCs w:val="22"/>
                    </w:rPr>
                  </w:pPr>
                  <w:r>
                    <w:rPr>
                      <w:rFonts w:hint="eastAsia"/>
                      <w:szCs w:val="22"/>
                    </w:rPr>
                    <w:t>燃煤、重油、渣油及直接燃用生物质锅炉项目。</w:t>
                  </w:r>
                </w:p>
                <w:p>
                  <w:pPr>
                    <w:jc w:val="center"/>
                    <w:rPr>
                      <w:szCs w:val="22"/>
                    </w:rPr>
                  </w:pPr>
                  <w:r>
                    <w:rPr>
                      <w:rFonts w:hint="eastAsia"/>
                      <w:szCs w:val="22"/>
                    </w:rPr>
                    <w:t>高环境风险的危险废物综合利用及处置项目(园区配套项目除外)。</w:t>
                  </w:r>
                </w:p>
                <w:p>
                  <w:pPr>
                    <w:jc w:val="center"/>
                    <w:rPr>
                      <w:szCs w:val="22"/>
                    </w:rPr>
                  </w:pPr>
                  <w:r>
                    <w:rPr>
                      <w:rFonts w:hint="eastAsia"/>
                      <w:szCs w:val="22"/>
                    </w:rPr>
                    <w:t>单纯电镀加工项目(产业中工序配套需要的除外)。</w:t>
                  </w:r>
                </w:p>
                <w:p>
                  <w:pPr>
                    <w:jc w:val="center"/>
                    <w:rPr>
                      <w:szCs w:val="22"/>
                    </w:rPr>
                  </w:pPr>
                  <w:r>
                    <w:rPr>
                      <w:rFonts w:hint="eastAsia"/>
                      <w:szCs w:val="22"/>
                    </w:rPr>
                    <w:t>与开发区内文教区和生活区较近、排放恶臭、异味和噪声较大的项目。</w:t>
                  </w:r>
                </w:p>
                <w:p>
                  <w:pPr>
                    <w:jc w:val="center"/>
                    <w:rPr>
                      <w:szCs w:val="22"/>
                    </w:rPr>
                  </w:pPr>
                  <w:r>
                    <w:rPr>
                      <w:rFonts w:hint="eastAsia"/>
                      <w:szCs w:val="22"/>
                    </w:rPr>
                    <w:t>对开发区生态敏感目标产生生态影响的项目。</w:t>
                  </w:r>
                </w:p>
              </w:tc>
              <w:tc>
                <w:tcPr>
                  <w:tcW w:w="953" w:type="pct"/>
                  <w:vAlign w:val="center"/>
                </w:tcPr>
                <w:p>
                  <w:pPr>
                    <w:jc w:val="center"/>
                    <w:rPr>
                      <w:szCs w:val="22"/>
                    </w:rPr>
                  </w:pPr>
                  <w:r>
                    <w:rPr>
                      <w:szCs w:val="22"/>
                    </w:rPr>
                    <w:t>项目不排放重金属</w:t>
                  </w:r>
                  <w:r>
                    <w:rPr>
                      <w:rFonts w:hint="eastAsia"/>
                      <w:szCs w:val="22"/>
                    </w:rPr>
                    <w:t>、高盐废水或高浓度有机废水、不排放异味或高浓度有机废气，不属于水泥制造、染料、染料中间体、有机染料、印染助剂生产项目，不涉及锅炉，不属于高环境风险的危险废物综合利用及处置、单纯电镀加工项目。</w:t>
                  </w:r>
                </w:p>
              </w:tc>
              <w:tc>
                <w:tcPr>
                  <w:tcW w:w="952" w:type="pct"/>
                  <w:vAlign w:val="center"/>
                </w:tcPr>
                <w:p>
                  <w:pPr>
                    <w:jc w:val="center"/>
                    <w:rPr>
                      <w:szCs w:val="22"/>
                    </w:rPr>
                  </w:pPr>
                  <w:r>
                    <w:rPr>
                      <w:szCs w:val="22"/>
                    </w:rPr>
                    <w:t>是</w:t>
                  </w:r>
                </w:p>
              </w:tc>
            </w:tr>
          </w:tbl>
          <w:p>
            <w:pPr>
              <w:spacing w:line="360" w:lineRule="auto"/>
              <w:ind w:right="170" w:firstLine="480" w:firstLineChars="200"/>
              <w:rPr>
                <w:sz w:val="24"/>
              </w:rPr>
            </w:pPr>
            <w:r>
              <w:rPr>
                <w:sz w:val="24"/>
              </w:rPr>
              <w:t>项目位于南昌小蓝经济技术开发区</w:t>
            </w:r>
            <w:r>
              <w:rPr>
                <w:rFonts w:hint="eastAsia"/>
                <w:sz w:val="24"/>
              </w:rPr>
              <w:t>涟漪路以西、汽车南路以北</w:t>
            </w:r>
            <w:r>
              <w:rPr>
                <w:sz w:val="24"/>
              </w:rPr>
              <w:t>，位于小蓝汽车城，</w:t>
            </w:r>
            <w:r>
              <w:rPr>
                <w:rFonts w:hint="eastAsia"/>
                <w:sz w:val="24"/>
              </w:rPr>
              <w:t>生态环境准入清单相符性分析见下表：</w:t>
            </w:r>
          </w:p>
          <w:p>
            <w:pPr>
              <w:keepNext/>
              <w:jc w:val="center"/>
              <w:outlineLvl w:val="3"/>
              <w:rPr>
                <w:szCs w:val="21"/>
              </w:rPr>
            </w:pPr>
            <w:r>
              <w:rPr>
                <w:b/>
                <w:szCs w:val="21"/>
              </w:rPr>
              <w:t>表1-</w:t>
            </w:r>
            <w:r>
              <w:rPr>
                <w:rFonts w:hint="eastAsia"/>
                <w:b/>
                <w:szCs w:val="21"/>
              </w:rPr>
              <w:t>2</w:t>
            </w:r>
            <w:r>
              <w:rPr>
                <w:b/>
                <w:szCs w:val="21"/>
              </w:rPr>
              <w:t xml:space="preserve">  </w:t>
            </w:r>
            <w:r>
              <w:rPr>
                <w:rFonts w:hint="eastAsia"/>
                <w:b/>
                <w:szCs w:val="21"/>
              </w:rPr>
              <w:t>小蓝汽车城生态环境准入清单</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773"/>
              <w:gridCol w:w="3875"/>
              <w:gridCol w:w="3182"/>
              <w:gridCol w:w="579"/>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2764" w:type="pct"/>
                  <w:gridSpan w:val="2"/>
                  <w:vAlign w:val="center"/>
                </w:tcPr>
                <w:p>
                  <w:pPr>
                    <w:jc w:val="center"/>
                    <w:rPr>
                      <w:b/>
                      <w:szCs w:val="22"/>
                    </w:rPr>
                  </w:pPr>
                  <w:r>
                    <w:rPr>
                      <w:b/>
                      <w:szCs w:val="22"/>
                    </w:rPr>
                    <w:t>清单要求</w:t>
                  </w:r>
                </w:p>
              </w:tc>
              <w:tc>
                <w:tcPr>
                  <w:tcW w:w="1892" w:type="pct"/>
                  <w:vAlign w:val="center"/>
                </w:tcPr>
                <w:p>
                  <w:pPr>
                    <w:jc w:val="center"/>
                    <w:rPr>
                      <w:b/>
                      <w:szCs w:val="22"/>
                    </w:rPr>
                  </w:pPr>
                  <w:r>
                    <w:rPr>
                      <w:b/>
                      <w:szCs w:val="22"/>
                    </w:rPr>
                    <w:t>本项目情况</w:t>
                  </w:r>
                </w:p>
              </w:tc>
              <w:tc>
                <w:tcPr>
                  <w:tcW w:w="344" w:type="pct"/>
                  <w:vAlign w:val="center"/>
                </w:tcPr>
                <w:p>
                  <w:pPr>
                    <w:jc w:val="center"/>
                    <w:rPr>
                      <w:b/>
                      <w:szCs w:val="22"/>
                    </w:rPr>
                  </w:pPr>
                  <w:r>
                    <w:rPr>
                      <w:b/>
                      <w:szCs w:val="22"/>
                    </w:rPr>
                    <w:t>是否符合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60" w:type="pct"/>
                  <w:tcBorders>
                    <w:right w:val="single" w:color="auto" w:sz="6" w:space="0"/>
                  </w:tcBorders>
                  <w:vAlign w:val="center"/>
                </w:tcPr>
                <w:p>
                  <w:pPr>
                    <w:jc w:val="center"/>
                    <w:rPr>
                      <w:szCs w:val="22"/>
                    </w:rPr>
                  </w:pPr>
                  <w:r>
                    <w:rPr>
                      <w:szCs w:val="22"/>
                    </w:rPr>
                    <w:t>限制类</w:t>
                  </w:r>
                </w:p>
              </w:tc>
              <w:tc>
                <w:tcPr>
                  <w:tcW w:w="2304" w:type="pct"/>
                  <w:tcBorders>
                    <w:left w:val="single" w:color="auto" w:sz="6" w:space="0"/>
                  </w:tcBorders>
                  <w:vAlign w:val="center"/>
                </w:tcPr>
                <w:p>
                  <w:pPr>
                    <w:widowControl/>
                    <w:rPr>
                      <w:rFonts w:ascii="宋体" w:hAnsi="宋体" w:cs="宋体"/>
                      <w:kern w:val="0"/>
                      <w:szCs w:val="21"/>
                    </w:rPr>
                  </w:pPr>
                  <w:r>
                    <w:rPr>
                      <w:rFonts w:hint="eastAsia" w:ascii="宋体" w:hAnsi="宋体"/>
                      <w:szCs w:val="21"/>
                    </w:rPr>
                    <w:t>1、单纯电镀项目（配套工序除外）。2、</w:t>
                  </w:r>
                  <w:r>
                    <w:rPr>
                      <w:rFonts w:hint="eastAsia" w:ascii="宋体" w:hAnsi="宋体" w:cs="宋体"/>
                      <w:kern w:val="0"/>
                      <w:szCs w:val="21"/>
                    </w:rPr>
                    <w:t>新增重金属排放的项目（区域重金属总量应等量替代或者减量替代）。</w:t>
                  </w:r>
                </w:p>
                <w:p>
                  <w:pPr>
                    <w:jc w:val="center"/>
                    <w:rPr>
                      <w:color w:val="FF0000"/>
                      <w:szCs w:val="22"/>
                    </w:rPr>
                  </w:pPr>
                  <w:r>
                    <w:rPr>
                      <w:rFonts w:hint="eastAsia" w:ascii="宋体" w:hAnsi="宋体" w:cs="宋体"/>
                      <w:kern w:val="0"/>
                      <w:szCs w:val="21"/>
                    </w:rPr>
                    <w:t>3、现有涉磷企业汽车制造等磷（尤其是总磷）排放量只减不增。</w:t>
                  </w:r>
                </w:p>
              </w:tc>
              <w:tc>
                <w:tcPr>
                  <w:tcW w:w="1892" w:type="pct"/>
                  <w:vAlign w:val="center"/>
                </w:tcPr>
                <w:p>
                  <w:pPr>
                    <w:jc w:val="center"/>
                    <w:rPr>
                      <w:szCs w:val="22"/>
                    </w:rPr>
                  </w:pPr>
                  <w:r>
                    <w:rPr>
                      <w:rFonts w:hint="eastAsia"/>
                      <w:szCs w:val="22"/>
                    </w:rPr>
                    <w:t>1、本项目不涉及电镀；</w:t>
                  </w:r>
                </w:p>
                <w:p>
                  <w:pPr>
                    <w:jc w:val="center"/>
                    <w:rPr>
                      <w:szCs w:val="22"/>
                    </w:rPr>
                  </w:pPr>
                  <w:r>
                    <w:rPr>
                      <w:rFonts w:hint="eastAsia"/>
                      <w:szCs w:val="22"/>
                    </w:rPr>
                    <w:t>2、不涉及重金属排放；</w:t>
                  </w:r>
                </w:p>
                <w:p>
                  <w:pPr>
                    <w:jc w:val="center"/>
                  </w:pPr>
                  <w:r>
                    <w:rPr>
                      <w:rFonts w:hint="eastAsia"/>
                      <w:szCs w:val="22"/>
                    </w:rPr>
                    <w:t>3、不涉磷。</w:t>
                  </w:r>
                </w:p>
              </w:tc>
              <w:tc>
                <w:tcPr>
                  <w:tcW w:w="344" w:type="pct"/>
                  <w:vAlign w:val="center"/>
                </w:tcPr>
                <w:p>
                  <w:pPr>
                    <w:jc w:val="center"/>
                    <w:rPr>
                      <w:color w:val="FF0000"/>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60" w:type="pct"/>
                  <w:tcBorders>
                    <w:right w:val="single" w:color="auto" w:sz="6" w:space="0"/>
                  </w:tcBorders>
                  <w:vAlign w:val="center"/>
                </w:tcPr>
                <w:p>
                  <w:pPr>
                    <w:jc w:val="center"/>
                    <w:rPr>
                      <w:color w:val="FF0000"/>
                      <w:szCs w:val="22"/>
                    </w:rPr>
                  </w:pPr>
                  <w:r>
                    <w:rPr>
                      <w:szCs w:val="22"/>
                    </w:rPr>
                    <w:t>禁止类</w:t>
                  </w:r>
                </w:p>
              </w:tc>
              <w:tc>
                <w:tcPr>
                  <w:tcW w:w="2304" w:type="pct"/>
                  <w:tcBorders>
                    <w:left w:val="single" w:color="auto" w:sz="6" w:space="0"/>
                  </w:tcBorders>
                  <w:vAlign w:val="center"/>
                </w:tcPr>
                <w:p>
                  <w:pPr>
                    <w:jc w:val="left"/>
                    <w:rPr>
                      <w:rFonts w:ascii="宋体" w:hAnsi="宋体"/>
                      <w:szCs w:val="21"/>
                    </w:rPr>
                  </w:pPr>
                  <w:r>
                    <w:rPr>
                      <w:rFonts w:hint="eastAsia" w:ascii="宋体" w:hAnsi="宋体"/>
                      <w:szCs w:val="21"/>
                    </w:rPr>
                    <w:t>1、</w:t>
                  </w:r>
                  <w:r>
                    <w:rPr>
                      <w:rFonts w:ascii="宋体" w:hAnsi="宋体"/>
                      <w:szCs w:val="21"/>
                    </w:rPr>
                    <w:t>赣府厅发[2008]58号文中的高能耗高排放项目</w:t>
                  </w:r>
                  <w:r>
                    <w:rPr>
                      <w:rFonts w:hint="eastAsia" w:ascii="宋体" w:hAnsi="宋体"/>
                      <w:szCs w:val="21"/>
                    </w:rPr>
                    <w:t>。</w:t>
                  </w:r>
                </w:p>
                <w:p>
                  <w:pPr>
                    <w:jc w:val="left"/>
                    <w:rPr>
                      <w:rFonts w:ascii="宋体" w:hAnsi="宋体"/>
                      <w:szCs w:val="21"/>
                    </w:rPr>
                  </w:pPr>
                  <w:r>
                    <w:rPr>
                      <w:rFonts w:hint="eastAsia" w:ascii="宋体" w:hAnsi="宋体"/>
                      <w:szCs w:val="21"/>
                    </w:rPr>
                    <w:t>2、靠近湿地两侧禁止引进大排水量企业，</w:t>
                  </w:r>
                  <w:r>
                    <w:rPr>
                      <w:rFonts w:hint="eastAsia" w:ascii="宋体" w:hAnsi="宋体" w:cs="宋体"/>
                      <w:kern w:val="0"/>
                      <w:szCs w:val="21"/>
                    </w:rPr>
                    <w:t>无可靠的风险及应急措施、废水不能接入园区污水厂企业</w:t>
                  </w:r>
                  <w:r>
                    <w:rPr>
                      <w:rFonts w:hint="eastAsia" w:ascii="宋体" w:hAnsi="宋体"/>
                      <w:szCs w:val="21"/>
                    </w:rPr>
                    <w:t>。</w:t>
                  </w:r>
                </w:p>
                <w:p>
                  <w:pPr>
                    <w:jc w:val="left"/>
                    <w:rPr>
                      <w:rFonts w:ascii="宋体" w:hAnsi="宋体"/>
                      <w:szCs w:val="21"/>
                    </w:rPr>
                  </w:pPr>
                  <w:r>
                    <w:rPr>
                      <w:rFonts w:hint="eastAsia" w:ascii="宋体" w:hAnsi="宋体"/>
                      <w:szCs w:val="21"/>
                    </w:rPr>
                    <w:t>3、东侧靠近雄溪河地块严禁布局废水量大的制造业。</w:t>
                  </w:r>
                </w:p>
                <w:p>
                  <w:pPr>
                    <w:jc w:val="left"/>
                    <w:rPr>
                      <w:rFonts w:ascii="宋体" w:hAnsi="宋体"/>
                      <w:szCs w:val="21"/>
                    </w:rPr>
                  </w:pPr>
                  <w:r>
                    <w:rPr>
                      <w:rFonts w:hint="eastAsia" w:ascii="宋体" w:hAnsi="宋体"/>
                      <w:szCs w:val="21"/>
                    </w:rPr>
                    <w:t>4、靠近铁路的地块禁止布局废气量大、有异味、噪声高的企业。</w:t>
                  </w:r>
                </w:p>
                <w:p>
                  <w:pPr>
                    <w:jc w:val="left"/>
                    <w:rPr>
                      <w:rFonts w:ascii="宋体" w:hAnsi="宋体"/>
                      <w:szCs w:val="21"/>
                    </w:rPr>
                  </w:pPr>
                  <w:r>
                    <w:rPr>
                      <w:rFonts w:hint="eastAsia" w:ascii="宋体" w:hAnsi="宋体"/>
                      <w:szCs w:val="21"/>
                    </w:rPr>
                    <w:t>5、以危废为原料的项目。</w:t>
                  </w:r>
                </w:p>
                <w:p>
                  <w:pPr>
                    <w:jc w:val="center"/>
                    <w:rPr>
                      <w:color w:val="FF0000"/>
                      <w:szCs w:val="22"/>
                    </w:rPr>
                  </w:pPr>
                  <w:r>
                    <w:rPr>
                      <w:rFonts w:hint="eastAsia" w:ascii="宋体" w:hAnsi="宋体" w:cs="宋体"/>
                      <w:kern w:val="0"/>
                      <w:szCs w:val="21"/>
                    </w:rPr>
                    <w:t>6、其他不符合园区规划的企业。</w:t>
                  </w:r>
                </w:p>
              </w:tc>
              <w:tc>
                <w:tcPr>
                  <w:tcW w:w="1892" w:type="pct"/>
                  <w:vAlign w:val="center"/>
                </w:tcPr>
                <w:p>
                  <w:pPr>
                    <w:jc w:val="center"/>
                    <w:rPr>
                      <w:szCs w:val="22"/>
                    </w:rPr>
                  </w:pPr>
                  <w:r>
                    <w:rPr>
                      <w:rFonts w:hint="eastAsia"/>
                      <w:szCs w:val="22"/>
                    </w:rPr>
                    <w:t>1、不属于</w:t>
                  </w:r>
                  <w:r>
                    <w:rPr>
                      <w:rFonts w:ascii="宋体" w:hAnsi="宋体"/>
                      <w:szCs w:val="21"/>
                    </w:rPr>
                    <w:t>赣府厅发[2008]58号文中的高能耗高排放项目</w:t>
                  </w:r>
                  <w:r>
                    <w:rPr>
                      <w:rFonts w:hint="eastAsia"/>
                      <w:szCs w:val="22"/>
                    </w:rPr>
                    <w:t>；</w:t>
                  </w:r>
                </w:p>
                <w:p>
                  <w:pPr>
                    <w:jc w:val="center"/>
                    <w:rPr>
                      <w:szCs w:val="22"/>
                    </w:rPr>
                  </w:pPr>
                  <w:r>
                    <w:rPr>
                      <w:rFonts w:hint="eastAsia"/>
                      <w:szCs w:val="22"/>
                    </w:rPr>
                    <w:t>2、不属于</w:t>
                  </w:r>
                  <w:r>
                    <w:rPr>
                      <w:rFonts w:hint="eastAsia" w:ascii="宋体" w:hAnsi="宋体"/>
                      <w:szCs w:val="21"/>
                    </w:rPr>
                    <w:t>大排水量企业，废水接入园区污水厂</w:t>
                  </w:r>
                  <w:r>
                    <w:rPr>
                      <w:rFonts w:hint="eastAsia"/>
                      <w:szCs w:val="22"/>
                    </w:rPr>
                    <w:t>；</w:t>
                  </w:r>
                </w:p>
                <w:p>
                  <w:pPr>
                    <w:jc w:val="center"/>
                    <w:rPr>
                      <w:szCs w:val="22"/>
                    </w:rPr>
                  </w:pPr>
                  <w:r>
                    <w:rPr>
                      <w:rFonts w:hint="eastAsia"/>
                      <w:szCs w:val="22"/>
                    </w:rPr>
                    <w:t>3、不属于</w:t>
                  </w:r>
                  <w:r>
                    <w:rPr>
                      <w:rFonts w:hint="eastAsia" w:ascii="宋体" w:hAnsi="宋体"/>
                      <w:szCs w:val="21"/>
                    </w:rPr>
                    <w:t>大排水量企业</w:t>
                  </w:r>
                  <w:r>
                    <w:rPr>
                      <w:rFonts w:hint="eastAsia"/>
                      <w:szCs w:val="22"/>
                    </w:rPr>
                    <w:t>；</w:t>
                  </w:r>
                </w:p>
                <w:p>
                  <w:pPr>
                    <w:jc w:val="center"/>
                    <w:rPr>
                      <w:szCs w:val="22"/>
                    </w:rPr>
                  </w:pPr>
                  <w:r>
                    <w:rPr>
                      <w:rFonts w:hint="eastAsia"/>
                      <w:szCs w:val="22"/>
                    </w:rPr>
                    <w:t>4、本项目废气量不大，没有异味，噪声不高；</w:t>
                  </w:r>
                </w:p>
                <w:p>
                  <w:pPr>
                    <w:jc w:val="center"/>
                    <w:rPr>
                      <w:szCs w:val="22"/>
                    </w:rPr>
                  </w:pPr>
                  <w:r>
                    <w:rPr>
                      <w:rFonts w:hint="eastAsia"/>
                      <w:szCs w:val="22"/>
                    </w:rPr>
                    <w:t>5、不</w:t>
                  </w:r>
                  <w:r>
                    <w:rPr>
                      <w:rFonts w:hint="eastAsia" w:ascii="宋体" w:hAnsi="宋体"/>
                      <w:szCs w:val="21"/>
                    </w:rPr>
                    <w:t>以危废为原料</w:t>
                  </w:r>
                  <w:r>
                    <w:rPr>
                      <w:rFonts w:hint="eastAsia"/>
                      <w:szCs w:val="22"/>
                    </w:rPr>
                    <w:t>；</w:t>
                  </w:r>
                </w:p>
                <w:p>
                  <w:pPr>
                    <w:jc w:val="center"/>
                  </w:pPr>
                  <w:r>
                    <w:rPr>
                      <w:rFonts w:hint="eastAsia"/>
                      <w:szCs w:val="22"/>
                    </w:rPr>
                    <w:t>6、符合园区规划。</w:t>
                  </w:r>
                </w:p>
              </w:tc>
              <w:tc>
                <w:tcPr>
                  <w:tcW w:w="344" w:type="pct"/>
                  <w:vAlign w:val="center"/>
                </w:tcPr>
                <w:p>
                  <w:pPr>
                    <w:jc w:val="center"/>
                    <w:rPr>
                      <w:color w:val="FF0000"/>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60" w:type="pct"/>
                  <w:tcBorders>
                    <w:right w:val="single" w:color="auto" w:sz="6" w:space="0"/>
                  </w:tcBorders>
                  <w:vAlign w:val="center"/>
                </w:tcPr>
                <w:p>
                  <w:pPr>
                    <w:jc w:val="center"/>
                    <w:rPr>
                      <w:szCs w:val="22"/>
                    </w:rPr>
                  </w:pPr>
                  <w:r>
                    <w:rPr>
                      <w:rFonts w:hint="eastAsia"/>
                      <w:szCs w:val="22"/>
                    </w:rPr>
                    <w:t>涉及的生态环境敏感目标</w:t>
                  </w:r>
                </w:p>
              </w:tc>
              <w:tc>
                <w:tcPr>
                  <w:tcW w:w="2304" w:type="pct"/>
                  <w:tcBorders>
                    <w:left w:val="single" w:color="auto" w:sz="6" w:space="0"/>
                  </w:tcBorders>
                  <w:vAlign w:val="center"/>
                </w:tcPr>
                <w:p>
                  <w:pPr>
                    <w:jc w:val="center"/>
                    <w:rPr>
                      <w:color w:val="FF0000"/>
                      <w:szCs w:val="22"/>
                    </w:rPr>
                  </w:pPr>
                  <w:r>
                    <w:rPr>
                      <w:rFonts w:hint="eastAsia" w:ascii="宋体" w:hAnsi="宋体"/>
                      <w:szCs w:val="21"/>
                    </w:rPr>
                    <w:t>抚河故道及湿地斑块、区内湖泊、雄溪河，以</w:t>
                  </w:r>
                  <w:r>
                    <w:rPr>
                      <w:rFonts w:hint="eastAsia" w:ascii="宋体" w:hAnsi="宋体" w:cs="宋体"/>
                      <w:kern w:val="0"/>
                      <w:szCs w:val="21"/>
                    </w:rPr>
                    <w:t>保护区域水资源及水生生态环境为主要功能。</w:t>
                  </w:r>
                </w:p>
              </w:tc>
              <w:tc>
                <w:tcPr>
                  <w:tcW w:w="1892" w:type="pct"/>
                  <w:vAlign w:val="center"/>
                </w:tcPr>
                <w:p>
                  <w:pPr>
                    <w:jc w:val="center"/>
                    <w:rPr>
                      <w:szCs w:val="22"/>
                    </w:rPr>
                  </w:pPr>
                  <w:r>
                    <w:rPr>
                      <w:szCs w:val="22"/>
                    </w:rPr>
                    <w:t>占地范围不涉及抚河故道或湿地斑块</w:t>
                  </w:r>
                  <w:r>
                    <w:rPr>
                      <w:rFonts w:hint="eastAsia"/>
                      <w:szCs w:val="22"/>
                    </w:rPr>
                    <w:t>、</w:t>
                  </w:r>
                  <w:r>
                    <w:rPr>
                      <w:szCs w:val="22"/>
                    </w:rPr>
                    <w:t>湖泊</w:t>
                  </w:r>
                  <w:r>
                    <w:rPr>
                      <w:rFonts w:hint="eastAsia"/>
                      <w:szCs w:val="22"/>
                    </w:rPr>
                    <w:t>、</w:t>
                  </w:r>
                  <w:r>
                    <w:rPr>
                      <w:szCs w:val="22"/>
                    </w:rPr>
                    <w:t>雄溪河</w:t>
                  </w:r>
                </w:p>
              </w:tc>
              <w:tc>
                <w:tcPr>
                  <w:tcW w:w="344" w:type="pct"/>
                  <w:vAlign w:val="center"/>
                </w:tcPr>
                <w:p>
                  <w:pPr>
                    <w:jc w:val="center"/>
                    <w:rPr>
                      <w:color w:val="FF0000"/>
                      <w:szCs w:val="22"/>
                    </w:rPr>
                  </w:pPr>
                  <w:r>
                    <w:rPr>
                      <w:szCs w:val="2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60" w:type="pct"/>
                  <w:tcBorders>
                    <w:right w:val="single" w:color="auto" w:sz="6" w:space="0"/>
                  </w:tcBorders>
                  <w:vAlign w:val="center"/>
                </w:tcPr>
                <w:p>
                  <w:pPr>
                    <w:jc w:val="center"/>
                    <w:rPr>
                      <w:color w:val="FF0000"/>
                      <w:szCs w:val="22"/>
                    </w:rPr>
                  </w:pPr>
                  <w:r>
                    <w:rPr>
                      <w:rFonts w:hint="eastAsia"/>
                      <w:szCs w:val="22"/>
                    </w:rPr>
                    <w:t>建议</w:t>
                  </w:r>
                </w:p>
              </w:tc>
              <w:tc>
                <w:tcPr>
                  <w:tcW w:w="2304" w:type="pct"/>
                  <w:tcBorders>
                    <w:left w:val="single" w:color="auto" w:sz="6" w:space="0"/>
                  </w:tcBorders>
                  <w:vAlign w:val="center"/>
                </w:tcPr>
                <w:p>
                  <w:pPr>
                    <w:jc w:val="center"/>
                    <w:rPr>
                      <w:color w:val="FF0000"/>
                      <w:szCs w:val="22"/>
                    </w:rPr>
                  </w:pPr>
                  <w:r>
                    <w:rPr>
                      <w:rFonts w:hint="eastAsia" w:ascii="宋体" w:hAnsi="宋体"/>
                      <w:szCs w:val="21"/>
                    </w:rPr>
                    <w:t>目前尚未开发完毕，应以江铃汽车为主，延长产业链，同时接纳区域搬迁的企业，在企业选址阶段应进行充分论证，注重产业布局。</w:t>
                  </w:r>
                </w:p>
              </w:tc>
              <w:tc>
                <w:tcPr>
                  <w:tcW w:w="1892" w:type="pct"/>
                  <w:vAlign w:val="center"/>
                </w:tcPr>
                <w:p>
                  <w:pPr>
                    <w:jc w:val="center"/>
                    <w:rPr>
                      <w:szCs w:val="22"/>
                    </w:rPr>
                  </w:pPr>
                  <w:r>
                    <w:rPr>
                      <w:rFonts w:hint="eastAsia"/>
                      <w:szCs w:val="22"/>
                    </w:rPr>
                    <w:t>本项目属于汽车零部件及配件制造，符合产业发展规划要求</w:t>
                  </w:r>
                </w:p>
              </w:tc>
              <w:tc>
                <w:tcPr>
                  <w:tcW w:w="344" w:type="pct"/>
                  <w:vAlign w:val="center"/>
                </w:tcPr>
                <w:p>
                  <w:pPr>
                    <w:jc w:val="center"/>
                    <w:rPr>
                      <w:szCs w:val="22"/>
                    </w:rPr>
                  </w:pPr>
                  <w:r>
                    <w:rPr>
                      <w:szCs w:val="22"/>
                    </w:rPr>
                    <w:t>是</w:t>
                  </w:r>
                </w:p>
              </w:tc>
            </w:tr>
          </w:tbl>
          <w:p>
            <w:pPr>
              <w:spacing w:line="360" w:lineRule="auto"/>
              <w:ind w:right="170" w:firstLine="480" w:firstLineChars="200"/>
              <w:rPr>
                <w:sz w:val="24"/>
              </w:rPr>
            </w:pPr>
            <w:r>
              <w:rPr>
                <w:rFonts w:hint="eastAsia"/>
                <w:sz w:val="24"/>
              </w:rPr>
              <w:t>综上所述，项目与南昌小蓝经济技术开发区环境准入产业清单、综合产业园生态环境准入清单相符。</w:t>
            </w:r>
          </w:p>
          <w:p>
            <w:pPr>
              <w:spacing w:line="360" w:lineRule="auto"/>
              <w:ind w:right="170" w:firstLine="480" w:firstLineChars="200"/>
              <w:rPr>
                <w:color w:val="FF0000"/>
                <w:kern w:val="0"/>
                <w:sz w:val="24"/>
              </w:rPr>
            </w:pPr>
            <w:r>
              <w:rPr>
                <w:sz w:val="24"/>
              </w:rPr>
              <w:t>另规划环评审查意见中要求，</w:t>
            </w:r>
            <w:r>
              <w:rPr>
                <w:rFonts w:hint="eastAsia"/>
                <w:sz w:val="24"/>
              </w:rPr>
              <w:t>“</w:t>
            </w:r>
            <w:r>
              <w:rPr>
                <w:sz w:val="24"/>
              </w:rPr>
              <w:t>落实</w:t>
            </w:r>
            <w:r>
              <w:rPr>
                <w:rFonts w:hint="eastAsia"/>
                <w:sz w:val="24"/>
              </w:rPr>
              <w:t>《报告书》生态环境准入要求，</w:t>
            </w:r>
            <w:r>
              <w:rPr>
                <w:sz w:val="24"/>
              </w:rPr>
              <w:t>限制与主导产业不相关、污染物排放量大的项目入区</w:t>
            </w:r>
            <w:r>
              <w:rPr>
                <w:rFonts w:hint="eastAsia"/>
                <w:sz w:val="24"/>
              </w:rPr>
              <w:t>。</w:t>
            </w:r>
            <w:r>
              <w:rPr>
                <w:sz w:val="24"/>
              </w:rPr>
              <w:t>引进项目的生产工艺</w:t>
            </w:r>
            <w:r>
              <w:rPr>
                <w:rFonts w:hint="eastAsia"/>
                <w:sz w:val="24"/>
              </w:rPr>
              <w:t>、</w:t>
            </w:r>
            <w:r>
              <w:rPr>
                <w:sz w:val="24"/>
              </w:rPr>
              <w:t>设备</w:t>
            </w:r>
            <w:r>
              <w:rPr>
                <w:rFonts w:hint="eastAsia"/>
                <w:sz w:val="24"/>
              </w:rPr>
              <w:t>，</w:t>
            </w:r>
            <w:r>
              <w:rPr>
                <w:sz w:val="24"/>
              </w:rPr>
              <w:t>以及单位产品能耗</w:t>
            </w:r>
            <w:r>
              <w:rPr>
                <w:rFonts w:hint="eastAsia"/>
                <w:sz w:val="24"/>
              </w:rPr>
              <w:t>、</w:t>
            </w:r>
            <w:r>
              <w:rPr>
                <w:sz w:val="24"/>
              </w:rPr>
              <w:t>污染物排放和资源利用效率等均需达到同行业国际先进水平</w:t>
            </w:r>
            <w:r>
              <w:rPr>
                <w:rFonts w:hint="eastAsia"/>
                <w:sz w:val="24"/>
              </w:rPr>
              <w:t>”。</w:t>
            </w:r>
            <w:r>
              <w:rPr>
                <w:sz w:val="24"/>
              </w:rPr>
              <w:t>本项目为</w:t>
            </w:r>
            <w:r>
              <w:rPr>
                <w:rFonts w:hint="eastAsia"/>
                <w:sz w:val="24"/>
              </w:rPr>
              <w:t>汽车零部件及配件制造</w:t>
            </w:r>
            <w:r>
              <w:rPr>
                <w:sz w:val="24"/>
              </w:rPr>
              <w:t>业，位于小蓝汽车城，与片区主导产业相关，同时本项目不属于污染物排放量大的企业，清洁生产水平可达到同行业国际先进水平</w:t>
            </w:r>
            <w:r>
              <w:rPr>
                <w:rFonts w:hint="eastAsia"/>
                <w:sz w:val="24"/>
              </w:rPr>
              <w:t>，</w:t>
            </w:r>
            <w:r>
              <w:rPr>
                <w:sz w:val="24"/>
              </w:rPr>
              <w:t>因此本项目与规划环境影响评价结论及审查意见相符。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3" w:type="dxa"/>
            <w:vAlign w:val="center"/>
          </w:tcPr>
          <w:p>
            <w:pPr>
              <w:autoSpaceDE w:val="0"/>
              <w:autoSpaceDN w:val="0"/>
              <w:adjustRightInd w:val="0"/>
              <w:snapToGrid w:val="0"/>
              <w:jc w:val="center"/>
              <w:rPr>
                <w:kern w:val="0"/>
                <w:sz w:val="24"/>
              </w:rPr>
            </w:pPr>
            <w:r>
              <w:rPr>
                <w:kern w:val="0"/>
                <w:sz w:val="24"/>
              </w:rPr>
              <w:t>其他符合性分析</w:t>
            </w:r>
          </w:p>
        </w:tc>
        <w:tc>
          <w:tcPr>
            <w:tcW w:w="8625" w:type="dxa"/>
            <w:gridSpan w:val="3"/>
            <w:vAlign w:val="center"/>
          </w:tcPr>
          <w:p>
            <w:pPr>
              <w:numPr>
                <w:ilvl w:val="0"/>
                <w:numId w:val="3"/>
              </w:numPr>
              <w:autoSpaceDE w:val="0"/>
              <w:autoSpaceDN w:val="0"/>
              <w:adjustRightInd w:val="0"/>
              <w:snapToGrid w:val="0"/>
              <w:spacing w:line="360" w:lineRule="auto"/>
              <w:jc w:val="left"/>
              <w:rPr>
                <w:b/>
                <w:kern w:val="0"/>
                <w:sz w:val="24"/>
              </w:rPr>
            </w:pPr>
            <w:r>
              <w:rPr>
                <w:b/>
                <w:kern w:val="0"/>
                <w:sz w:val="24"/>
              </w:rPr>
              <w:t>产业政策相符性</w:t>
            </w:r>
          </w:p>
          <w:p>
            <w:pPr>
              <w:autoSpaceDE w:val="0"/>
              <w:autoSpaceDN w:val="0"/>
              <w:adjustRightInd w:val="0"/>
              <w:snapToGrid w:val="0"/>
              <w:spacing w:line="360" w:lineRule="auto"/>
              <w:ind w:firstLine="480" w:firstLineChars="200"/>
              <w:jc w:val="left"/>
              <w:rPr>
                <w:kern w:val="0"/>
                <w:sz w:val="24"/>
              </w:rPr>
            </w:pPr>
            <w:r>
              <w:rPr>
                <w:bCs/>
                <w:sz w:val="24"/>
              </w:rPr>
              <w:t>本项目不属于《产业结构调整指导目录（2019年本）》中的</w:t>
            </w:r>
            <w:r>
              <w:rPr>
                <w:sz w:val="24"/>
              </w:rPr>
              <w:t>限制类和淘汰类，为允许类项目</w:t>
            </w:r>
            <w:r>
              <w:rPr>
                <w:bCs/>
                <w:sz w:val="24"/>
              </w:rPr>
              <w:t>；同时南昌县行政审批局于20</w:t>
            </w:r>
            <w:r>
              <w:rPr>
                <w:rFonts w:hint="eastAsia"/>
                <w:bCs/>
                <w:sz w:val="24"/>
              </w:rPr>
              <w:t>20</w:t>
            </w:r>
            <w:r>
              <w:rPr>
                <w:bCs/>
                <w:sz w:val="24"/>
              </w:rPr>
              <w:t>年</w:t>
            </w:r>
            <w:r>
              <w:rPr>
                <w:rFonts w:hint="eastAsia"/>
                <w:bCs/>
                <w:sz w:val="24"/>
              </w:rPr>
              <w:t>5</w:t>
            </w:r>
            <w:r>
              <w:rPr>
                <w:bCs/>
                <w:sz w:val="24"/>
              </w:rPr>
              <w:t>月</w:t>
            </w:r>
            <w:r>
              <w:rPr>
                <w:rFonts w:hint="eastAsia"/>
                <w:bCs/>
                <w:sz w:val="24"/>
              </w:rPr>
              <w:t>15</w:t>
            </w:r>
            <w:r>
              <w:rPr>
                <w:bCs/>
                <w:sz w:val="24"/>
              </w:rPr>
              <w:t>日对本项目进行了备案登记，项目建设符合国家和地方产业政策。</w:t>
            </w:r>
          </w:p>
          <w:p>
            <w:pPr>
              <w:numPr>
                <w:ilvl w:val="0"/>
                <w:numId w:val="3"/>
              </w:numPr>
              <w:autoSpaceDE w:val="0"/>
              <w:autoSpaceDN w:val="0"/>
              <w:adjustRightInd w:val="0"/>
              <w:snapToGrid w:val="0"/>
              <w:spacing w:line="360" w:lineRule="auto"/>
              <w:jc w:val="left"/>
              <w:rPr>
                <w:b/>
                <w:kern w:val="0"/>
                <w:sz w:val="24"/>
              </w:rPr>
            </w:pPr>
            <w:r>
              <w:rPr>
                <w:b/>
                <w:kern w:val="0"/>
                <w:sz w:val="24"/>
              </w:rPr>
              <w:t>“三线一单”符合性分析</w:t>
            </w:r>
          </w:p>
          <w:p>
            <w:pPr>
              <w:autoSpaceDE w:val="0"/>
              <w:autoSpaceDN w:val="0"/>
              <w:adjustRightInd w:val="0"/>
              <w:spacing w:line="360" w:lineRule="auto"/>
              <w:ind w:firstLine="480" w:firstLineChars="200"/>
              <w:rPr>
                <w:snapToGrid w:val="0"/>
                <w:kern w:val="32"/>
                <w:sz w:val="24"/>
              </w:rPr>
            </w:pPr>
            <w:r>
              <w:rPr>
                <w:snapToGrid w:val="0"/>
                <w:kern w:val="32"/>
                <w:sz w:val="24"/>
              </w:rPr>
              <w:t>（1）与生态保护红线相符性分析</w:t>
            </w:r>
          </w:p>
          <w:p>
            <w:pPr>
              <w:autoSpaceDE w:val="0"/>
              <w:autoSpaceDN w:val="0"/>
              <w:adjustRightInd w:val="0"/>
              <w:spacing w:line="360" w:lineRule="auto"/>
              <w:ind w:firstLine="480" w:firstLineChars="200"/>
              <w:rPr>
                <w:snapToGrid w:val="0"/>
                <w:kern w:val="32"/>
                <w:sz w:val="24"/>
              </w:rPr>
            </w:pPr>
            <w:r>
              <w:rPr>
                <w:sz w:val="24"/>
              </w:rPr>
              <w:t>根据《南昌市生态保护红线划定范围图》，本项目不在生态保护红线范围内（详见附图4），</w:t>
            </w:r>
            <w:r>
              <w:rPr>
                <w:snapToGrid w:val="0"/>
                <w:kern w:val="32"/>
                <w:sz w:val="24"/>
              </w:rPr>
              <w:t>因此，本项目的建设与</w:t>
            </w:r>
            <w:r>
              <w:rPr>
                <w:sz w:val="24"/>
              </w:rPr>
              <w:t>南昌市</w:t>
            </w:r>
            <w:r>
              <w:rPr>
                <w:snapToGrid w:val="0"/>
                <w:kern w:val="32"/>
                <w:sz w:val="24"/>
              </w:rPr>
              <w:t>生态保护红线划定方案相符。</w:t>
            </w:r>
          </w:p>
          <w:p>
            <w:pPr>
              <w:autoSpaceDE w:val="0"/>
              <w:autoSpaceDN w:val="0"/>
              <w:adjustRightInd w:val="0"/>
              <w:spacing w:line="360" w:lineRule="auto"/>
              <w:ind w:firstLine="480" w:firstLineChars="200"/>
              <w:rPr>
                <w:snapToGrid w:val="0"/>
                <w:kern w:val="32"/>
                <w:sz w:val="24"/>
              </w:rPr>
            </w:pPr>
            <w:r>
              <w:rPr>
                <w:snapToGrid w:val="0"/>
                <w:kern w:val="32"/>
                <w:sz w:val="24"/>
              </w:rPr>
              <w:t>（2）与环境质量底线相符性分析</w:t>
            </w:r>
          </w:p>
          <w:p>
            <w:pPr>
              <w:adjustRightInd w:val="0"/>
              <w:snapToGrid w:val="0"/>
              <w:spacing w:line="360" w:lineRule="auto"/>
              <w:ind w:firstLine="480" w:firstLineChars="200"/>
              <w:rPr>
                <w:snapToGrid w:val="0"/>
                <w:kern w:val="32"/>
                <w:sz w:val="24"/>
              </w:rPr>
            </w:pPr>
            <w:r>
              <w:rPr>
                <w:snapToGrid w:val="0"/>
                <w:kern w:val="32"/>
                <w:sz w:val="24"/>
              </w:rPr>
              <w:t>根据项目环境功能区区划，项目区域环境空气质量执行《环境空气质量标准》(GB3095-2012)中二类区标准，地表水环境质量执行《地表水环境质量标准》(GB3838-2002)中Ⅲ类水域水质标准，声环境执行《声环境质量标准》(GB3096-2008)</w:t>
            </w:r>
            <w:r>
              <w:rPr>
                <w:rFonts w:hint="eastAsia"/>
                <w:snapToGrid w:val="0"/>
                <w:kern w:val="32"/>
                <w:sz w:val="24"/>
              </w:rPr>
              <w:t>3</w:t>
            </w:r>
            <w:r>
              <w:rPr>
                <w:snapToGrid w:val="0"/>
                <w:kern w:val="32"/>
                <w:sz w:val="24"/>
              </w:rPr>
              <w:t>类标准。目前，项目所在区域环境质量均能达到相应环境质量标准要求。项目建成后，通过建设单位严格落实各项环保措施后对环境空气质量影响轻微；项目厂区</w:t>
            </w:r>
            <w:r>
              <w:rPr>
                <w:rFonts w:hint="eastAsia"/>
                <w:snapToGrid w:val="0"/>
                <w:kern w:val="32"/>
                <w:sz w:val="24"/>
              </w:rPr>
              <w:t>生活污水经化粪池</w:t>
            </w:r>
            <w:r>
              <w:rPr>
                <w:snapToGrid w:val="0"/>
                <w:kern w:val="32"/>
                <w:sz w:val="24"/>
              </w:rPr>
              <w:t>预处理后外排至</w:t>
            </w:r>
            <w:r>
              <w:rPr>
                <w:rFonts w:hint="eastAsia"/>
                <w:snapToGrid w:val="0"/>
                <w:kern w:val="32"/>
                <w:sz w:val="24"/>
              </w:rPr>
              <w:t>小蓝污水处理厂</w:t>
            </w:r>
            <w:r>
              <w:rPr>
                <w:snapToGrid w:val="0"/>
                <w:kern w:val="32"/>
                <w:sz w:val="24"/>
              </w:rPr>
              <w:t>；采取噪声防治措施后，项目厂区边界昼夜间噪声满足《工业企业厂界环境噪声排放标准》(GB12348-2008)</w:t>
            </w:r>
            <w:r>
              <w:rPr>
                <w:rFonts w:hint="eastAsia"/>
                <w:snapToGrid w:val="0"/>
                <w:kern w:val="32"/>
                <w:sz w:val="24"/>
              </w:rPr>
              <w:t>3</w:t>
            </w:r>
            <w:r>
              <w:rPr>
                <w:snapToGrid w:val="0"/>
                <w:kern w:val="32"/>
                <w:sz w:val="24"/>
              </w:rPr>
              <w:t>类标准要求，对周围声环境影响不明显。</w:t>
            </w:r>
          </w:p>
          <w:p>
            <w:pPr>
              <w:adjustRightInd w:val="0"/>
              <w:snapToGrid w:val="0"/>
              <w:spacing w:line="360" w:lineRule="auto"/>
              <w:ind w:firstLine="480" w:firstLineChars="200"/>
              <w:rPr>
                <w:snapToGrid w:val="0"/>
                <w:kern w:val="32"/>
                <w:sz w:val="24"/>
              </w:rPr>
            </w:pPr>
            <w:r>
              <w:rPr>
                <w:snapToGrid w:val="0"/>
                <w:kern w:val="32"/>
                <w:sz w:val="24"/>
              </w:rPr>
              <w:t>（3）与资源利用上线相符性分析</w:t>
            </w:r>
          </w:p>
          <w:p>
            <w:pPr>
              <w:adjustRightInd w:val="0"/>
              <w:snapToGrid w:val="0"/>
              <w:spacing w:line="360" w:lineRule="auto"/>
              <w:ind w:firstLine="480" w:firstLineChars="200"/>
              <w:rPr>
                <w:snapToGrid w:val="0"/>
                <w:kern w:val="32"/>
                <w:sz w:val="24"/>
              </w:rPr>
            </w:pPr>
            <w:r>
              <w:rPr>
                <w:snapToGrid w:val="0"/>
                <w:kern w:val="32"/>
                <w:sz w:val="24"/>
              </w:rPr>
              <w:t>资源是环境的载体，资源利用上线是促进资源能源节约，保障能源、水、土地等资源高效利用，不应突破的最高限值。本项目运营过程主要资源消耗为电能，由市政供电供给，对当地能源、水、土地资源影响不大，不会超出当地资源利用上线。</w:t>
            </w:r>
          </w:p>
          <w:p>
            <w:pPr>
              <w:adjustRightInd w:val="0"/>
              <w:snapToGrid w:val="0"/>
              <w:spacing w:line="360" w:lineRule="auto"/>
              <w:ind w:firstLine="480" w:firstLineChars="200"/>
              <w:rPr>
                <w:snapToGrid w:val="0"/>
                <w:kern w:val="32"/>
                <w:sz w:val="24"/>
              </w:rPr>
            </w:pPr>
            <w:r>
              <w:rPr>
                <w:snapToGrid w:val="0"/>
                <w:kern w:val="32"/>
                <w:sz w:val="24"/>
              </w:rPr>
              <w:t>（4）环境负面清单</w:t>
            </w:r>
          </w:p>
          <w:p>
            <w:pPr>
              <w:snapToGrid w:val="0"/>
              <w:spacing w:line="360" w:lineRule="auto"/>
              <w:ind w:firstLine="480"/>
              <w:rPr>
                <w:snapToGrid w:val="0"/>
                <w:kern w:val="32"/>
                <w:sz w:val="24"/>
              </w:rPr>
            </w:pPr>
            <w:r>
              <w:rPr>
                <w:snapToGrid w:val="0"/>
                <w:kern w:val="32"/>
                <w:sz w:val="24"/>
              </w:rPr>
              <w:t>根据《南昌市人民政府关于印发南昌市“三线一单”生态环境分区管控方案的通知》（洪府发[2021]1号），本项目所在地为</w:t>
            </w:r>
            <w:r>
              <w:rPr>
                <w:rFonts w:hint="eastAsia"/>
                <w:sz w:val="24"/>
              </w:rPr>
              <w:t>南昌县小蓝经济技术开发区涟漪路以西、汽车南路以北</w:t>
            </w:r>
            <w:r>
              <w:rPr>
                <w:snapToGrid w:val="0"/>
                <w:kern w:val="32"/>
                <w:sz w:val="24"/>
              </w:rPr>
              <w:t>，为南昌县重点管控单元6，重点管控单元应优化空间和产业布局，结合生态环境质量达标情况以及经济社会发展水平等，按照差别化的生态环境准入要求，加强污染物排放控制和环境风险防控，不断提升资源利用效率，稳步改善生态环境质量。</w:t>
            </w:r>
          </w:p>
          <w:p>
            <w:pPr>
              <w:snapToGrid w:val="0"/>
              <w:spacing w:line="360" w:lineRule="auto"/>
              <w:ind w:firstLine="480"/>
              <w:rPr>
                <w:sz w:val="24"/>
              </w:rPr>
            </w:pPr>
            <w:r>
              <w:rPr>
                <w:snapToGrid w:val="0"/>
                <w:kern w:val="32"/>
                <w:sz w:val="24"/>
              </w:rPr>
              <w:t>根据《南昌市生态环境局关于印发南昌市生态环境总体准入要求及环境管控单元生态环境准入清单的通知》（洪环发[2021]16号），南昌县重点管控单元6（环境管控单元编码：ZH</w:t>
            </w:r>
            <w:r>
              <w:t xml:space="preserve"> </w:t>
            </w:r>
            <w:r>
              <w:rPr>
                <w:snapToGrid w:val="0"/>
                <w:kern w:val="32"/>
                <w:sz w:val="24"/>
              </w:rPr>
              <w:t>36012120006）生态功能定位为赣江抚河下游滨湖平原农业环境保护与防洪分蓄洪生态功能区，单元特征为</w:t>
            </w:r>
            <w:r>
              <w:rPr>
                <w:rFonts w:hint="eastAsia" w:ascii="宋体" w:hAnsi="宋体" w:cs="宋体"/>
                <w:snapToGrid w:val="0"/>
                <w:kern w:val="32"/>
                <w:sz w:val="24"/>
              </w:rPr>
              <w:t>①</w:t>
            </w:r>
            <w:r>
              <w:rPr>
                <w:snapToGrid w:val="0"/>
                <w:kern w:val="32"/>
                <w:sz w:val="24"/>
              </w:rPr>
              <w:t>国家级经济开发区，</w:t>
            </w:r>
            <w:r>
              <w:rPr>
                <w:snapToGrid w:val="0"/>
                <w:color w:val="FF0000"/>
                <w:kern w:val="32"/>
                <w:sz w:val="24"/>
              </w:rPr>
              <w:t>重点发展</w:t>
            </w:r>
            <w:r>
              <w:rPr>
                <w:snapToGrid w:val="0"/>
                <w:kern w:val="32"/>
                <w:sz w:val="24"/>
              </w:rPr>
              <w:t>汽车及零部件、食品饮料、生物医药、装备制造、智能制造、新材料等产业。</w:t>
            </w:r>
            <w:r>
              <w:rPr>
                <w:rFonts w:hint="eastAsia" w:ascii="宋体" w:hAnsi="宋体" w:cs="宋体"/>
                <w:snapToGrid w:val="0"/>
                <w:kern w:val="32"/>
                <w:sz w:val="24"/>
              </w:rPr>
              <w:t>②</w:t>
            </w:r>
            <w:r>
              <w:rPr>
                <w:snapToGrid w:val="0"/>
                <w:kern w:val="32"/>
                <w:sz w:val="24"/>
              </w:rPr>
              <w:t>位于赣江干流，城镇化程度较高，工业和人口速度发展对区域环境保护带来较大压力。其准入清单见下表。</w:t>
            </w:r>
          </w:p>
          <w:p>
            <w:pPr>
              <w:jc w:val="center"/>
              <w:rPr>
                <w:b/>
                <w:szCs w:val="21"/>
              </w:rPr>
            </w:pPr>
            <w:r>
              <w:rPr>
                <w:b/>
                <w:szCs w:val="21"/>
              </w:rPr>
              <w:t>表1-</w:t>
            </w:r>
            <w:r>
              <w:rPr>
                <w:rFonts w:hint="eastAsia"/>
                <w:b/>
                <w:szCs w:val="21"/>
              </w:rPr>
              <w:t>3</w:t>
            </w:r>
            <w:r>
              <w:rPr>
                <w:b/>
                <w:szCs w:val="21"/>
              </w:rPr>
              <w:t xml:space="preserve">  南昌市环境管控单元生态环境准入清单</w:t>
            </w:r>
            <w:r>
              <w:rPr>
                <w:rFonts w:hint="eastAsia"/>
                <w:b/>
                <w:szCs w:val="21"/>
              </w:rPr>
              <w:t>（南昌县重点管控单元6）</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879"/>
              <w:gridCol w:w="1399"/>
              <w:gridCol w:w="333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23" w:type="pct"/>
                  <w:gridSpan w:val="4"/>
                  <w:tcBorders>
                    <w:top w:val="double" w:color="auto" w:sz="4" w:space="0"/>
                    <w:left w:val="nil"/>
                    <w:right w:val="nil"/>
                  </w:tcBorders>
                  <w:vAlign w:val="center"/>
                </w:tcPr>
                <w:p>
                  <w:pPr>
                    <w:jc w:val="center"/>
                    <w:rPr>
                      <w:b/>
                      <w:szCs w:val="22"/>
                    </w:rPr>
                  </w:pPr>
                  <w:r>
                    <w:rPr>
                      <w:b/>
                      <w:szCs w:val="22"/>
                    </w:rPr>
                    <w:t>清单要求</w:t>
                  </w:r>
                </w:p>
              </w:tc>
              <w:tc>
                <w:tcPr>
                  <w:tcW w:w="1177" w:type="pct"/>
                  <w:tcBorders>
                    <w:top w:val="double" w:color="auto" w:sz="4" w:space="0"/>
                    <w:right w:val="nil"/>
                  </w:tcBorders>
                  <w:vAlign w:val="center"/>
                </w:tcPr>
                <w:p>
                  <w:pPr>
                    <w:jc w:val="center"/>
                    <w:rPr>
                      <w:b/>
                      <w:szCs w:val="22"/>
                    </w:rPr>
                  </w:pPr>
                  <w:r>
                    <w:rPr>
                      <w:b/>
                      <w:szCs w:val="22"/>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restart"/>
                  <w:tcBorders>
                    <w:left w:val="nil"/>
                  </w:tcBorders>
                  <w:vAlign w:val="center"/>
                </w:tcPr>
                <w:p>
                  <w:pPr>
                    <w:jc w:val="center"/>
                    <w:rPr>
                      <w:szCs w:val="21"/>
                    </w:rPr>
                  </w:pPr>
                  <w:r>
                    <w:rPr>
                      <w:szCs w:val="21"/>
                    </w:rPr>
                    <w:t>空间布局约束</w:t>
                  </w:r>
                </w:p>
              </w:tc>
              <w:tc>
                <w:tcPr>
                  <w:tcW w:w="1356" w:type="pct"/>
                  <w:gridSpan w:val="2"/>
                  <w:vAlign w:val="center"/>
                </w:tcPr>
                <w:p>
                  <w:pPr>
                    <w:jc w:val="center"/>
                    <w:rPr>
                      <w:szCs w:val="21"/>
                    </w:rPr>
                  </w:pPr>
                  <w:r>
                    <w:rPr>
                      <w:szCs w:val="21"/>
                    </w:rPr>
                    <w:t>允许开发建设活动的要求</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1356" w:type="pct"/>
                  <w:gridSpan w:val="2"/>
                  <w:vAlign w:val="center"/>
                </w:tcPr>
                <w:p>
                  <w:pPr>
                    <w:jc w:val="center"/>
                    <w:rPr>
                      <w:szCs w:val="21"/>
                    </w:rPr>
                  </w:pPr>
                  <w:r>
                    <w:rPr>
                      <w:szCs w:val="21"/>
                    </w:rPr>
                    <w:t>禁止开发建设活动的要求</w:t>
                  </w:r>
                </w:p>
              </w:tc>
              <w:tc>
                <w:tcPr>
                  <w:tcW w:w="1983" w:type="pct"/>
                  <w:tcBorders>
                    <w:right w:val="nil"/>
                  </w:tcBorders>
                  <w:vAlign w:val="center"/>
                </w:tcPr>
                <w:p>
                  <w:pPr>
                    <w:jc w:val="center"/>
                    <w:rPr>
                      <w:szCs w:val="21"/>
                    </w:rPr>
                  </w:pPr>
                  <w:r>
                    <w:rPr>
                      <w:szCs w:val="21"/>
                    </w:rPr>
                    <w:t>禁止新建不符合园区产业定位的企业</w:t>
                  </w:r>
                </w:p>
              </w:tc>
              <w:tc>
                <w:tcPr>
                  <w:tcW w:w="1177" w:type="pct"/>
                  <w:tcBorders>
                    <w:right w:val="nil"/>
                  </w:tcBorders>
                  <w:vAlign w:val="center"/>
                </w:tcPr>
                <w:p>
                  <w:pPr>
                    <w:jc w:val="center"/>
                    <w:rPr>
                      <w:szCs w:val="21"/>
                    </w:rPr>
                  </w:pPr>
                  <w:r>
                    <w:rPr>
                      <w:szCs w:val="21"/>
                    </w:rPr>
                    <w:t>本项目符合园区产业定位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1356" w:type="pct"/>
                  <w:gridSpan w:val="2"/>
                  <w:vAlign w:val="center"/>
                </w:tcPr>
                <w:p>
                  <w:pPr>
                    <w:jc w:val="center"/>
                    <w:rPr>
                      <w:szCs w:val="21"/>
                    </w:rPr>
                  </w:pPr>
                  <w:r>
                    <w:rPr>
                      <w:szCs w:val="21"/>
                    </w:rPr>
                    <w:t>限制开发建设活动的</w:t>
                  </w:r>
                  <w:r>
                    <w:rPr>
                      <w:rFonts w:hint="eastAsia"/>
                      <w:szCs w:val="21"/>
                    </w:rPr>
                    <w:t>要求</w:t>
                  </w:r>
                </w:p>
              </w:tc>
              <w:tc>
                <w:tcPr>
                  <w:tcW w:w="1983" w:type="pct"/>
                  <w:tcBorders>
                    <w:right w:val="nil"/>
                  </w:tcBorders>
                  <w:vAlign w:val="center"/>
                </w:tcPr>
                <w:p>
                  <w:pPr>
                    <w:jc w:val="center"/>
                    <w:rPr>
                      <w:szCs w:val="21"/>
                    </w:rPr>
                  </w:pPr>
                  <w:r>
                    <w:rPr>
                      <w:szCs w:val="21"/>
                    </w:rPr>
                    <w:t>1、不得新建金属冶炼工艺、农药制造、陶瓷、水泥等污染严重项目。2、不得在赣江干流5公里范围内再新布局重化工园区，1公里范围内新上化工、造纸、制革、冶炼等重污染项目。</w:t>
                  </w:r>
                </w:p>
              </w:tc>
              <w:tc>
                <w:tcPr>
                  <w:tcW w:w="1177" w:type="pct"/>
                  <w:tcBorders>
                    <w:right w:val="nil"/>
                  </w:tcBorders>
                  <w:vAlign w:val="center"/>
                </w:tcPr>
                <w:p>
                  <w:pPr>
                    <w:jc w:val="center"/>
                    <w:rPr>
                      <w:szCs w:val="21"/>
                    </w:rPr>
                  </w:pPr>
                  <w:r>
                    <w:rPr>
                      <w:szCs w:val="21"/>
                    </w:rPr>
                    <w:t>本项目不属于化工造纸、制革、冶炼等重污染项目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1356" w:type="pct"/>
                  <w:gridSpan w:val="2"/>
                  <w:vAlign w:val="center"/>
                </w:tcPr>
                <w:p>
                  <w:pPr>
                    <w:jc w:val="center"/>
                    <w:rPr>
                      <w:szCs w:val="21"/>
                    </w:rPr>
                  </w:pPr>
                  <w:r>
                    <w:rPr>
                      <w:szCs w:val="21"/>
                    </w:rPr>
                    <w:t>不符合空间布局要求活动的退出要求</w:t>
                  </w:r>
                </w:p>
              </w:tc>
              <w:tc>
                <w:tcPr>
                  <w:tcW w:w="1983" w:type="pct"/>
                  <w:tcBorders>
                    <w:right w:val="nil"/>
                  </w:tcBorders>
                  <w:vAlign w:val="center"/>
                </w:tcPr>
                <w:p>
                  <w:pPr>
                    <w:jc w:val="center"/>
                    <w:rPr>
                      <w:szCs w:val="21"/>
                    </w:rPr>
                  </w:pPr>
                  <w:r>
                    <w:rPr>
                      <w:szCs w:val="21"/>
                    </w:rPr>
                    <w:t>1、现有不符合城市用地规定的企业应逐步搬迁至园区内相应产业园区内。2、现有能源、环保、安全、技术达不到标准或生产不合格产品或淘汰产能依法依规关停退出</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restart"/>
                  <w:tcBorders>
                    <w:left w:val="nil"/>
                  </w:tcBorders>
                  <w:vAlign w:val="center"/>
                </w:tcPr>
                <w:p>
                  <w:pPr>
                    <w:jc w:val="center"/>
                    <w:rPr>
                      <w:szCs w:val="21"/>
                    </w:rPr>
                  </w:pPr>
                  <w:r>
                    <w:rPr>
                      <w:szCs w:val="21"/>
                    </w:rPr>
                    <w:t>污染物排放管控</w:t>
                  </w:r>
                </w:p>
              </w:tc>
              <w:tc>
                <w:tcPr>
                  <w:tcW w:w="1356" w:type="pct"/>
                  <w:gridSpan w:val="2"/>
                  <w:vAlign w:val="center"/>
                </w:tcPr>
                <w:p>
                  <w:pPr>
                    <w:jc w:val="center"/>
                    <w:rPr>
                      <w:szCs w:val="21"/>
                    </w:rPr>
                  </w:pPr>
                  <w:r>
                    <w:rPr>
                      <w:szCs w:val="21"/>
                    </w:rPr>
                    <w:t>现有源提标升级改进</w:t>
                  </w:r>
                </w:p>
              </w:tc>
              <w:tc>
                <w:tcPr>
                  <w:tcW w:w="1983" w:type="pct"/>
                  <w:tcBorders>
                    <w:right w:val="nil"/>
                  </w:tcBorders>
                  <w:vAlign w:val="center"/>
                </w:tcPr>
                <w:p>
                  <w:pPr>
                    <w:jc w:val="center"/>
                    <w:rPr>
                      <w:szCs w:val="21"/>
                    </w:rPr>
                  </w:pPr>
                  <w:r>
                    <w:rPr>
                      <w:szCs w:val="21"/>
                    </w:rPr>
                    <w:t>1、现有企业废水需预处理达到污水集中处理设施接管标准排入污水处理厂集中处理。2、现有医药、有机化工等重点行业应提高有机废气收集率，主要行业VOCs治理实现达标排放。3、区内污水处理厂应逐步进行提标改造，其废水排放达一级A标准。</w:t>
                  </w:r>
                </w:p>
              </w:tc>
              <w:tc>
                <w:tcPr>
                  <w:tcW w:w="1177" w:type="pct"/>
                  <w:tcBorders>
                    <w:right w:val="nil"/>
                  </w:tcBorders>
                  <w:vAlign w:val="center"/>
                </w:tcPr>
                <w:p>
                  <w:pPr>
                    <w:jc w:val="center"/>
                    <w:rPr>
                      <w:szCs w:val="21"/>
                    </w:rPr>
                  </w:pPr>
                  <w:r>
                    <w:rPr>
                      <w:szCs w:val="21"/>
                    </w:rPr>
                    <w:t>区内污水处理厂废水排放已达到一级A标准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1356" w:type="pct"/>
                  <w:gridSpan w:val="2"/>
                  <w:vAlign w:val="center"/>
                </w:tcPr>
                <w:p>
                  <w:pPr>
                    <w:jc w:val="center"/>
                    <w:rPr>
                      <w:szCs w:val="21"/>
                    </w:rPr>
                  </w:pPr>
                  <w:r>
                    <w:rPr>
                      <w:szCs w:val="21"/>
                    </w:rPr>
                    <w:t>新增源等量或倍量替代</w:t>
                  </w:r>
                </w:p>
              </w:tc>
              <w:tc>
                <w:tcPr>
                  <w:tcW w:w="1983" w:type="pct"/>
                  <w:tcBorders>
                    <w:right w:val="nil"/>
                  </w:tcBorders>
                  <w:vAlign w:val="center"/>
                </w:tcPr>
                <w:p>
                  <w:pPr>
                    <w:jc w:val="center"/>
                    <w:rPr>
                      <w:szCs w:val="21"/>
                    </w:rPr>
                  </w:pPr>
                  <w:r>
                    <w:rPr>
                      <w:szCs w:val="21"/>
                    </w:rPr>
                    <w:t>新建项目污染物排放量应实施县市平衡，县市污染物排放总量不增加。省、市重点项目实施省市域平衡，省市污染物排放总量不增加。</w:t>
                  </w:r>
                </w:p>
              </w:tc>
              <w:tc>
                <w:tcPr>
                  <w:tcW w:w="1177" w:type="pct"/>
                  <w:tcBorders>
                    <w:right w:val="nil"/>
                  </w:tcBorders>
                  <w:vAlign w:val="center"/>
                </w:tcPr>
                <w:p>
                  <w:pPr>
                    <w:jc w:val="center"/>
                    <w:rPr>
                      <w:szCs w:val="21"/>
                    </w:rPr>
                  </w:pPr>
                  <w:r>
                    <w:rPr>
                      <w:szCs w:val="21"/>
                    </w:rPr>
                    <w:t>水污染物排放量由小蓝污水厂平衡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1356" w:type="pct"/>
                  <w:gridSpan w:val="2"/>
                  <w:vAlign w:val="center"/>
                </w:tcPr>
                <w:p>
                  <w:pPr>
                    <w:jc w:val="center"/>
                    <w:rPr>
                      <w:szCs w:val="21"/>
                    </w:rPr>
                  </w:pPr>
                  <w:r>
                    <w:rPr>
                      <w:szCs w:val="21"/>
                    </w:rPr>
                    <w:t>新增源排放标准限值</w:t>
                  </w:r>
                </w:p>
              </w:tc>
              <w:tc>
                <w:tcPr>
                  <w:tcW w:w="1983" w:type="pct"/>
                  <w:tcBorders>
                    <w:right w:val="nil"/>
                  </w:tcBorders>
                  <w:vAlign w:val="center"/>
                </w:tcPr>
                <w:p>
                  <w:pPr>
                    <w:jc w:val="center"/>
                    <w:rPr>
                      <w:szCs w:val="21"/>
                    </w:rPr>
                  </w:pPr>
                  <w:r>
                    <w:rPr>
                      <w:szCs w:val="21"/>
                    </w:rPr>
                    <w:t>新建项目污染物排放应达工业污水接管标准或综合排放标准，特殊污染物应达相应行业标准</w:t>
                  </w:r>
                </w:p>
              </w:tc>
              <w:tc>
                <w:tcPr>
                  <w:tcW w:w="1177" w:type="pct"/>
                  <w:tcBorders>
                    <w:right w:val="nil"/>
                  </w:tcBorders>
                  <w:vAlign w:val="center"/>
                </w:tcPr>
                <w:p>
                  <w:pPr>
                    <w:jc w:val="center"/>
                    <w:rPr>
                      <w:szCs w:val="21"/>
                    </w:rPr>
                  </w:pPr>
                  <w:r>
                    <w:rPr>
                      <w:szCs w:val="21"/>
                    </w:rPr>
                    <w:t>项目废水可以达到工业污水接管标准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1356" w:type="pct"/>
                  <w:gridSpan w:val="2"/>
                  <w:vAlign w:val="center"/>
                </w:tcPr>
                <w:p>
                  <w:pPr>
                    <w:jc w:val="center"/>
                    <w:rPr>
                      <w:szCs w:val="21"/>
                    </w:rPr>
                  </w:pPr>
                  <w:r>
                    <w:rPr>
                      <w:szCs w:val="21"/>
                    </w:rPr>
                    <w:t>污染物排放绩效水平准入要求</w:t>
                  </w:r>
                </w:p>
              </w:tc>
              <w:tc>
                <w:tcPr>
                  <w:tcW w:w="1983" w:type="pct"/>
                  <w:tcBorders>
                    <w:right w:val="nil"/>
                  </w:tcBorders>
                  <w:vAlign w:val="center"/>
                </w:tcPr>
                <w:p>
                  <w:pPr>
                    <w:jc w:val="center"/>
                    <w:rPr>
                      <w:szCs w:val="21"/>
                    </w:rPr>
                  </w:pPr>
                  <w:r>
                    <w:rPr>
                      <w:szCs w:val="21"/>
                    </w:rPr>
                    <w:t>1、污染物排放应达到相应行业准入要求和清洁生产标准要求。2、园区内污水收集处理率不低于85%。</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restart"/>
                  <w:tcBorders>
                    <w:left w:val="nil"/>
                  </w:tcBorders>
                  <w:vAlign w:val="center"/>
                </w:tcPr>
                <w:p>
                  <w:pPr>
                    <w:jc w:val="center"/>
                    <w:rPr>
                      <w:szCs w:val="21"/>
                    </w:rPr>
                  </w:pPr>
                  <w:r>
                    <w:rPr>
                      <w:szCs w:val="21"/>
                    </w:rPr>
                    <w:t>环境风险防控</w:t>
                  </w:r>
                </w:p>
              </w:tc>
              <w:tc>
                <w:tcPr>
                  <w:tcW w:w="523" w:type="pct"/>
                  <w:vMerge w:val="restart"/>
                  <w:vAlign w:val="center"/>
                </w:tcPr>
                <w:p>
                  <w:pPr>
                    <w:jc w:val="center"/>
                    <w:rPr>
                      <w:szCs w:val="21"/>
                    </w:rPr>
                  </w:pPr>
                  <w:r>
                    <w:rPr>
                      <w:szCs w:val="21"/>
                    </w:rPr>
                    <w:t>用地环境风险防控要求</w:t>
                  </w:r>
                </w:p>
              </w:tc>
              <w:tc>
                <w:tcPr>
                  <w:tcW w:w="833" w:type="pct"/>
                  <w:vAlign w:val="center"/>
                </w:tcPr>
                <w:p>
                  <w:pPr>
                    <w:jc w:val="center"/>
                    <w:rPr>
                      <w:szCs w:val="21"/>
                    </w:rPr>
                  </w:pPr>
                  <w:r>
                    <w:rPr>
                      <w:szCs w:val="21"/>
                    </w:rPr>
                    <w:t>严格管控类农用地环境风险防控要求</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continue"/>
                  <w:vAlign w:val="center"/>
                </w:tcPr>
                <w:p>
                  <w:pPr>
                    <w:jc w:val="center"/>
                    <w:rPr>
                      <w:szCs w:val="21"/>
                    </w:rPr>
                  </w:pPr>
                </w:p>
              </w:tc>
              <w:tc>
                <w:tcPr>
                  <w:tcW w:w="833" w:type="pct"/>
                  <w:vAlign w:val="center"/>
                </w:tcPr>
                <w:p>
                  <w:pPr>
                    <w:jc w:val="center"/>
                    <w:rPr>
                      <w:szCs w:val="21"/>
                    </w:rPr>
                  </w:pPr>
                  <w:r>
                    <w:rPr>
                      <w:szCs w:val="21"/>
                    </w:rPr>
                    <w:t>安全利用类农用地环境风险防控要求</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continue"/>
                  <w:vAlign w:val="center"/>
                </w:tcPr>
                <w:p>
                  <w:pPr>
                    <w:jc w:val="center"/>
                    <w:rPr>
                      <w:szCs w:val="21"/>
                    </w:rPr>
                  </w:pPr>
                </w:p>
              </w:tc>
              <w:tc>
                <w:tcPr>
                  <w:tcW w:w="833" w:type="pct"/>
                  <w:vAlign w:val="center"/>
                </w:tcPr>
                <w:p>
                  <w:pPr>
                    <w:jc w:val="center"/>
                    <w:rPr>
                      <w:szCs w:val="21"/>
                    </w:rPr>
                  </w:pPr>
                  <w:r>
                    <w:rPr>
                      <w:szCs w:val="21"/>
                    </w:rPr>
                    <w:t>污染地块（建设用地）环境风险防控要求</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restart"/>
                  <w:vAlign w:val="center"/>
                </w:tcPr>
                <w:p>
                  <w:pPr>
                    <w:jc w:val="center"/>
                    <w:rPr>
                      <w:szCs w:val="21"/>
                    </w:rPr>
                  </w:pPr>
                  <w:r>
                    <w:rPr>
                      <w:szCs w:val="21"/>
                    </w:rPr>
                    <w:t>园区环境风险防控要求</w:t>
                  </w:r>
                </w:p>
              </w:tc>
              <w:tc>
                <w:tcPr>
                  <w:tcW w:w="833" w:type="pct"/>
                  <w:vAlign w:val="center"/>
                </w:tcPr>
                <w:p>
                  <w:pPr>
                    <w:jc w:val="center"/>
                    <w:rPr>
                      <w:szCs w:val="21"/>
                    </w:rPr>
                  </w:pPr>
                  <w:r>
                    <w:rPr>
                      <w:szCs w:val="21"/>
                    </w:rPr>
                    <w:t>园区敏感点风险准入类防控要求</w:t>
                  </w:r>
                </w:p>
              </w:tc>
              <w:tc>
                <w:tcPr>
                  <w:tcW w:w="1983" w:type="pct"/>
                  <w:tcBorders>
                    <w:right w:val="nil"/>
                  </w:tcBorders>
                  <w:vAlign w:val="center"/>
                </w:tcPr>
                <w:p>
                  <w:pPr>
                    <w:jc w:val="center"/>
                    <w:rPr>
                      <w:szCs w:val="21"/>
                    </w:rPr>
                  </w:pPr>
                  <w:r>
                    <w:rPr>
                      <w:szCs w:val="21"/>
                    </w:rPr>
                    <w:t>紧邻居住、科教、医院等环境敏感点的工业用地，禁止新建环境风险潜势等级高建设项目。</w:t>
                  </w:r>
                </w:p>
              </w:tc>
              <w:tc>
                <w:tcPr>
                  <w:tcW w:w="1177" w:type="pct"/>
                  <w:tcBorders>
                    <w:right w:val="nil"/>
                  </w:tcBorders>
                  <w:vAlign w:val="center"/>
                </w:tcPr>
                <w:p>
                  <w:pPr>
                    <w:jc w:val="center"/>
                    <w:rPr>
                      <w:szCs w:val="21"/>
                    </w:rPr>
                  </w:pPr>
                  <w:r>
                    <w:rPr>
                      <w:szCs w:val="21"/>
                    </w:rPr>
                    <w:t>项目不紧邻居住、科教、医院等环境敏感点，风险潜势等级低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continue"/>
                  <w:vAlign w:val="center"/>
                </w:tcPr>
                <w:p>
                  <w:pPr>
                    <w:jc w:val="center"/>
                    <w:rPr>
                      <w:szCs w:val="21"/>
                    </w:rPr>
                  </w:pPr>
                </w:p>
              </w:tc>
              <w:tc>
                <w:tcPr>
                  <w:tcW w:w="833" w:type="pct"/>
                  <w:vAlign w:val="center"/>
                </w:tcPr>
                <w:p>
                  <w:pPr>
                    <w:jc w:val="center"/>
                    <w:rPr>
                      <w:szCs w:val="21"/>
                    </w:rPr>
                  </w:pPr>
                  <w:r>
                    <w:rPr>
                      <w:szCs w:val="21"/>
                    </w:rPr>
                    <w:t>园区风险防控体系要求</w:t>
                  </w:r>
                </w:p>
              </w:tc>
              <w:tc>
                <w:tcPr>
                  <w:tcW w:w="1983" w:type="pct"/>
                  <w:tcBorders>
                    <w:right w:val="nil"/>
                  </w:tcBorders>
                  <w:vAlign w:val="center"/>
                </w:tcPr>
                <w:p>
                  <w:pPr>
                    <w:jc w:val="center"/>
                    <w:rPr>
                      <w:szCs w:val="21"/>
                    </w:rPr>
                  </w:pPr>
                  <w:r>
                    <w:rPr>
                      <w:szCs w:val="21"/>
                    </w:rPr>
                    <w:t>园区应建立具科学性、实效性和可操作性的风险应急预案和环境风险防控体系。</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restart"/>
                  <w:vAlign w:val="center"/>
                </w:tcPr>
                <w:p>
                  <w:pPr>
                    <w:jc w:val="center"/>
                    <w:rPr>
                      <w:szCs w:val="21"/>
                    </w:rPr>
                  </w:pPr>
                  <w:r>
                    <w:rPr>
                      <w:szCs w:val="21"/>
                    </w:rPr>
                    <w:t>企业环境风险防控要求</w:t>
                  </w:r>
                </w:p>
              </w:tc>
              <w:tc>
                <w:tcPr>
                  <w:tcW w:w="833" w:type="pct"/>
                  <w:vAlign w:val="center"/>
                </w:tcPr>
                <w:p>
                  <w:pPr>
                    <w:jc w:val="center"/>
                    <w:rPr>
                      <w:szCs w:val="21"/>
                    </w:rPr>
                  </w:pPr>
                  <w:r>
                    <w:rPr>
                      <w:szCs w:val="21"/>
                    </w:rPr>
                    <w:t>企业风险防控配套设施</w:t>
                  </w:r>
                </w:p>
              </w:tc>
              <w:tc>
                <w:tcPr>
                  <w:tcW w:w="1983" w:type="pct"/>
                  <w:tcBorders>
                    <w:right w:val="nil"/>
                  </w:tcBorders>
                  <w:vAlign w:val="center"/>
                </w:tcPr>
                <w:p>
                  <w:pPr>
                    <w:jc w:val="center"/>
                    <w:rPr>
                      <w:szCs w:val="21"/>
                    </w:rPr>
                  </w:pPr>
                  <w:r>
                    <w:rPr>
                      <w:szCs w:val="21"/>
                    </w:rPr>
                    <w:t>生产、存储危险化学品及产生大量废水的生物医药、轻工纺织企业，应配套有效措施，防止因渗漏污染地下水、土壤，以及因事故废水直排污染地表水体。</w:t>
                  </w:r>
                </w:p>
              </w:tc>
              <w:tc>
                <w:tcPr>
                  <w:tcW w:w="1177" w:type="pct"/>
                  <w:vMerge w:val="restart"/>
                  <w:tcBorders>
                    <w:right w:val="nil"/>
                  </w:tcBorders>
                  <w:vAlign w:val="center"/>
                </w:tcPr>
                <w:p>
                  <w:pPr>
                    <w:jc w:val="center"/>
                    <w:rPr>
                      <w:szCs w:val="21"/>
                    </w:rPr>
                  </w:pPr>
                  <w:r>
                    <w:rPr>
                      <w:szCs w:val="21"/>
                    </w:rPr>
                    <w:t>本项目不属于生产、存储危险化学品及产生大量废水的生物医药、轻工纺织企业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continue"/>
                  <w:vAlign w:val="center"/>
                </w:tcPr>
                <w:p>
                  <w:pPr>
                    <w:jc w:val="center"/>
                    <w:rPr>
                      <w:szCs w:val="21"/>
                    </w:rPr>
                  </w:pPr>
                </w:p>
              </w:tc>
              <w:tc>
                <w:tcPr>
                  <w:tcW w:w="833" w:type="pct"/>
                  <w:vAlign w:val="center"/>
                </w:tcPr>
                <w:p>
                  <w:pPr>
                    <w:jc w:val="center"/>
                    <w:rPr>
                      <w:szCs w:val="21"/>
                    </w:rPr>
                  </w:pPr>
                  <w:r>
                    <w:rPr>
                      <w:szCs w:val="21"/>
                    </w:rPr>
                    <w:t>企业生产过程风险防控要求</w:t>
                  </w:r>
                </w:p>
              </w:tc>
              <w:tc>
                <w:tcPr>
                  <w:tcW w:w="1983" w:type="pct"/>
                  <w:tcBorders>
                    <w:right w:val="nil"/>
                  </w:tcBorders>
                  <w:vAlign w:val="center"/>
                </w:tcPr>
                <w:p>
                  <w:pPr>
                    <w:jc w:val="center"/>
                    <w:rPr>
                      <w:szCs w:val="21"/>
                    </w:rPr>
                  </w:pPr>
                  <w:r>
                    <w:rPr>
                      <w:szCs w:val="21"/>
                    </w:rPr>
                    <w:t>产生、利用或处置固体废物（含危险废物）的生物医药、轻工纺织、汽车制造企业，在贮存、转移、利用、处置固体废物（含危险废物）过程中，应配套防扬散、防流失、防渗漏及其他防止污染环境的措施。</w:t>
                  </w:r>
                </w:p>
              </w:tc>
              <w:tc>
                <w:tcPr>
                  <w:tcW w:w="1177" w:type="pct"/>
                  <w:vMerge w:val="continue"/>
                  <w:tcBorders>
                    <w:right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restart"/>
                  <w:tcBorders>
                    <w:left w:val="nil"/>
                  </w:tcBorders>
                  <w:vAlign w:val="center"/>
                </w:tcPr>
                <w:p>
                  <w:pPr>
                    <w:jc w:val="center"/>
                    <w:rPr>
                      <w:szCs w:val="21"/>
                    </w:rPr>
                  </w:pPr>
                  <w:r>
                    <w:rPr>
                      <w:szCs w:val="21"/>
                    </w:rPr>
                    <w:t>资源利用效率要求</w:t>
                  </w:r>
                </w:p>
              </w:tc>
              <w:tc>
                <w:tcPr>
                  <w:tcW w:w="523" w:type="pct"/>
                  <w:vMerge w:val="restart"/>
                  <w:vAlign w:val="center"/>
                </w:tcPr>
                <w:p>
                  <w:pPr>
                    <w:jc w:val="center"/>
                    <w:rPr>
                      <w:szCs w:val="21"/>
                    </w:rPr>
                  </w:pPr>
                  <w:r>
                    <w:rPr>
                      <w:szCs w:val="21"/>
                    </w:rPr>
                    <w:t>水</w:t>
                  </w:r>
                  <w:r>
                    <w:rPr>
                      <w:szCs w:val="21"/>
                    </w:rPr>
                    <w:cr/>
                  </w:r>
                  <w:r>
                    <w:rPr>
                      <w:szCs w:val="21"/>
                    </w:rPr>
                    <w:t>源利用效率要求</w:t>
                  </w:r>
                </w:p>
              </w:tc>
              <w:tc>
                <w:tcPr>
                  <w:tcW w:w="833" w:type="pct"/>
                  <w:vAlign w:val="center"/>
                </w:tcPr>
                <w:p>
                  <w:pPr>
                    <w:jc w:val="center"/>
                    <w:rPr>
                      <w:szCs w:val="21"/>
                    </w:rPr>
                  </w:pPr>
                  <w:r>
                    <w:rPr>
                      <w:szCs w:val="21"/>
                    </w:rPr>
                    <w:t>水资源重复利用率要求</w:t>
                  </w:r>
                </w:p>
              </w:tc>
              <w:tc>
                <w:tcPr>
                  <w:tcW w:w="1983" w:type="pct"/>
                  <w:tcBorders>
                    <w:right w:val="nil"/>
                  </w:tcBorders>
                  <w:vAlign w:val="center"/>
                </w:tcPr>
                <w:p>
                  <w:pPr>
                    <w:jc w:val="center"/>
                    <w:rPr>
                      <w:szCs w:val="21"/>
                    </w:rPr>
                  </w:pPr>
                  <w:r>
                    <w:rPr>
                      <w:szCs w:val="21"/>
                    </w:rPr>
                    <w:t>鼓励企业加大工业用水重复利用率，特定行业工业用水重复利用率应满足该行业清洁生产要求。</w:t>
                  </w:r>
                </w:p>
              </w:tc>
              <w:tc>
                <w:tcPr>
                  <w:tcW w:w="1177" w:type="pct"/>
                  <w:vMerge w:val="restart"/>
                  <w:tcBorders>
                    <w:right w:val="nil"/>
                  </w:tcBorders>
                  <w:vAlign w:val="center"/>
                </w:tcPr>
                <w:p>
                  <w:pPr>
                    <w:jc w:val="center"/>
                    <w:rPr>
                      <w:szCs w:val="21"/>
                    </w:rPr>
                  </w:pPr>
                  <w:r>
                    <w:rPr>
                      <w:szCs w:val="21"/>
                    </w:rPr>
                    <w:t>项目不涉及工业用水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continue"/>
                  <w:vAlign w:val="center"/>
                </w:tcPr>
                <w:p>
                  <w:pPr>
                    <w:jc w:val="center"/>
                    <w:rPr>
                      <w:szCs w:val="21"/>
                    </w:rPr>
                  </w:pPr>
                </w:p>
              </w:tc>
              <w:tc>
                <w:tcPr>
                  <w:tcW w:w="833" w:type="pct"/>
                  <w:vAlign w:val="center"/>
                </w:tcPr>
                <w:p>
                  <w:pPr>
                    <w:jc w:val="center"/>
                    <w:rPr>
                      <w:szCs w:val="21"/>
                    </w:rPr>
                  </w:pPr>
                  <w:r>
                    <w:rPr>
                      <w:szCs w:val="21"/>
                    </w:rPr>
                    <w:t>水资源利用效率和强度要求</w:t>
                  </w:r>
                </w:p>
              </w:tc>
              <w:tc>
                <w:tcPr>
                  <w:tcW w:w="1983" w:type="pct"/>
                  <w:tcBorders>
                    <w:right w:val="nil"/>
                  </w:tcBorders>
                  <w:vAlign w:val="center"/>
                </w:tcPr>
                <w:p>
                  <w:pPr>
                    <w:jc w:val="center"/>
                    <w:rPr>
                      <w:szCs w:val="21"/>
                    </w:rPr>
                  </w:pPr>
                  <w:r>
                    <w:rPr>
                      <w:szCs w:val="21"/>
                    </w:rPr>
                    <w:t>万元工业增加值新鲜水耗不高于9m</w:t>
                  </w:r>
                  <w:r>
                    <w:rPr>
                      <w:szCs w:val="21"/>
                      <w:vertAlign w:val="superscript"/>
                    </w:rPr>
                    <w:t>3</w:t>
                  </w:r>
                </w:p>
              </w:tc>
              <w:tc>
                <w:tcPr>
                  <w:tcW w:w="1177" w:type="pct"/>
                  <w:vMerge w:val="continue"/>
                  <w:tcBorders>
                    <w:right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restart"/>
                  <w:vAlign w:val="center"/>
                </w:tcPr>
                <w:p>
                  <w:pPr>
                    <w:jc w:val="center"/>
                    <w:rPr>
                      <w:szCs w:val="21"/>
                    </w:rPr>
                  </w:pPr>
                  <w:r>
                    <w:rPr>
                      <w:szCs w:val="21"/>
                    </w:rPr>
                    <w:t>地下水开采要求</w:t>
                  </w:r>
                </w:p>
              </w:tc>
              <w:tc>
                <w:tcPr>
                  <w:tcW w:w="833" w:type="pct"/>
                  <w:vAlign w:val="center"/>
                </w:tcPr>
                <w:p>
                  <w:pPr>
                    <w:jc w:val="center"/>
                    <w:rPr>
                      <w:szCs w:val="21"/>
                    </w:rPr>
                  </w:pPr>
                  <w:r>
                    <w:rPr>
                      <w:szCs w:val="21"/>
                    </w:rPr>
                    <w:t>地下水禁采要求</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Merge w:val="continue"/>
                  <w:vAlign w:val="center"/>
                </w:tcPr>
                <w:p>
                  <w:pPr>
                    <w:jc w:val="center"/>
                    <w:rPr>
                      <w:szCs w:val="21"/>
                    </w:rPr>
                  </w:pPr>
                </w:p>
              </w:tc>
              <w:tc>
                <w:tcPr>
                  <w:tcW w:w="833" w:type="pct"/>
                  <w:vAlign w:val="center"/>
                </w:tcPr>
                <w:p>
                  <w:pPr>
                    <w:jc w:val="center"/>
                    <w:rPr>
                      <w:szCs w:val="21"/>
                    </w:rPr>
                  </w:pPr>
                  <w:r>
                    <w:rPr>
                      <w:szCs w:val="21"/>
                    </w:rPr>
                    <w:t>地下水开采总量要求</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tcBorders>
                  <w:vAlign w:val="center"/>
                </w:tcPr>
                <w:p>
                  <w:pPr>
                    <w:jc w:val="center"/>
                    <w:rPr>
                      <w:szCs w:val="21"/>
                    </w:rPr>
                  </w:pPr>
                </w:p>
              </w:tc>
              <w:tc>
                <w:tcPr>
                  <w:tcW w:w="523" w:type="pct"/>
                  <w:vAlign w:val="center"/>
                </w:tcPr>
                <w:p>
                  <w:pPr>
                    <w:jc w:val="center"/>
                    <w:rPr>
                      <w:szCs w:val="21"/>
                    </w:rPr>
                  </w:pPr>
                  <w:r>
                    <w:rPr>
                      <w:szCs w:val="21"/>
                    </w:rPr>
                    <w:t>能源利用效率要求</w:t>
                  </w:r>
                </w:p>
              </w:tc>
              <w:tc>
                <w:tcPr>
                  <w:tcW w:w="833" w:type="pct"/>
                  <w:vAlign w:val="center"/>
                </w:tcPr>
                <w:p>
                  <w:pPr>
                    <w:jc w:val="center"/>
                    <w:rPr>
                      <w:szCs w:val="21"/>
                    </w:rPr>
                  </w:pPr>
                  <w:r>
                    <w:rPr>
                      <w:szCs w:val="21"/>
                    </w:rPr>
                    <w:t>能源利用效率压球</w:t>
                  </w:r>
                </w:p>
              </w:tc>
              <w:tc>
                <w:tcPr>
                  <w:tcW w:w="1983" w:type="pct"/>
                  <w:tcBorders>
                    <w:right w:val="nil"/>
                  </w:tcBorders>
                  <w:vAlign w:val="center"/>
                </w:tcPr>
                <w:p>
                  <w:pPr>
                    <w:jc w:val="center"/>
                    <w:rPr>
                      <w:szCs w:val="21"/>
                    </w:rPr>
                  </w:pPr>
                  <w:r>
                    <w:rPr>
                      <w:szCs w:val="21"/>
                    </w:rPr>
                    <w:t>无</w:t>
                  </w:r>
                </w:p>
              </w:tc>
              <w:tc>
                <w:tcPr>
                  <w:tcW w:w="1177" w:type="pct"/>
                  <w:tcBorders>
                    <w:right w:val="nil"/>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Merge w:val="continue"/>
                  <w:tcBorders>
                    <w:left w:val="nil"/>
                    <w:bottom w:val="double" w:color="auto" w:sz="4" w:space="0"/>
                  </w:tcBorders>
                  <w:vAlign w:val="center"/>
                </w:tcPr>
                <w:p>
                  <w:pPr>
                    <w:jc w:val="center"/>
                    <w:rPr>
                      <w:szCs w:val="21"/>
                    </w:rPr>
                  </w:pPr>
                </w:p>
              </w:tc>
              <w:tc>
                <w:tcPr>
                  <w:tcW w:w="1356" w:type="pct"/>
                  <w:gridSpan w:val="2"/>
                  <w:tcBorders>
                    <w:bottom w:val="double" w:color="auto" w:sz="4" w:space="0"/>
                  </w:tcBorders>
                  <w:vAlign w:val="center"/>
                </w:tcPr>
                <w:p>
                  <w:pPr>
                    <w:jc w:val="center"/>
                    <w:rPr>
                      <w:szCs w:val="21"/>
                    </w:rPr>
                  </w:pPr>
                  <w:r>
                    <w:rPr>
                      <w:szCs w:val="21"/>
                    </w:rPr>
                    <w:t>岸线管控要求</w:t>
                  </w:r>
                </w:p>
              </w:tc>
              <w:tc>
                <w:tcPr>
                  <w:tcW w:w="1983" w:type="pct"/>
                  <w:tcBorders>
                    <w:bottom w:val="double" w:color="auto" w:sz="4" w:space="0"/>
                    <w:right w:val="nil"/>
                  </w:tcBorders>
                  <w:vAlign w:val="center"/>
                </w:tcPr>
                <w:p>
                  <w:pPr>
                    <w:jc w:val="center"/>
                    <w:rPr>
                      <w:szCs w:val="21"/>
                    </w:rPr>
                  </w:pPr>
                  <w:r>
                    <w:rPr>
                      <w:szCs w:val="21"/>
                    </w:rPr>
                    <w:t>无</w:t>
                  </w:r>
                </w:p>
              </w:tc>
              <w:tc>
                <w:tcPr>
                  <w:tcW w:w="1177" w:type="pct"/>
                  <w:tcBorders>
                    <w:bottom w:val="double" w:color="auto" w:sz="4" w:space="0"/>
                    <w:right w:val="nil"/>
                  </w:tcBorders>
                  <w:vAlign w:val="center"/>
                </w:tcPr>
                <w:p>
                  <w:pPr>
                    <w:jc w:val="center"/>
                    <w:rPr>
                      <w:szCs w:val="21"/>
                    </w:rPr>
                  </w:pPr>
                  <w:r>
                    <w:rPr>
                      <w:szCs w:val="21"/>
                    </w:rPr>
                    <w:t>/</w:t>
                  </w:r>
                </w:p>
              </w:tc>
            </w:tr>
          </w:tbl>
          <w:p>
            <w:pPr>
              <w:snapToGrid w:val="0"/>
              <w:spacing w:line="360" w:lineRule="auto"/>
              <w:ind w:firstLine="480"/>
              <w:rPr>
                <w:snapToGrid w:val="0"/>
                <w:kern w:val="32"/>
                <w:sz w:val="24"/>
              </w:rPr>
            </w:pPr>
            <w:r>
              <w:rPr>
                <w:sz w:val="24"/>
              </w:rPr>
              <w:t>综上，本项目满足</w:t>
            </w:r>
            <w:r>
              <w:rPr>
                <w:snapToGrid w:val="0"/>
                <w:kern w:val="32"/>
                <w:sz w:val="24"/>
              </w:rPr>
              <w:t>《南昌市人民政府关于印发南昌市“三线一单”生态环境分区管控方案的通知》（洪府发[2021]1号）及《南昌市生态环境局关于印发南昌市生态环境总体准入要求及环境管控单元生态环境准入清单的通知》（洪环发[2021]16号）要求</w:t>
            </w:r>
            <w:r>
              <w:rPr>
                <w:sz w:val="24"/>
              </w:rPr>
              <w:t>。</w:t>
            </w:r>
          </w:p>
          <w:p>
            <w:pPr>
              <w:numPr>
                <w:ilvl w:val="0"/>
                <w:numId w:val="3"/>
              </w:numPr>
              <w:autoSpaceDE w:val="0"/>
              <w:autoSpaceDN w:val="0"/>
              <w:adjustRightInd w:val="0"/>
              <w:snapToGrid w:val="0"/>
              <w:spacing w:line="360" w:lineRule="auto"/>
              <w:jc w:val="left"/>
              <w:rPr>
                <w:b/>
                <w:kern w:val="0"/>
                <w:sz w:val="24"/>
              </w:rPr>
            </w:pPr>
            <w:r>
              <w:rPr>
                <w:b/>
                <w:kern w:val="0"/>
                <w:sz w:val="24"/>
              </w:rPr>
              <w:t>选址可行性分析</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1、用地性质相符性分析</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本项目位于</w:t>
            </w:r>
            <w:r>
              <w:rPr>
                <w:rFonts w:hint="eastAsia"/>
                <w:snapToGrid w:val="0"/>
                <w:kern w:val="32"/>
                <w:sz w:val="24"/>
              </w:rPr>
              <w:t>南昌县小蓝经济技术开发区涟漪路以西、汽车南路以北</w:t>
            </w:r>
            <w:r>
              <w:rPr>
                <w:snapToGrid w:val="0"/>
                <w:kern w:val="32"/>
                <w:sz w:val="24"/>
              </w:rPr>
              <w:t>，根据</w:t>
            </w:r>
            <w:r>
              <w:rPr>
                <w:rFonts w:hint="eastAsia"/>
                <w:snapToGrid w:val="0"/>
                <w:kern w:val="32"/>
                <w:sz w:val="24"/>
              </w:rPr>
              <w:t>不动产权证书</w:t>
            </w:r>
            <w:r>
              <w:rPr>
                <w:snapToGrid w:val="0"/>
                <w:kern w:val="32"/>
                <w:sz w:val="24"/>
              </w:rPr>
              <w:t>（</w:t>
            </w:r>
            <w:r>
              <w:rPr>
                <w:rFonts w:hint="eastAsia"/>
                <w:snapToGrid w:val="0"/>
                <w:kern w:val="32"/>
                <w:sz w:val="24"/>
              </w:rPr>
              <w:t>附件4</w:t>
            </w:r>
            <w:r>
              <w:rPr>
                <w:snapToGrid w:val="0"/>
                <w:kern w:val="32"/>
                <w:sz w:val="24"/>
              </w:rPr>
              <w:t>）</w:t>
            </w:r>
            <w:r>
              <w:rPr>
                <w:rFonts w:hint="eastAsia"/>
                <w:snapToGrid w:val="0"/>
                <w:kern w:val="32"/>
                <w:sz w:val="24"/>
              </w:rPr>
              <w:t>可知</w:t>
            </w:r>
            <w:r>
              <w:rPr>
                <w:snapToGrid w:val="0"/>
                <w:kern w:val="32"/>
                <w:sz w:val="24"/>
              </w:rPr>
              <w:t>，地块用途为工业用地，项目用地符合国土空间用途管制要求。</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2、选址所在地环境敏感程度</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项目选址不属于生活饮用水源和地下水补给区、风景名胜区、温泉疗养区、水产养殖区、基本农田保护区、自然保护区等需要特殊保护区域，项目所在区域环境敏感程度一般。</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3、环境影响程度</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由引用的监测数据可知，项目所在地环境质量现状均能达到相应的功能区划的要求。项目建设不会使得区域环境功能发生改变。</w:t>
            </w:r>
          </w:p>
          <w:p>
            <w:pPr>
              <w:autoSpaceDE w:val="0"/>
              <w:autoSpaceDN w:val="0"/>
              <w:adjustRightInd w:val="0"/>
              <w:snapToGrid w:val="0"/>
              <w:spacing w:line="360" w:lineRule="auto"/>
              <w:ind w:firstLine="480" w:firstLineChars="200"/>
              <w:jc w:val="left"/>
              <w:rPr>
                <w:snapToGrid w:val="0"/>
                <w:color w:val="FF0000"/>
                <w:kern w:val="32"/>
                <w:sz w:val="24"/>
              </w:rPr>
            </w:pPr>
            <w:r>
              <w:rPr>
                <w:snapToGrid w:val="0"/>
                <w:color w:val="FF0000"/>
                <w:kern w:val="32"/>
                <w:sz w:val="24"/>
              </w:rPr>
              <w:t>4、</w:t>
            </w:r>
            <w:r>
              <w:rPr>
                <w:rFonts w:hint="eastAsia"/>
                <w:snapToGrid w:val="0"/>
                <w:color w:val="FF0000"/>
                <w:kern w:val="32"/>
                <w:sz w:val="24"/>
              </w:rPr>
              <w:t>周边环境</w:t>
            </w:r>
            <w:r>
              <w:rPr>
                <w:color w:val="FF0000"/>
              </w:rPr>
              <w:commentReference w:id="2"/>
            </w:r>
            <w:r>
              <w:rPr>
                <w:snapToGrid w:val="0"/>
                <w:color w:val="FF0000"/>
                <w:kern w:val="32"/>
                <w:sz w:val="24"/>
              </w:rPr>
              <w:t>兼容性分析</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据现场调查来看，项目</w:t>
            </w:r>
            <w:r>
              <w:rPr>
                <w:rFonts w:hint="eastAsia"/>
                <w:snapToGrid w:val="0"/>
                <w:kern w:val="32"/>
                <w:sz w:val="24"/>
              </w:rPr>
              <w:t>南面</w:t>
            </w:r>
            <w:r>
              <w:rPr>
                <w:snapToGrid w:val="0"/>
                <w:kern w:val="32"/>
                <w:sz w:val="24"/>
              </w:rPr>
              <w:t>为</w:t>
            </w:r>
            <w:r>
              <w:rPr>
                <w:rFonts w:hint="eastAsia"/>
                <w:snapToGrid w:val="0"/>
                <w:kern w:val="32"/>
                <w:sz w:val="24"/>
              </w:rPr>
              <w:t>铁路</w:t>
            </w:r>
            <w:r>
              <w:rPr>
                <w:snapToGrid w:val="0"/>
                <w:kern w:val="32"/>
                <w:sz w:val="24"/>
              </w:rPr>
              <w:t>，东面、西面、北面均为空地。</w:t>
            </w:r>
            <w:r>
              <w:rPr>
                <w:sz w:val="24"/>
              </w:rPr>
              <w:t>离本项目厂界最近的敏感点为</w:t>
            </w:r>
            <w:r>
              <w:rPr>
                <w:rFonts w:hint="eastAsia"/>
                <w:sz w:val="24"/>
              </w:rPr>
              <w:t>东面137</w:t>
            </w:r>
            <w:r>
              <w:rPr>
                <w:sz w:val="24"/>
              </w:rPr>
              <w:t>m处的</w:t>
            </w:r>
            <w:r>
              <w:rPr>
                <w:rFonts w:hint="eastAsia"/>
                <w:sz w:val="24"/>
              </w:rPr>
              <w:t>东</w:t>
            </w:r>
            <w:r>
              <w:rPr>
                <w:sz w:val="24"/>
              </w:rPr>
              <w:t>亘</w:t>
            </w:r>
            <w:r>
              <w:rPr>
                <w:rFonts w:hint="eastAsia"/>
                <w:sz w:val="24"/>
              </w:rPr>
              <w:t>黄家</w:t>
            </w:r>
            <w:r>
              <w:rPr>
                <w:sz w:val="24"/>
              </w:rPr>
              <w:t>，</w:t>
            </w:r>
            <w:r>
              <w:rPr>
                <w:snapToGrid w:val="0"/>
                <w:kern w:val="32"/>
                <w:sz w:val="24"/>
              </w:rPr>
              <w:t>本项目污染物在采取各项污染防治措施后均可达标排放，对外环境影响较小。</w:t>
            </w:r>
          </w:p>
          <w:p>
            <w:pPr>
              <w:autoSpaceDE w:val="0"/>
              <w:autoSpaceDN w:val="0"/>
              <w:adjustRightInd w:val="0"/>
              <w:snapToGrid w:val="0"/>
              <w:spacing w:line="360" w:lineRule="auto"/>
              <w:ind w:firstLine="480" w:firstLineChars="200"/>
              <w:jc w:val="left"/>
              <w:rPr>
                <w:snapToGrid w:val="0"/>
                <w:kern w:val="32"/>
                <w:sz w:val="24"/>
              </w:rPr>
            </w:pPr>
            <w:r>
              <w:rPr>
                <w:snapToGrid w:val="0"/>
                <w:kern w:val="32"/>
                <w:sz w:val="24"/>
              </w:rPr>
              <w:t>综上所述，本项目周边制约因素较少，用地性质符合相关规划，项目污染物在经过预防治理措施后能够达到相关标准要求，因此本项目选址可行。</w:t>
            </w:r>
          </w:p>
          <w:p>
            <w:pPr>
              <w:autoSpaceDE w:val="0"/>
              <w:autoSpaceDN w:val="0"/>
              <w:adjustRightInd w:val="0"/>
              <w:snapToGrid w:val="0"/>
              <w:spacing w:line="360" w:lineRule="auto"/>
              <w:ind w:firstLine="480" w:firstLineChars="200"/>
              <w:jc w:val="left"/>
              <w:rPr>
                <w:snapToGrid w:val="0"/>
                <w:color w:val="FF0000"/>
                <w:kern w:val="32"/>
                <w:sz w:val="24"/>
              </w:rPr>
            </w:pPr>
          </w:p>
          <w:p>
            <w:pPr>
              <w:autoSpaceDE w:val="0"/>
              <w:autoSpaceDN w:val="0"/>
              <w:adjustRightInd w:val="0"/>
              <w:snapToGrid w:val="0"/>
              <w:spacing w:line="360" w:lineRule="auto"/>
              <w:ind w:firstLine="480" w:firstLineChars="200"/>
              <w:jc w:val="left"/>
              <w:rPr>
                <w:snapToGrid w:val="0"/>
                <w:color w:val="FF0000"/>
                <w:kern w:val="32"/>
                <w:sz w:val="24"/>
              </w:rPr>
            </w:pPr>
          </w:p>
          <w:p>
            <w:pPr>
              <w:autoSpaceDE w:val="0"/>
              <w:autoSpaceDN w:val="0"/>
              <w:adjustRightInd w:val="0"/>
              <w:snapToGrid w:val="0"/>
              <w:spacing w:line="360" w:lineRule="auto"/>
              <w:ind w:firstLine="480" w:firstLineChars="200"/>
              <w:jc w:val="left"/>
              <w:rPr>
                <w:snapToGrid w:val="0"/>
                <w:color w:val="FF0000"/>
                <w:kern w:val="32"/>
                <w:sz w:val="24"/>
              </w:rPr>
            </w:pPr>
          </w:p>
          <w:p>
            <w:pPr>
              <w:autoSpaceDE w:val="0"/>
              <w:autoSpaceDN w:val="0"/>
              <w:adjustRightInd w:val="0"/>
              <w:snapToGrid w:val="0"/>
              <w:spacing w:line="360" w:lineRule="auto"/>
              <w:ind w:firstLine="480" w:firstLineChars="200"/>
              <w:jc w:val="left"/>
              <w:rPr>
                <w:snapToGrid w:val="0"/>
                <w:color w:val="FF0000"/>
                <w:kern w:val="32"/>
                <w:sz w:val="24"/>
              </w:rPr>
            </w:pPr>
          </w:p>
          <w:p>
            <w:pPr>
              <w:autoSpaceDE w:val="0"/>
              <w:autoSpaceDN w:val="0"/>
              <w:adjustRightInd w:val="0"/>
              <w:snapToGrid w:val="0"/>
              <w:spacing w:line="360" w:lineRule="auto"/>
              <w:ind w:firstLine="480" w:firstLineChars="200"/>
              <w:jc w:val="left"/>
              <w:rPr>
                <w:snapToGrid w:val="0"/>
                <w:color w:val="FF0000"/>
                <w:kern w:val="32"/>
                <w:sz w:val="24"/>
              </w:rPr>
            </w:pPr>
          </w:p>
          <w:p>
            <w:pPr>
              <w:pStyle w:val="2"/>
            </w:pPr>
          </w:p>
          <w:p/>
          <w:p>
            <w:pPr>
              <w:pStyle w:val="2"/>
            </w:pPr>
          </w:p>
          <w:p>
            <w:pPr>
              <w:autoSpaceDE w:val="0"/>
              <w:autoSpaceDN w:val="0"/>
              <w:adjustRightInd w:val="0"/>
              <w:snapToGrid w:val="0"/>
              <w:spacing w:line="360" w:lineRule="auto"/>
              <w:ind w:firstLine="480" w:firstLineChars="200"/>
              <w:jc w:val="left"/>
              <w:rPr>
                <w:snapToGrid w:val="0"/>
                <w:color w:val="FF0000"/>
                <w:kern w:val="32"/>
                <w:sz w:val="24"/>
              </w:rPr>
            </w:pPr>
          </w:p>
          <w:p>
            <w:pPr>
              <w:autoSpaceDE w:val="0"/>
              <w:autoSpaceDN w:val="0"/>
              <w:adjustRightInd w:val="0"/>
              <w:snapToGrid w:val="0"/>
              <w:spacing w:line="360" w:lineRule="auto"/>
              <w:ind w:firstLine="480" w:firstLineChars="200"/>
              <w:jc w:val="left"/>
              <w:rPr>
                <w:color w:val="FF0000"/>
                <w:kern w:val="0"/>
                <w:sz w:val="24"/>
              </w:rPr>
            </w:pPr>
          </w:p>
        </w:tc>
      </w:tr>
    </w:tbl>
    <w:p>
      <w:pPr>
        <w:spacing w:line="360" w:lineRule="auto"/>
        <w:outlineLvl w:val="0"/>
        <w:rPr>
          <w:color w:val="FF0000"/>
          <w:sz w:val="30"/>
        </w:rPr>
        <w:sectPr>
          <w:footerReference r:id="rId7" w:type="default"/>
          <w:pgSz w:w="11906" w:h="16838"/>
          <w:pgMar w:top="1701" w:right="1531" w:bottom="1701" w:left="1531" w:header="851" w:footer="1077" w:gutter="0"/>
          <w:pgNumType w:start="1"/>
          <w:cols w:space="720" w:num="1"/>
          <w:docGrid w:linePitch="312" w:charSpace="0"/>
        </w:sectPr>
      </w:pPr>
    </w:p>
    <w:p>
      <w:pPr>
        <w:pStyle w:val="35"/>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40"/>
        <w:tblW w:w="103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22" w:hRule="atLeast"/>
          <w:jc w:val="center"/>
        </w:trPr>
        <w:tc>
          <w:tcPr>
            <w:tcW w:w="456" w:type="dxa"/>
            <w:vAlign w:val="center"/>
          </w:tcPr>
          <w:p>
            <w:pPr>
              <w:pStyle w:val="35"/>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9882" w:type="dxa"/>
          </w:tcPr>
          <w:p>
            <w:pPr>
              <w:snapToGrid w:val="0"/>
              <w:spacing w:line="360" w:lineRule="auto"/>
              <w:rPr>
                <w:b/>
                <w:kern w:val="0"/>
                <w:sz w:val="24"/>
              </w:rPr>
            </w:pPr>
            <w:r>
              <w:rPr>
                <w:b/>
                <w:kern w:val="0"/>
                <w:sz w:val="24"/>
              </w:rPr>
              <w:t>一、项目由来</w:t>
            </w:r>
          </w:p>
          <w:p>
            <w:pPr>
              <w:autoSpaceDE w:val="0"/>
              <w:autoSpaceDN w:val="0"/>
              <w:adjustRightInd w:val="0"/>
              <w:spacing w:line="360" w:lineRule="auto"/>
              <w:ind w:firstLine="480" w:firstLineChars="200"/>
              <w:rPr>
                <w:color w:val="FF0000"/>
                <w:sz w:val="24"/>
              </w:rPr>
            </w:pPr>
            <w:r>
              <w:rPr>
                <w:sz w:val="24"/>
              </w:rPr>
              <w:t>江西德朗实业有限公司是一家汽车内饰件、波纹管、汽车零部件、玻璃制品、金属制品制造等为主的企业，通过充分的市场调研，拟投资15008.2万元</w:t>
            </w:r>
            <w:r>
              <w:rPr>
                <w:rFonts w:hint="eastAsia"/>
                <w:sz w:val="24"/>
              </w:rPr>
              <w:t>，在南昌县小蓝经济技术开发区涟漪路以西、汽车南路以北购置</w:t>
            </w:r>
            <w:r>
              <w:rPr>
                <w:sz w:val="24"/>
              </w:rPr>
              <w:t>土地26773.33m</w:t>
            </w:r>
            <w:r>
              <w:rPr>
                <w:sz w:val="24"/>
                <w:vertAlign w:val="superscript"/>
              </w:rPr>
              <w:t>2</w:t>
            </w:r>
            <w:r>
              <w:rPr>
                <w:rFonts w:hint="eastAsia"/>
                <w:sz w:val="24"/>
              </w:rPr>
              <w:t>（40.16亩），建设</w:t>
            </w:r>
            <w:r>
              <w:rPr>
                <w:sz w:val="24"/>
              </w:rPr>
              <w:t>两栋车间、一栋综合办公楼，</w:t>
            </w:r>
            <w:r>
              <w:rPr>
                <w:rFonts w:hint="eastAsia"/>
                <w:sz w:val="24"/>
              </w:rPr>
              <w:t>项目建成后，形成年产600万个汽车波纹金属软管的生产能力。</w:t>
            </w:r>
          </w:p>
          <w:p>
            <w:pPr>
              <w:autoSpaceDE w:val="0"/>
              <w:autoSpaceDN w:val="0"/>
              <w:adjustRightInd w:val="0"/>
              <w:spacing w:line="360" w:lineRule="auto"/>
              <w:ind w:firstLine="480" w:firstLineChars="200"/>
              <w:rPr>
                <w:b/>
                <w:kern w:val="0"/>
                <w:sz w:val="24"/>
              </w:rPr>
            </w:pPr>
            <w:r>
              <w:rPr>
                <w:sz w:val="24"/>
                <w:shd w:val="clear" w:color="auto" w:fill="FFFFFF"/>
              </w:rPr>
              <w:t>根据</w:t>
            </w:r>
            <w:r>
              <w:rPr>
                <w:kern w:val="0"/>
                <w:sz w:val="24"/>
              </w:rPr>
              <w:t>《中华人民共和国环境影响评价法》和国务院令第682号《建设项目环境保护管理条例》的要求，本项目属于</w:t>
            </w:r>
            <w:r>
              <w:rPr>
                <w:sz w:val="24"/>
              </w:rPr>
              <w:t>《建设项目环境影响评价分类管理名录》（2021年版，生态环境部令第16号）中</w:t>
            </w:r>
            <w:r>
              <w:rPr>
                <w:rFonts w:hint="eastAsia"/>
                <w:sz w:val="24"/>
              </w:rPr>
              <w:t>三十三</w:t>
            </w:r>
            <w:r>
              <w:rPr>
                <w:sz w:val="24"/>
              </w:rPr>
              <w:t>、汽车制造业中的“71</w:t>
            </w:r>
            <w:r>
              <w:rPr>
                <w:rFonts w:hint="eastAsia"/>
                <w:sz w:val="24"/>
              </w:rPr>
              <w:t>汽车零部件</w:t>
            </w:r>
            <w:r>
              <w:rPr>
                <w:sz w:val="24"/>
              </w:rPr>
              <w:t>及配件制造</w:t>
            </w:r>
            <w:r>
              <w:rPr>
                <w:rFonts w:hint="eastAsia"/>
                <w:sz w:val="24"/>
              </w:rPr>
              <w:t>367</w:t>
            </w:r>
            <w:r>
              <w:rPr>
                <w:sz w:val="24"/>
              </w:rPr>
              <w:t>”，“其他</w:t>
            </w:r>
            <w:r>
              <w:rPr>
                <w:rFonts w:hint="eastAsia"/>
                <w:sz w:val="24"/>
              </w:rPr>
              <w:t>（年用非溶剂型低VOCs含量涂料10吨以下的除外）</w:t>
            </w:r>
            <w:r>
              <w:rPr>
                <w:sz w:val="24"/>
              </w:rPr>
              <w:t>”；因此本项目应当编制环境影响报告表。为此，</w:t>
            </w:r>
            <w:r>
              <w:rPr>
                <w:rFonts w:hint="eastAsia"/>
                <w:sz w:val="24"/>
              </w:rPr>
              <w:t>江西德朗实业有限公司</w:t>
            </w:r>
            <w:r>
              <w:rPr>
                <w:sz w:val="24"/>
              </w:rPr>
              <w:t>特委托南昌新创环保技术服务有限公司承担该项目环境影响报告表的编制工作，我</w:t>
            </w:r>
            <w:r>
              <w:rPr>
                <w:rFonts w:hint="eastAsia"/>
                <w:sz w:val="24"/>
              </w:rPr>
              <w:t>公司</w:t>
            </w:r>
            <w:r>
              <w:rPr>
                <w:sz w:val="24"/>
              </w:rPr>
              <w:t>接受委托后安排技术人员经过现场实地踏勘、调查、资料收集，并征求了有关部门的意见和建议后，按照《建设项目环境影响报告表编制技术指南（污染影响类）（试行）》</w:t>
            </w:r>
            <w:r>
              <w:rPr>
                <w:kern w:val="0"/>
                <w:sz w:val="24"/>
              </w:rPr>
              <w:t>的要求，对本项目所在区域的环境现状和可能造成的环境影响进行分析，编制了本项目环境影响报告表</w:t>
            </w:r>
            <w:r>
              <w:rPr>
                <w:sz w:val="24"/>
              </w:rPr>
              <w:t>，现呈报生态环境行政主管部门审批</w:t>
            </w:r>
            <w:r>
              <w:rPr>
                <w:kern w:val="0"/>
                <w:sz w:val="24"/>
              </w:rPr>
              <w:t>。</w:t>
            </w:r>
          </w:p>
          <w:p>
            <w:pPr>
              <w:snapToGrid w:val="0"/>
              <w:spacing w:line="360" w:lineRule="auto"/>
              <w:rPr>
                <w:b/>
                <w:kern w:val="0"/>
                <w:sz w:val="24"/>
              </w:rPr>
            </w:pPr>
            <w:r>
              <w:rPr>
                <w:b/>
                <w:kern w:val="0"/>
                <w:sz w:val="24"/>
              </w:rPr>
              <w:t>二、项目概况</w:t>
            </w:r>
          </w:p>
          <w:p>
            <w:pPr>
              <w:snapToGrid w:val="0"/>
              <w:spacing w:line="360" w:lineRule="auto"/>
              <w:ind w:firstLine="482" w:firstLineChars="200"/>
              <w:rPr>
                <w:b/>
                <w:kern w:val="0"/>
                <w:sz w:val="24"/>
              </w:rPr>
            </w:pPr>
            <w:r>
              <w:rPr>
                <w:b/>
                <w:kern w:val="0"/>
                <w:sz w:val="24"/>
              </w:rPr>
              <w:t>1、项目基本情况</w:t>
            </w:r>
          </w:p>
          <w:p>
            <w:pPr>
              <w:snapToGrid w:val="0"/>
              <w:spacing w:line="360" w:lineRule="auto"/>
              <w:ind w:firstLine="480" w:firstLineChars="200"/>
              <w:rPr>
                <w:sz w:val="24"/>
              </w:rPr>
            </w:pPr>
            <w:r>
              <w:rPr>
                <w:sz w:val="24"/>
              </w:rPr>
              <w:t>项目名称：</w:t>
            </w:r>
            <w:r>
              <w:rPr>
                <w:rFonts w:hint="eastAsia"/>
                <w:sz w:val="24"/>
              </w:rPr>
              <w:t>江西德朗实业有限公司年产600万个汽车波纹金属软管项目</w:t>
            </w:r>
            <w:r>
              <w:rPr>
                <w:sz w:val="24"/>
              </w:rPr>
              <w:t>。</w:t>
            </w:r>
          </w:p>
          <w:p>
            <w:pPr>
              <w:snapToGrid w:val="0"/>
              <w:spacing w:line="360" w:lineRule="auto"/>
              <w:ind w:firstLine="480" w:firstLineChars="200"/>
              <w:rPr>
                <w:sz w:val="24"/>
              </w:rPr>
            </w:pPr>
            <w:r>
              <w:rPr>
                <w:sz w:val="24"/>
              </w:rPr>
              <w:t>建设单位：</w:t>
            </w:r>
            <w:r>
              <w:rPr>
                <w:rFonts w:hint="eastAsia"/>
                <w:sz w:val="24"/>
              </w:rPr>
              <w:t>江西德朗实业有限公司</w:t>
            </w:r>
            <w:r>
              <w:rPr>
                <w:sz w:val="24"/>
              </w:rPr>
              <w:t>。</w:t>
            </w:r>
          </w:p>
          <w:p>
            <w:pPr>
              <w:snapToGrid w:val="0"/>
              <w:spacing w:line="360" w:lineRule="auto"/>
              <w:ind w:firstLine="480" w:firstLineChars="200"/>
              <w:rPr>
                <w:sz w:val="24"/>
              </w:rPr>
            </w:pPr>
            <w:r>
              <w:rPr>
                <w:sz w:val="24"/>
              </w:rPr>
              <w:t>建设性质：新建。</w:t>
            </w:r>
          </w:p>
          <w:p>
            <w:pPr>
              <w:snapToGrid w:val="0"/>
              <w:spacing w:line="360" w:lineRule="auto"/>
              <w:ind w:firstLine="480" w:firstLineChars="200"/>
              <w:rPr>
                <w:sz w:val="24"/>
              </w:rPr>
            </w:pPr>
            <w:r>
              <w:rPr>
                <w:sz w:val="24"/>
              </w:rPr>
              <w:t>项目总投资：15008.2万元。</w:t>
            </w:r>
          </w:p>
          <w:p>
            <w:pPr>
              <w:snapToGrid w:val="0"/>
              <w:spacing w:line="360" w:lineRule="auto"/>
              <w:ind w:firstLine="480" w:firstLineChars="200"/>
              <w:rPr>
                <w:sz w:val="24"/>
              </w:rPr>
            </w:pPr>
            <w:r>
              <w:rPr>
                <w:sz w:val="24"/>
              </w:rPr>
              <w:t>征地面积：26773.33m</w:t>
            </w:r>
            <w:r>
              <w:rPr>
                <w:sz w:val="24"/>
                <w:vertAlign w:val="superscript"/>
              </w:rPr>
              <w:t>2</w:t>
            </w:r>
            <w:r>
              <w:rPr>
                <w:sz w:val="24"/>
              </w:rPr>
              <w:t>。</w:t>
            </w:r>
          </w:p>
          <w:p>
            <w:pPr>
              <w:snapToGrid w:val="0"/>
              <w:spacing w:line="360" w:lineRule="auto"/>
              <w:ind w:firstLine="480" w:firstLineChars="200"/>
              <w:rPr>
                <w:sz w:val="24"/>
              </w:rPr>
            </w:pPr>
            <w:r>
              <w:rPr>
                <w:sz w:val="24"/>
              </w:rPr>
              <w:t>建设地点：</w:t>
            </w:r>
            <w:r>
              <w:rPr>
                <w:rFonts w:hint="eastAsia"/>
                <w:sz w:val="24"/>
              </w:rPr>
              <w:t>南昌县小蓝经济技术开发区涟漪路以西、汽车南路以北</w:t>
            </w:r>
            <w:r>
              <w:rPr>
                <w:sz w:val="24"/>
              </w:rPr>
              <w:t>，厂区中心地理坐标为东经115°52'34.295"，北纬28°30'41.306"。项目位置详见附图1。</w:t>
            </w:r>
          </w:p>
          <w:p>
            <w:pPr>
              <w:snapToGrid w:val="0"/>
              <w:spacing w:line="360" w:lineRule="auto"/>
              <w:ind w:firstLine="482" w:firstLineChars="200"/>
              <w:rPr>
                <w:b/>
                <w:sz w:val="24"/>
              </w:rPr>
            </w:pPr>
            <w:r>
              <w:rPr>
                <w:b/>
                <w:sz w:val="24"/>
              </w:rPr>
              <w:t>2、周围环境概况</w:t>
            </w:r>
          </w:p>
          <w:p>
            <w:pPr>
              <w:snapToGrid w:val="0"/>
              <w:spacing w:line="360" w:lineRule="auto"/>
              <w:ind w:firstLine="480" w:firstLineChars="200"/>
              <w:rPr>
                <w:sz w:val="24"/>
              </w:rPr>
            </w:pPr>
            <w:r>
              <w:rPr>
                <w:snapToGrid w:val="0"/>
                <w:kern w:val="32"/>
                <w:sz w:val="24"/>
              </w:rPr>
              <w:t>项目</w:t>
            </w:r>
            <w:r>
              <w:rPr>
                <w:rFonts w:hint="eastAsia"/>
                <w:snapToGrid w:val="0"/>
                <w:kern w:val="32"/>
                <w:sz w:val="24"/>
              </w:rPr>
              <w:t>南面</w:t>
            </w:r>
            <w:r>
              <w:rPr>
                <w:snapToGrid w:val="0"/>
                <w:kern w:val="32"/>
                <w:sz w:val="24"/>
              </w:rPr>
              <w:t>为</w:t>
            </w:r>
            <w:r>
              <w:rPr>
                <w:rFonts w:hint="eastAsia"/>
                <w:snapToGrid w:val="0"/>
                <w:kern w:val="32"/>
                <w:sz w:val="24"/>
              </w:rPr>
              <w:t>铁路</w:t>
            </w:r>
            <w:r>
              <w:rPr>
                <w:snapToGrid w:val="0"/>
                <w:kern w:val="32"/>
                <w:sz w:val="24"/>
              </w:rPr>
              <w:t>，东面、西面、北面均为空地。</w:t>
            </w:r>
            <w:r>
              <w:rPr>
                <w:sz w:val="24"/>
              </w:rPr>
              <w:t>离本项目厂界最近的敏感点为</w:t>
            </w:r>
            <w:r>
              <w:rPr>
                <w:rFonts w:hint="eastAsia"/>
                <w:sz w:val="24"/>
              </w:rPr>
              <w:t>东面137</w:t>
            </w:r>
            <w:r>
              <w:rPr>
                <w:sz w:val="24"/>
              </w:rPr>
              <w:t>m处的</w:t>
            </w:r>
            <w:r>
              <w:rPr>
                <w:rFonts w:hint="eastAsia"/>
                <w:sz w:val="24"/>
              </w:rPr>
              <w:t>东</w:t>
            </w:r>
            <w:r>
              <w:rPr>
                <w:sz w:val="24"/>
              </w:rPr>
              <w:t>亘</w:t>
            </w:r>
            <w:r>
              <w:rPr>
                <w:rFonts w:hint="eastAsia"/>
                <w:sz w:val="24"/>
              </w:rPr>
              <w:t>黄家</w:t>
            </w:r>
            <w:r>
              <w:rPr>
                <w:sz w:val="24"/>
              </w:rPr>
              <w:t>，本项目周边环境保护目标分布图见附图3。</w:t>
            </w:r>
          </w:p>
          <w:tbl>
            <w:tblPr>
              <w:tblStyle w:val="4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55"/>
              <w:gridCol w:w="4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14" w:type="pct"/>
                  <w:shd w:val="clear" w:color="auto" w:fill="auto"/>
                  <w:vAlign w:val="center"/>
                </w:tcPr>
                <w:p>
                  <w:pPr>
                    <w:pStyle w:val="2"/>
                    <w:jc w:val="center"/>
                    <w:rPr>
                      <w:rFonts w:ascii="Times New Roman" w:cs="Times New Roman"/>
                      <w:color w:val="FF0000"/>
                      <w:sz w:val="21"/>
                      <w:szCs w:val="21"/>
                    </w:rPr>
                  </w:pPr>
                  <w:r>
                    <w:drawing>
                      <wp:inline distT="0" distB="0" distL="0" distR="0">
                        <wp:extent cx="2889885" cy="2168525"/>
                        <wp:effectExtent l="0" t="0" r="571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902595" cy="2178259"/>
                                </a:xfrm>
                                <a:prstGeom prst="rect">
                                  <a:avLst/>
                                </a:prstGeom>
                              </pic:spPr>
                            </pic:pic>
                          </a:graphicData>
                        </a:graphic>
                      </wp:inline>
                    </w:drawing>
                  </w:r>
                </w:p>
              </w:tc>
              <w:tc>
                <w:tcPr>
                  <w:tcW w:w="2486" w:type="pct"/>
                  <w:shd w:val="clear" w:color="auto" w:fill="auto"/>
                  <w:vAlign w:val="center"/>
                </w:tcPr>
                <w:p>
                  <w:pPr>
                    <w:pStyle w:val="2"/>
                    <w:jc w:val="center"/>
                    <w:rPr>
                      <w:rFonts w:ascii="Times New Roman" w:cs="Times New Roman"/>
                      <w:color w:val="FF0000"/>
                      <w:sz w:val="21"/>
                      <w:szCs w:val="21"/>
                    </w:rPr>
                  </w:pPr>
                  <w:r>
                    <w:drawing>
                      <wp:inline distT="0" distB="0" distL="0" distR="0">
                        <wp:extent cx="2842895" cy="2136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851326" cy="214300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14" w:type="pct"/>
                  <w:shd w:val="clear" w:color="auto" w:fill="auto"/>
                  <w:vAlign w:val="center"/>
                </w:tcPr>
                <w:p>
                  <w:pPr>
                    <w:pStyle w:val="2"/>
                    <w:jc w:val="center"/>
                    <w:rPr>
                      <w:rFonts w:ascii="Times New Roman" w:cs="Times New Roman"/>
                      <w:color w:val="auto"/>
                      <w:sz w:val="21"/>
                      <w:szCs w:val="21"/>
                    </w:rPr>
                  </w:pPr>
                  <w:r>
                    <w:rPr>
                      <w:rFonts w:ascii="Times New Roman" w:cs="Times New Roman"/>
                      <w:b/>
                      <w:color w:val="auto"/>
                      <w:kern w:val="2"/>
                      <w:sz w:val="21"/>
                      <w:szCs w:val="21"/>
                    </w:rPr>
                    <w:t>项目东侧---</w:t>
                  </w:r>
                  <w:r>
                    <w:rPr>
                      <w:rFonts w:hint="eastAsia" w:ascii="Times New Roman" w:cs="Times New Roman"/>
                      <w:b/>
                      <w:color w:val="auto"/>
                      <w:kern w:val="2"/>
                      <w:sz w:val="21"/>
                      <w:szCs w:val="21"/>
                    </w:rPr>
                    <w:t>空地及</w:t>
                  </w:r>
                  <w:r>
                    <w:rPr>
                      <w:rFonts w:ascii="Times New Roman" w:cs="Times New Roman"/>
                      <w:b/>
                      <w:color w:val="auto"/>
                      <w:kern w:val="2"/>
                      <w:sz w:val="21"/>
                      <w:szCs w:val="21"/>
                    </w:rPr>
                    <w:t>东</w:t>
                  </w:r>
                  <w:r>
                    <w:rPr>
                      <w:rFonts w:hint="eastAsia" w:ascii="Times New Roman" w:cs="Times New Roman"/>
                      <w:b/>
                      <w:color w:val="auto"/>
                      <w:kern w:val="2"/>
                      <w:sz w:val="21"/>
                      <w:szCs w:val="21"/>
                    </w:rPr>
                    <w:t>亘</w:t>
                  </w:r>
                  <w:r>
                    <w:rPr>
                      <w:rFonts w:ascii="Times New Roman" w:cs="Times New Roman"/>
                      <w:b/>
                      <w:color w:val="auto"/>
                      <w:kern w:val="2"/>
                      <w:sz w:val="21"/>
                      <w:szCs w:val="21"/>
                    </w:rPr>
                    <w:t>黄</w:t>
                  </w:r>
                  <w:r>
                    <w:rPr>
                      <w:rFonts w:hint="eastAsia" w:ascii="Times New Roman" w:cs="Times New Roman"/>
                      <w:b/>
                      <w:color w:val="auto"/>
                      <w:kern w:val="2"/>
                      <w:sz w:val="21"/>
                      <w:szCs w:val="21"/>
                    </w:rPr>
                    <w:t>家</w:t>
                  </w:r>
                </w:p>
              </w:tc>
              <w:tc>
                <w:tcPr>
                  <w:tcW w:w="2486" w:type="pct"/>
                  <w:shd w:val="clear" w:color="auto" w:fill="auto"/>
                  <w:vAlign w:val="center"/>
                </w:tcPr>
                <w:p>
                  <w:pPr>
                    <w:pStyle w:val="2"/>
                    <w:jc w:val="center"/>
                    <w:rPr>
                      <w:rFonts w:ascii="Times New Roman" w:cs="Times New Roman"/>
                      <w:color w:val="auto"/>
                      <w:sz w:val="21"/>
                      <w:szCs w:val="21"/>
                    </w:rPr>
                  </w:pPr>
                  <w:r>
                    <w:rPr>
                      <w:rFonts w:ascii="Times New Roman" w:cs="Times New Roman"/>
                      <w:b/>
                      <w:color w:val="auto"/>
                      <w:kern w:val="2"/>
                      <w:sz w:val="21"/>
                      <w:szCs w:val="21"/>
                    </w:rPr>
                    <w:t>项目南侧---</w:t>
                  </w:r>
                  <w:r>
                    <w:rPr>
                      <w:rFonts w:hint="eastAsia" w:ascii="Times New Roman" w:cs="Times New Roman"/>
                      <w:b/>
                      <w:color w:val="auto"/>
                      <w:kern w:val="2"/>
                      <w:sz w:val="21"/>
                      <w:szCs w:val="21"/>
                    </w:rPr>
                    <w:t>铁路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14" w:type="pct"/>
                  <w:shd w:val="clear" w:color="auto" w:fill="auto"/>
                  <w:vAlign w:val="center"/>
                </w:tcPr>
                <w:p>
                  <w:pPr>
                    <w:pStyle w:val="2"/>
                    <w:jc w:val="center"/>
                    <w:rPr>
                      <w:rFonts w:ascii="Times New Roman" w:cs="Times New Roman"/>
                      <w:color w:val="FF0000"/>
                      <w:sz w:val="21"/>
                      <w:szCs w:val="21"/>
                    </w:rPr>
                  </w:pPr>
                  <w:r>
                    <w:drawing>
                      <wp:inline distT="0" distB="0" distL="0" distR="0">
                        <wp:extent cx="2867025" cy="21583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873984" cy="2163612"/>
                                </a:xfrm>
                                <a:prstGeom prst="rect">
                                  <a:avLst/>
                                </a:prstGeom>
                              </pic:spPr>
                            </pic:pic>
                          </a:graphicData>
                        </a:graphic>
                      </wp:inline>
                    </w:drawing>
                  </w:r>
                </w:p>
              </w:tc>
              <w:tc>
                <w:tcPr>
                  <w:tcW w:w="2486" w:type="pct"/>
                  <w:shd w:val="clear" w:color="auto" w:fill="auto"/>
                  <w:vAlign w:val="center"/>
                </w:tcPr>
                <w:p>
                  <w:pPr>
                    <w:pStyle w:val="2"/>
                    <w:jc w:val="center"/>
                    <w:rPr>
                      <w:rFonts w:ascii="Times New Roman" w:cs="Times New Roman"/>
                      <w:color w:val="FF0000"/>
                      <w:sz w:val="21"/>
                      <w:szCs w:val="21"/>
                    </w:rPr>
                  </w:pPr>
                  <w:r>
                    <w:drawing>
                      <wp:inline distT="0" distB="0" distL="0" distR="0">
                        <wp:extent cx="2811145" cy="211582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819448" cy="212191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14" w:type="pct"/>
                  <w:shd w:val="clear" w:color="auto" w:fill="auto"/>
                  <w:vAlign w:val="center"/>
                </w:tcPr>
                <w:p>
                  <w:pPr>
                    <w:pStyle w:val="2"/>
                    <w:jc w:val="center"/>
                    <w:rPr>
                      <w:rFonts w:ascii="Times New Roman" w:cs="Times New Roman"/>
                      <w:color w:val="auto"/>
                      <w:sz w:val="21"/>
                      <w:szCs w:val="21"/>
                    </w:rPr>
                  </w:pPr>
                  <w:r>
                    <w:rPr>
                      <w:rFonts w:ascii="Times New Roman" w:cs="Times New Roman"/>
                      <w:b/>
                      <w:color w:val="auto"/>
                      <w:kern w:val="2"/>
                      <w:sz w:val="21"/>
                      <w:szCs w:val="21"/>
                    </w:rPr>
                    <w:t>项目西侧---</w:t>
                  </w:r>
                  <w:r>
                    <w:rPr>
                      <w:rFonts w:hint="eastAsia" w:ascii="Times New Roman" w:cs="Times New Roman"/>
                      <w:b/>
                      <w:color w:val="auto"/>
                      <w:kern w:val="2"/>
                      <w:sz w:val="21"/>
                      <w:szCs w:val="21"/>
                    </w:rPr>
                    <w:t>空地</w:t>
                  </w:r>
                </w:p>
              </w:tc>
              <w:tc>
                <w:tcPr>
                  <w:tcW w:w="2486" w:type="pct"/>
                  <w:shd w:val="clear" w:color="auto" w:fill="auto"/>
                  <w:vAlign w:val="center"/>
                </w:tcPr>
                <w:p>
                  <w:pPr>
                    <w:jc w:val="center"/>
                    <w:rPr>
                      <w:szCs w:val="21"/>
                    </w:rPr>
                  </w:pPr>
                  <w:r>
                    <w:rPr>
                      <w:b/>
                      <w:szCs w:val="21"/>
                    </w:rPr>
                    <w:t>项目北侧---</w:t>
                  </w:r>
                  <w:r>
                    <w:rPr>
                      <w:rFonts w:hint="eastAsia"/>
                      <w:b/>
                      <w:szCs w:val="21"/>
                    </w:rPr>
                    <w:t>空地</w:t>
                  </w:r>
                </w:p>
              </w:tc>
            </w:tr>
          </w:tbl>
          <w:p>
            <w:pPr>
              <w:snapToGrid w:val="0"/>
              <w:spacing w:line="360" w:lineRule="auto"/>
              <w:ind w:firstLine="482" w:firstLineChars="200"/>
              <w:rPr>
                <w:b/>
                <w:kern w:val="0"/>
                <w:sz w:val="24"/>
              </w:rPr>
            </w:pPr>
            <w:r>
              <w:rPr>
                <w:b/>
                <w:kern w:val="0"/>
                <w:sz w:val="24"/>
              </w:rPr>
              <w:t>3、建设内容</w:t>
            </w:r>
          </w:p>
          <w:p>
            <w:pPr>
              <w:snapToGrid w:val="0"/>
              <w:spacing w:line="360" w:lineRule="auto"/>
              <w:ind w:firstLine="480" w:firstLineChars="200"/>
              <w:rPr>
                <w:b/>
                <w:kern w:val="0"/>
                <w:szCs w:val="21"/>
              </w:rPr>
            </w:pPr>
            <w:r>
              <w:rPr>
                <w:kern w:val="0"/>
                <w:sz w:val="24"/>
              </w:rPr>
              <w:t>项目工程内容主要包括主体工程、辅助工程、公用工程、储运工程以及环保工程等，主要建设内容见表2-1。</w:t>
            </w:r>
          </w:p>
          <w:p>
            <w:pPr>
              <w:adjustRightInd w:val="0"/>
              <w:snapToGrid w:val="0"/>
              <w:jc w:val="center"/>
              <w:rPr>
                <w:b/>
                <w:szCs w:val="21"/>
              </w:rPr>
            </w:pPr>
            <w:r>
              <w:rPr>
                <w:b/>
                <w:szCs w:val="21"/>
              </w:rPr>
              <w:t>表2-1  项目建设内容</w:t>
            </w:r>
          </w:p>
          <w:tbl>
            <w:tblPr>
              <w:tblStyle w:val="4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564"/>
              <w:gridCol w:w="953"/>
              <w:gridCol w:w="1073"/>
              <w:gridCol w:w="6380"/>
              <w:gridCol w:w="69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tblHeader/>
                <w:jc w:val="center"/>
              </w:trPr>
              <w:tc>
                <w:tcPr>
                  <w:tcW w:w="292" w:type="pct"/>
                  <w:vAlign w:val="center"/>
                </w:tcPr>
                <w:p>
                  <w:pPr>
                    <w:snapToGrid w:val="0"/>
                    <w:jc w:val="center"/>
                    <w:rPr>
                      <w:b/>
                      <w:szCs w:val="21"/>
                    </w:rPr>
                  </w:pPr>
                  <w:r>
                    <w:rPr>
                      <w:b/>
                      <w:szCs w:val="21"/>
                    </w:rPr>
                    <w:t>序号</w:t>
                  </w:r>
                </w:p>
              </w:tc>
              <w:tc>
                <w:tcPr>
                  <w:tcW w:w="493" w:type="pct"/>
                  <w:vAlign w:val="center"/>
                </w:tcPr>
                <w:p>
                  <w:pPr>
                    <w:snapToGrid w:val="0"/>
                    <w:jc w:val="center"/>
                    <w:rPr>
                      <w:b/>
                      <w:szCs w:val="21"/>
                    </w:rPr>
                  </w:pPr>
                  <w:r>
                    <w:rPr>
                      <w:b/>
                      <w:szCs w:val="21"/>
                    </w:rPr>
                    <w:t>工程名称</w:t>
                  </w:r>
                </w:p>
              </w:tc>
              <w:tc>
                <w:tcPr>
                  <w:tcW w:w="3855" w:type="pct"/>
                  <w:gridSpan w:val="2"/>
                  <w:tcBorders>
                    <w:right w:val="single" w:color="auto" w:sz="4" w:space="0"/>
                  </w:tcBorders>
                  <w:vAlign w:val="center"/>
                </w:tcPr>
                <w:p>
                  <w:pPr>
                    <w:snapToGrid w:val="0"/>
                    <w:jc w:val="center"/>
                    <w:rPr>
                      <w:b/>
                      <w:szCs w:val="21"/>
                    </w:rPr>
                  </w:pPr>
                  <w:r>
                    <w:rPr>
                      <w:b/>
                      <w:szCs w:val="21"/>
                    </w:rPr>
                    <w:t>主要建设内容</w:t>
                  </w:r>
                </w:p>
              </w:tc>
              <w:tc>
                <w:tcPr>
                  <w:tcW w:w="360" w:type="pct"/>
                  <w:vAlign w:val="center"/>
                </w:tcPr>
                <w:p>
                  <w:pPr>
                    <w:snapToGrid w:val="0"/>
                    <w:jc w:val="center"/>
                    <w:rPr>
                      <w:b/>
                      <w:szCs w:val="21"/>
                    </w:rPr>
                  </w:pPr>
                  <w:r>
                    <w:rPr>
                      <w:b/>
                      <w:szCs w:val="21"/>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restart"/>
                  <w:vAlign w:val="center"/>
                </w:tcPr>
                <w:p>
                  <w:pPr>
                    <w:snapToGrid w:val="0"/>
                    <w:jc w:val="center"/>
                    <w:rPr>
                      <w:szCs w:val="21"/>
                    </w:rPr>
                  </w:pPr>
                  <w:r>
                    <w:rPr>
                      <w:szCs w:val="21"/>
                    </w:rPr>
                    <w:t>1</w:t>
                  </w:r>
                </w:p>
              </w:tc>
              <w:tc>
                <w:tcPr>
                  <w:tcW w:w="493" w:type="pct"/>
                  <w:vMerge w:val="restart"/>
                  <w:vAlign w:val="center"/>
                </w:tcPr>
                <w:p>
                  <w:pPr>
                    <w:snapToGrid w:val="0"/>
                    <w:jc w:val="center"/>
                    <w:rPr>
                      <w:szCs w:val="21"/>
                    </w:rPr>
                  </w:pPr>
                  <w:r>
                    <w:rPr>
                      <w:szCs w:val="21"/>
                    </w:rPr>
                    <w:t>主体工程</w:t>
                  </w:r>
                </w:p>
              </w:tc>
              <w:tc>
                <w:tcPr>
                  <w:tcW w:w="555" w:type="pct"/>
                  <w:tcBorders>
                    <w:right w:val="single" w:color="auto" w:sz="4" w:space="0"/>
                  </w:tcBorders>
                  <w:vAlign w:val="center"/>
                </w:tcPr>
                <w:p>
                  <w:pPr>
                    <w:adjustRightInd w:val="0"/>
                    <w:snapToGrid w:val="0"/>
                    <w:jc w:val="center"/>
                    <w:rPr>
                      <w:szCs w:val="21"/>
                    </w:rPr>
                  </w:pPr>
                  <w:r>
                    <w:rPr>
                      <w:rFonts w:hint="eastAsia"/>
                      <w:szCs w:val="21"/>
                    </w:rPr>
                    <w:t>1#车间</w:t>
                  </w:r>
                </w:p>
              </w:tc>
              <w:tc>
                <w:tcPr>
                  <w:tcW w:w="3300" w:type="pct"/>
                  <w:tcBorders>
                    <w:left w:val="single" w:color="auto" w:sz="4" w:space="0"/>
                  </w:tcBorders>
                  <w:vAlign w:val="center"/>
                </w:tcPr>
                <w:p>
                  <w:pPr>
                    <w:adjustRightInd w:val="0"/>
                    <w:snapToGrid w:val="0"/>
                    <w:jc w:val="center"/>
                    <w:rPr>
                      <w:szCs w:val="21"/>
                    </w:rPr>
                  </w:pPr>
                  <w:r>
                    <w:rPr>
                      <w:rFonts w:hint="eastAsia"/>
                      <w:szCs w:val="21"/>
                    </w:rPr>
                    <w:t>占地面积7409.36</w:t>
                  </w:r>
                  <w:r>
                    <w:rPr>
                      <w:kern w:val="0"/>
                      <w:szCs w:val="21"/>
                    </w:rPr>
                    <w:t xml:space="preserve"> m</w:t>
                  </w:r>
                  <w:r>
                    <w:rPr>
                      <w:kern w:val="0"/>
                      <w:szCs w:val="21"/>
                      <w:vertAlign w:val="superscript"/>
                    </w:rPr>
                    <w:t>2</w:t>
                  </w:r>
                  <w:r>
                    <w:rPr>
                      <w:kern w:val="0"/>
                      <w:szCs w:val="21"/>
                    </w:rPr>
                    <w:t>，</w:t>
                  </w:r>
                  <w:r>
                    <w:rPr>
                      <w:rFonts w:hint="eastAsia"/>
                      <w:kern w:val="0"/>
                      <w:szCs w:val="21"/>
                    </w:rPr>
                    <w:t>1</w:t>
                  </w:r>
                  <w:r>
                    <w:rPr>
                      <w:kern w:val="0"/>
                      <w:szCs w:val="21"/>
                    </w:rPr>
                    <w:t>F</w:t>
                  </w:r>
                  <w:r>
                    <w:rPr>
                      <w:rFonts w:hint="eastAsia"/>
                      <w:kern w:val="0"/>
                      <w:szCs w:val="21"/>
                    </w:rPr>
                    <w:t>（部分2F），</w:t>
                  </w:r>
                  <w:r>
                    <w:rPr>
                      <w:kern w:val="0"/>
                      <w:szCs w:val="21"/>
                    </w:rPr>
                    <w:t>布置</w:t>
                  </w:r>
                  <w:r>
                    <w:rPr>
                      <w:rFonts w:hint="eastAsia"/>
                      <w:kern w:val="0"/>
                      <w:szCs w:val="21"/>
                    </w:rPr>
                    <w:t>4条汽车波纹金属软管生产线</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continue"/>
                  <w:vAlign w:val="center"/>
                </w:tcPr>
                <w:p>
                  <w:pPr>
                    <w:snapToGrid w:val="0"/>
                    <w:jc w:val="center"/>
                    <w:rPr>
                      <w:color w:val="FF0000"/>
                      <w:szCs w:val="21"/>
                    </w:rPr>
                  </w:pPr>
                </w:p>
              </w:tc>
              <w:tc>
                <w:tcPr>
                  <w:tcW w:w="493" w:type="pct"/>
                  <w:vMerge w:val="continue"/>
                  <w:vAlign w:val="center"/>
                </w:tcPr>
                <w:p>
                  <w:pPr>
                    <w:snapToGrid w:val="0"/>
                    <w:jc w:val="center"/>
                    <w:rPr>
                      <w:color w:val="FF0000"/>
                      <w:szCs w:val="21"/>
                    </w:rPr>
                  </w:pPr>
                </w:p>
              </w:tc>
              <w:tc>
                <w:tcPr>
                  <w:tcW w:w="555" w:type="pct"/>
                  <w:tcBorders>
                    <w:right w:val="single" w:color="auto" w:sz="4" w:space="0"/>
                  </w:tcBorders>
                  <w:vAlign w:val="center"/>
                </w:tcPr>
                <w:p>
                  <w:pPr>
                    <w:adjustRightInd w:val="0"/>
                    <w:snapToGrid w:val="0"/>
                    <w:jc w:val="center"/>
                    <w:rPr>
                      <w:color w:val="FF0000"/>
                      <w:szCs w:val="21"/>
                    </w:rPr>
                  </w:pPr>
                  <w:r>
                    <w:rPr>
                      <w:rFonts w:hint="eastAsia"/>
                      <w:szCs w:val="21"/>
                    </w:rPr>
                    <w:t>2#车间</w:t>
                  </w:r>
                </w:p>
              </w:tc>
              <w:tc>
                <w:tcPr>
                  <w:tcW w:w="3300" w:type="pct"/>
                  <w:tcBorders>
                    <w:left w:val="single" w:color="auto" w:sz="4" w:space="0"/>
                  </w:tcBorders>
                  <w:vAlign w:val="center"/>
                </w:tcPr>
                <w:p>
                  <w:pPr>
                    <w:adjustRightInd w:val="0"/>
                    <w:snapToGrid w:val="0"/>
                    <w:jc w:val="center"/>
                    <w:rPr>
                      <w:color w:val="FF0000"/>
                      <w:szCs w:val="21"/>
                    </w:rPr>
                  </w:pPr>
                  <w:r>
                    <w:rPr>
                      <w:rFonts w:hint="eastAsia"/>
                      <w:szCs w:val="21"/>
                    </w:rPr>
                    <w:t>占地面积7409.36</w:t>
                  </w:r>
                  <w:r>
                    <w:rPr>
                      <w:kern w:val="0"/>
                      <w:szCs w:val="21"/>
                    </w:rPr>
                    <w:t xml:space="preserve"> m</w:t>
                  </w:r>
                  <w:r>
                    <w:rPr>
                      <w:kern w:val="0"/>
                      <w:szCs w:val="21"/>
                      <w:vertAlign w:val="superscript"/>
                    </w:rPr>
                    <w:t>2</w:t>
                  </w:r>
                  <w:r>
                    <w:rPr>
                      <w:kern w:val="0"/>
                      <w:szCs w:val="21"/>
                    </w:rPr>
                    <w:t>，</w:t>
                  </w:r>
                  <w:r>
                    <w:rPr>
                      <w:rFonts w:hint="eastAsia"/>
                      <w:kern w:val="0"/>
                      <w:szCs w:val="21"/>
                    </w:rPr>
                    <w:t>1</w:t>
                  </w:r>
                  <w:r>
                    <w:rPr>
                      <w:kern w:val="0"/>
                      <w:szCs w:val="21"/>
                    </w:rPr>
                    <w:t>F</w:t>
                  </w:r>
                  <w:r>
                    <w:rPr>
                      <w:rFonts w:hint="eastAsia"/>
                      <w:kern w:val="0"/>
                      <w:szCs w:val="21"/>
                    </w:rPr>
                    <w:t>（部分2F），</w:t>
                  </w:r>
                  <w:r>
                    <w:rPr>
                      <w:kern w:val="0"/>
                      <w:szCs w:val="21"/>
                    </w:rPr>
                    <w:t>布置</w:t>
                  </w:r>
                  <w:r>
                    <w:rPr>
                      <w:rFonts w:hint="eastAsia"/>
                      <w:kern w:val="0"/>
                      <w:szCs w:val="21"/>
                    </w:rPr>
                    <w:t>4条汽车波纹金属软管生产线</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restart"/>
                  <w:vAlign w:val="center"/>
                </w:tcPr>
                <w:p>
                  <w:pPr>
                    <w:snapToGrid w:val="0"/>
                    <w:jc w:val="center"/>
                    <w:rPr>
                      <w:szCs w:val="21"/>
                    </w:rPr>
                  </w:pPr>
                  <w:r>
                    <w:rPr>
                      <w:szCs w:val="21"/>
                    </w:rPr>
                    <w:t>2</w:t>
                  </w:r>
                </w:p>
              </w:tc>
              <w:tc>
                <w:tcPr>
                  <w:tcW w:w="493" w:type="pct"/>
                  <w:vMerge w:val="restart"/>
                  <w:vAlign w:val="center"/>
                </w:tcPr>
                <w:p>
                  <w:pPr>
                    <w:jc w:val="center"/>
                    <w:rPr>
                      <w:szCs w:val="21"/>
                    </w:rPr>
                  </w:pPr>
                  <w:r>
                    <w:rPr>
                      <w:szCs w:val="21"/>
                    </w:rPr>
                    <w:t>辅助工程</w:t>
                  </w:r>
                </w:p>
              </w:tc>
              <w:tc>
                <w:tcPr>
                  <w:tcW w:w="555" w:type="pct"/>
                  <w:tcBorders>
                    <w:right w:val="single" w:color="auto" w:sz="4" w:space="0"/>
                  </w:tcBorders>
                  <w:vAlign w:val="center"/>
                </w:tcPr>
                <w:p>
                  <w:pPr>
                    <w:adjustRightInd w:val="0"/>
                    <w:snapToGrid w:val="0"/>
                    <w:jc w:val="center"/>
                    <w:rPr>
                      <w:szCs w:val="21"/>
                    </w:rPr>
                  </w:pPr>
                  <w:r>
                    <w:rPr>
                      <w:szCs w:val="21"/>
                    </w:rPr>
                    <w:t>办公楼</w:t>
                  </w:r>
                </w:p>
              </w:tc>
              <w:tc>
                <w:tcPr>
                  <w:tcW w:w="3300" w:type="pct"/>
                  <w:tcBorders>
                    <w:left w:val="single" w:color="auto" w:sz="4" w:space="0"/>
                  </w:tcBorders>
                  <w:vAlign w:val="center"/>
                </w:tcPr>
                <w:p>
                  <w:pPr>
                    <w:adjustRightInd w:val="0"/>
                    <w:snapToGrid w:val="0"/>
                    <w:jc w:val="center"/>
                    <w:rPr>
                      <w:szCs w:val="21"/>
                    </w:rPr>
                  </w:pPr>
                  <w:r>
                    <w:rPr>
                      <w:szCs w:val="21"/>
                    </w:rPr>
                    <w:t>占地面积</w:t>
                  </w:r>
                  <w:r>
                    <w:rPr>
                      <w:rFonts w:hint="eastAsia"/>
                      <w:szCs w:val="21"/>
                    </w:rPr>
                    <w:t>889.52</w:t>
                  </w:r>
                  <w:r>
                    <w:rPr>
                      <w:kern w:val="0"/>
                      <w:szCs w:val="21"/>
                    </w:rPr>
                    <w:t>m</w:t>
                  </w:r>
                  <w:r>
                    <w:rPr>
                      <w:kern w:val="0"/>
                      <w:szCs w:val="21"/>
                      <w:vertAlign w:val="superscript"/>
                    </w:rPr>
                    <w:t>2</w:t>
                  </w:r>
                  <w:r>
                    <w:rPr>
                      <w:kern w:val="0"/>
                      <w:szCs w:val="21"/>
                    </w:rPr>
                    <w:t>，</w:t>
                  </w:r>
                  <w:r>
                    <w:rPr>
                      <w:rFonts w:hint="eastAsia"/>
                      <w:kern w:val="0"/>
                      <w:szCs w:val="21"/>
                    </w:rPr>
                    <w:t>1</w:t>
                  </w:r>
                  <w:r>
                    <w:rPr>
                      <w:kern w:val="0"/>
                      <w:szCs w:val="21"/>
                    </w:rPr>
                    <w:t>2F</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continue"/>
                  <w:vAlign w:val="center"/>
                </w:tcPr>
                <w:p>
                  <w:pPr>
                    <w:snapToGrid w:val="0"/>
                    <w:jc w:val="center"/>
                    <w:rPr>
                      <w:color w:val="FF0000"/>
                      <w:szCs w:val="21"/>
                    </w:rPr>
                  </w:pPr>
                </w:p>
              </w:tc>
              <w:tc>
                <w:tcPr>
                  <w:tcW w:w="493" w:type="pct"/>
                  <w:vMerge w:val="continue"/>
                  <w:vAlign w:val="center"/>
                </w:tcPr>
                <w:p>
                  <w:pPr>
                    <w:jc w:val="center"/>
                    <w:rPr>
                      <w:color w:val="FF0000"/>
                      <w:szCs w:val="21"/>
                    </w:rPr>
                  </w:pPr>
                </w:p>
              </w:tc>
              <w:tc>
                <w:tcPr>
                  <w:tcW w:w="555" w:type="pct"/>
                  <w:tcBorders>
                    <w:right w:val="single" w:color="auto" w:sz="4" w:space="0"/>
                  </w:tcBorders>
                  <w:vAlign w:val="center"/>
                </w:tcPr>
                <w:p>
                  <w:pPr>
                    <w:adjustRightInd w:val="0"/>
                    <w:snapToGrid w:val="0"/>
                    <w:jc w:val="center"/>
                    <w:rPr>
                      <w:szCs w:val="21"/>
                    </w:rPr>
                  </w:pPr>
                  <w:r>
                    <w:rPr>
                      <w:szCs w:val="21"/>
                    </w:rPr>
                    <w:t>门卫室</w:t>
                  </w:r>
                </w:p>
              </w:tc>
              <w:tc>
                <w:tcPr>
                  <w:tcW w:w="3300" w:type="pct"/>
                  <w:tcBorders>
                    <w:left w:val="single" w:color="auto" w:sz="4" w:space="0"/>
                  </w:tcBorders>
                  <w:vAlign w:val="center"/>
                </w:tcPr>
                <w:p>
                  <w:pPr>
                    <w:adjustRightInd w:val="0"/>
                    <w:snapToGrid w:val="0"/>
                    <w:jc w:val="center"/>
                    <w:rPr>
                      <w:szCs w:val="21"/>
                    </w:rPr>
                  </w:pPr>
                  <w:r>
                    <w:rPr>
                      <w:szCs w:val="21"/>
                    </w:rPr>
                    <w:t>占地面积21.60</w:t>
                  </w:r>
                  <w:r>
                    <w:rPr>
                      <w:kern w:val="0"/>
                      <w:szCs w:val="21"/>
                    </w:rPr>
                    <w:t>m</w:t>
                  </w:r>
                  <w:r>
                    <w:rPr>
                      <w:kern w:val="0"/>
                      <w:szCs w:val="21"/>
                      <w:vertAlign w:val="superscript"/>
                    </w:rPr>
                    <w:t>2</w:t>
                  </w:r>
                  <w:r>
                    <w:rPr>
                      <w:kern w:val="0"/>
                      <w:szCs w:val="21"/>
                    </w:rPr>
                    <w:t>，1F</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restart"/>
                  <w:vAlign w:val="center"/>
                </w:tcPr>
                <w:p>
                  <w:pPr>
                    <w:snapToGrid w:val="0"/>
                    <w:jc w:val="center"/>
                    <w:rPr>
                      <w:szCs w:val="21"/>
                    </w:rPr>
                  </w:pPr>
                  <w:r>
                    <w:rPr>
                      <w:szCs w:val="21"/>
                    </w:rPr>
                    <w:t>3</w:t>
                  </w:r>
                </w:p>
              </w:tc>
              <w:tc>
                <w:tcPr>
                  <w:tcW w:w="493" w:type="pct"/>
                  <w:vMerge w:val="restart"/>
                  <w:vAlign w:val="center"/>
                </w:tcPr>
                <w:p>
                  <w:pPr>
                    <w:snapToGrid w:val="0"/>
                    <w:jc w:val="center"/>
                    <w:rPr>
                      <w:szCs w:val="21"/>
                    </w:rPr>
                  </w:pPr>
                  <w:r>
                    <w:rPr>
                      <w:szCs w:val="21"/>
                    </w:rPr>
                    <w:t>公用工程</w:t>
                  </w:r>
                </w:p>
              </w:tc>
              <w:tc>
                <w:tcPr>
                  <w:tcW w:w="555" w:type="pct"/>
                  <w:vAlign w:val="center"/>
                </w:tcPr>
                <w:p>
                  <w:pPr>
                    <w:jc w:val="center"/>
                    <w:rPr>
                      <w:szCs w:val="21"/>
                    </w:rPr>
                  </w:pPr>
                  <w:r>
                    <w:rPr>
                      <w:szCs w:val="21"/>
                    </w:rPr>
                    <w:t>供水</w:t>
                  </w:r>
                </w:p>
              </w:tc>
              <w:tc>
                <w:tcPr>
                  <w:tcW w:w="3300" w:type="pct"/>
                  <w:vAlign w:val="center"/>
                </w:tcPr>
                <w:p>
                  <w:pPr>
                    <w:jc w:val="center"/>
                    <w:rPr>
                      <w:szCs w:val="21"/>
                    </w:rPr>
                  </w:pPr>
                  <w:r>
                    <w:rPr>
                      <w:szCs w:val="21"/>
                    </w:rPr>
                    <w:t>市政管网供水</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continue"/>
                  <w:vAlign w:val="center"/>
                </w:tcPr>
                <w:p>
                  <w:pPr>
                    <w:snapToGrid w:val="0"/>
                    <w:jc w:val="center"/>
                    <w:rPr>
                      <w:szCs w:val="21"/>
                    </w:rPr>
                  </w:pPr>
                </w:p>
              </w:tc>
              <w:tc>
                <w:tcPr>
                  <w:tcW w:w="493" w:type="pct"/>
                  <w:vMerge w:val="continue"/>
                  <w:vAlign w:val="center"/>
                </w:tcPr>
                <w:p>
                  <w:pPr>
                    <w:snapToGrid w:val="0"/>
                    <w:jc w:val="center"/>
                    <w:rPr>
                      <w:szCs w:val="21"/>
                    </w:rPr>
                  </w:pPr>
                </w:p>
              </w:tc>
              <w:tc>
                <w:tcPr>
                  <w:tcW w:w="555" w:type="pct"/>
                  <w:vAlign w:val="center"/>
                </w:tcPr>
                <w:p>
                  <w:pPr>
                    <w:jc w:val="center"/>
                    <w:rPr>
                      <w:szCs w:val="21"/>
                    </w:rPr>
                  </w:pPr>
                  <w:r>
                    <w:rPr>
                      <w:szCs w:val="21"/>
                    </w:rPr>
                    <w:t>供电</w:t>
                  </w:r>
                </w:p>
              </w:tc>
              <w:tc>
                <w:tcPr>
                  <w:tcW w:w="3300" w:type="pct"/>
                  <w:vAlign w:val="center"/>
                </w:tcPr>
                <w:p>
                  <w:pPr>
                    <w:jc w:val="center"/>
                    <w:rPr>
                      <w:szCs w:val="21"/>
                    </w:rPr>
                  </w:pPr>
                  <w:r>
                    <w:rPr>
                      <w:szCs w:val="21"/>
                    </w:rPr>
                    <w:t>市政管网供电</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continue"/>
                  <w:vAlign w:val="center"/>
                </w:tcPr>
                <w:p>
                  <w:pPr>
                    <w:snapToGrid w:val="0"/>
                    <w:jc w:val="center"/>
                    <w:rPr>
                      <w:szCs w:val="21"/>
                    </w:rPr>
                  </w:pPr>
                </w:p>
              </w:tc>
              <w:tc>
                <w:tcPr>
                  <w:tcW w:w="493" w:type="pct"/>
                  <w:vMerge w:val="continue"/>
                  <w:vAlign w:val="center"/>
                </w:tcPr>
                <w:p>
                  <w:pPr>
                    <w:snapToGrid w:val="0"/>
                    <w:jc w:val="center"/>
                    <w:rPr>
                      <w:szCs w:val="21"/>
                    </w:rPr>
                  </w:pPr>
                </w:p>
              </w:tc>
              <w:tc>
                <w:tcPr>
                  <w:tcW w:w="555" w:type="pct"/>
                  <w:vAlign w:val="center"/>
                </w:tcPr>
                <w:p>
                  <w:pPr>
                    <w:jc w:val="center"/>
                    <w:rPr>
                      <w:szCs w:val="21"/>
                    </w:rPr>
                  </w:pPr>
                  <w:r>
                    <w:rPr>
                      <w:szCs w:val="21"/>
                    </w:rPr>
                    <w:t>排水</w:t>
                  </w:r>
                </w:p>
              </w:tc>
              <w:tc>
                <w:tcPr>
                  <w:tcW w:w="3300" w:type="pct"/>
                  <w:vAlign w:val="center"/>
                </w:tcPr>
                <w:p>
                  <w:pPr>
                    <w:jc w:val="center"/>
                    <w:rPr>
                      <w:szCs w:val="21"/>
                    </w:rPr>
                  </w:pPr>
                  <w:r>
                    <w:rPr>
                      <w:spacing w:val="3"/>
                      <w:szCs w:val="21"/>
                    </w:rPr>
                    <w:t>雨水进入市政雨水管网；项目无</w:t>
                  </w:r>
                  <w:r>
                    <w:rPr>
                      <w:szCs w:val="21"/>
                    </w:rPr>
                    <w:t>生产废水产生，生活污水经化粪池处理后排入</w:t>
                  </w:r>
                  <w:r>
                    <w:rPr>
                      <w:rFonts w:hint="eastAsia"/>
                      <w:szCs w:val="21"/>
                    </w:rPr>
                    <w:t>小蓝污水处理厂进行处理，小蓝污水处理厂处理达标后尾水进入雄溪河尾段，经莲塘河入抚河支流（清丰山溪）</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restart"/>
                  <w:vAlign w:val="center"/>
                </w:tcPr>
                <w:p>
                  <w:pPr>
                    <w:snapToGrid w:val="0"/>
                    <w:jc w:val="center"/>
                    <w:rPr>
                      <w:szCs w:val="21"/>
                    </w:rPr>
                  </w:pPr>
                  <w:r>
                    <w:rPr>
                      <w:szCs w:val="21"/>
                    </w:rPr>
                    <w:t>4</w:t>
                  </w:r>
                </w:p>
              </w:tc>
              <w:tc>
                <w:tcPr>
                  <w:tcW w:w="493" w:type="pct"/>
                  <w:vMerge w:val="restart"/>
                  <w:vAlign w:val="center"/>
                </w:tcPr>
                <w:p>
                  <w:pPr>
                    <w:snapToGrid w:val="0"/>
                    <w:jc w:val="center"/>
                    <w:rPr>
                      <w:szCs w:val="21"/>
                    </w:rPr>
                  </w:pPr>
                  <w:r>
                    <w:rPr>
                      <w:szCs w:val="21"/>
                    </w:rPr>
                    <w:t>环保工程</w:t>
                  </w:r>
                </w:p>
              </w:tc>
              <w:tc>
                <w:tcPr>
                  <w:tcW w:w="555" w:type="pct"/>
                  <w:vAlign w:val="center"/>
                </w:tcPr>
                <w:p>
                  <w:pPr>
                    <w:jc w:val="center"/>
                    <w:rPr>
                      <w:szCs w:val="21"/>
                    </w:rPr>
                  </w:pPr>
                  <w:r>
                    <w:rPr>
                      <w:szCs w:val="21"/>
                    </w:rPr>
                    <w:t>废气</w:t>
                  </w:r>
                </w:p>
              </w:tc>
              <w:tc>
                <w:tcPr>
                  <w:tcW w:w="3300" w:type="pct"/>
                  <w:vAlign w:val="center"/>
                </w:tcPr>
                <w:p>
                  <w:pPr>
                    <w:adjustRightInd w:val="0"/>
                    <w:snapToGrid w:val="0"/>
                    <w:jc w:val="center"/>
                    <w:rPr>
                      <w:szCs w:val="21"/>
                      <w:highlight w:val="yellow"/>
                    </w:rPr>
                  </w:pPr>
                  <w:r>
                    <w:rPr>
                      <w:color w:val="FF0000"/>
                      <w:szCs w:val="21"/>
                    </w:rPr>
                    <w:t>2</w:t>
                  </w:r>
                  <w:r>
                    <w:rPr>
                      <w:rFonts w:hint="eastAsia"/>
                      <w:color w:val="FF0000"/>
                      <w:szCs w:val="21"/>
                    </w:rPr>
                    <w:t>套焊烟净化器、</w:t>
                  </w:r>
                  <w:r>
                    <w:rPr>
                      <w:color w:val="FF0000"/>
                      <w:szCs w:val="21"/>
                    </w:rPr>
                    <w:t>2</w:t>
                  </w:r>
                  <w:r>
                    <w:rPr>
                      <w:rFonts w:hint="eastAsia"/>
                      <w:color w:val="FF0000"/>
                      <w:szCs w:val="21"/>
                    </w:rPr>
                    <w:t>套</w:t>
                  </w:r>
                  <w:r>
                    <w:rPr>
                      <w:color w:val="FF0000"/>
                      <w:szCs w:val="21"/>
                    </w:rPr>
                    <w:t>布袋除尘器</w:t>
                  </w:r>
                  <w:r>
                    <w:rPr>
                      <w:rFonts w:hint="eastAsia"/>
                      <w:color w:val="FF0000"/>
                      <w:szCs w:val="21"/>
                    </w:rPr>
                    <w:t>处理+2根</w:t>
                  </w:r>
                  <w:r>
                    <w:rPr>
                      <w:color w:val="FF0000"/>
                      <w:szCs w:val="21"/>
                    </w:rPr>
                    <w:t>15m高排气筒</w:t>
                  </w:r>
                  <w:r>
                    <w:rPr>
                      <w:rFonts w:hint="eastAsia"/>
                      <w:color w:val="FF0000"/>
                      <w:szCs w:val="21"/>
                    </w:rPr>
                    <w:t>（均为3000</w:t>
                  </w:r>
                  <w:r>
                    <w:rPr>
                      <w:bCs/>
                      <w:color w:val="FF0000"/>
                      <w:szCs w:val="21"/>
                    </w:rPr>
                    <w:t>m</w:t>
                  </w:r>
                  <w:r>
                    <w:rPr>
                      <w:bCs/>
                      <w:color w:val="FF0000"/>
                      <w:szCs w:val="21"/>
                      <w:vertAlign w:val="superscript"/>
                    </w:rPr>
                    <w:t>3</w:t>
                  </w:r>
                  <w:r>
                    <w:rPr>
                      <w:bCs/>
                      <w:color w:val="FF0000"/>
                      <w:szCs w:val="21"/>
                    </w:rPr>
                    <w:t>/h</w:t>
                  </w:r>
                  <w:r>
                    <w:rPr>
                      <w:rFonts w:hint="eastAsia"/>
                      <w:bCs/>
                      <w:color w:val="FF0000"/>
                      <w:szCs w:val="21"/>
                    </w:rPr>
                    <w:t>，处理效率99</w:t>
                  </w:r>
                  <w:r>
                    <w:rPr>
                      <w:bCs/>
                      <w:color w:val="FF0000"/>
                      <w:szCs w:val="21"/>
                    </w:rPr>
                    <w:t>%</w:t>
                  </w:r>
                  <w:r>
                    <w:rPr>
                      <w:rFonts w:hint="eastAsia"/>
                      <w:color w:val="FF0000"/>
                      <w:szCs w:val="21"/>
                    </w:rPr>
                    <w:t>）</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292" w:type="pct"/>
                  <w:vMerge w:val="continue"/>
                  <w:vAlign w:val="center"/>
                </w:tcPr>
                <w:p>
                  <w:pPr>
                    <w:snapToGrid w:val="0"/>
                    <w:jc w:val="center"/>
                    <w:rPr>
                      <w:color w:val="FF0000"/>
                      <w:szCs w:val="21"/>
                    </w:rPr>
                  </w:pPr>
                </w:p>
              </w:tc>
              <w:tc>
                <w:tcPr>
                  <w:tcW w:w="493" w:type="pct"/>
                  <w:vMerge w:val="continue"/>
                  <w:vAlign w:val="center"/>
                </w:tcPr>
                <w:p>
                  <w:pPr>
                    <w:snapToGrid w:val="0"/>
                    <w:jc w:val="center"/>
                    <w:rPr>
                      <w:color w:val="FF0000"/>
                      <w:szCs w:val="21"/>
                    </w:rPr>
                  </w:pPr>
                </w:p>
              </w:tc>
              <w:tc>
                <w:tcPr>
                  <w:tcW w:w="555" w:type="pct"/>
                  <w:vAlign w:val="center"/>
                </w:tcPr>
                <w:p>
                  <w:pPr>
                    <w:jc w:val="center"/>
                    <w:rPr>
                      <w:color w:val="FF0000"/>
                      <w:szCs w:val="21"/>
                    </w:rPr>
                  </w:pPr>
                  <w:r>
                    <w:rPr>
                      <w:szCs w:val="21"/>
                    </w:rPr>
                    <w:t>废水</w:t>
                  </w:r>
                </w:p>
              </w:tc>
              <w:tc>
                <w:tcPr>
                  <w:tcW w:w="3300" w:type="pct"/>
                  <w:vAlign w:val="center"/>
                </w:tcPr>
                <w:p>
                  <w:pPr>
                    <w:adjustRightInd w:val="0"/>
                    <w:snapToGrid w:val="0"/>
                    <w:jc w:val="center"/>
                    <w:rPr>
                      <w:color w:val="FF00FF"/>
                      <w:szCs w:val="21"/>
                    </w:rPr>
                  </w:pPr>
                  <w:r>
                    <w:rPr>
                      <w:color w:val="FF00FF"/>
                      <w:szCs w:val="21"/>
                    </w:rPr>
                    <w:t>化粪池</w:t>
                  </w:r>
                  <w:r>
                    <w:rPr>
                      <w:rFonts w:hint="eastAsia"/>
                      <w:color w:val="FF00FF"/>
                      <w:szCs w:val="21"/>
                    </w:rPr>
                    <w:t>（10</w:t>
                  </w:r>
                  <w:r>
                    <w:rPr>
                      <w:bCs/>
                      <w:color w:val="FF00FF"/>
                      <w:szCs w:val="21"/>
                    </w:rPr>
                    <w:t>m</w:t>
                  </w:r>
                  <w:r>
                    <w:rPr>
                      <w:bCs/>
                      <w:color w:val="FF00FF"/>
                      <w:szCs w:val="21"/>
                      <w:vertAlign w:val="superscript"/>
                    </w:rPr>
                    <w:t>3</w:t>
                  </w:r>
                  <w:r>
                    <w:rPr>
                      <w:bCs/>
                      <w:color w:val="FF00FF"/>
                      <w:szCs w:val="21"/>
                    </w:rPr>
                    <w:t>/d</w:t>
                  </w:r>
                  <w:r>
                    <w:rPr>
                      <w:rFonts w:hint="eastAsia"/>
                      <w:color w:val="FF00FF"/>
                      <w:szCs w:val="21"/>
                    </w:rPr>
                    <w:t>）</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22" w:hRule="atLeast"/>
                <w:jc w:val="center"/>
              </w:trPr>
              <w:tc>
                <w:tcPr>
                  <w:tcW w:w="292" w:type="pct"/>
                  <w:vMerge w:val="continue"/>
                  <w:vAlign w:val="center"/>
                </w:tcPr>
                <w:p>
                  <w:pPr>
                    <w:snapToGrid w:val="0"/>
                    <w:jc w:val="center"/>
                    <w:rPr>
                      <w:color w:val="FF0000"/>
                      <w:szCs w:val="21"/>
                    </w:rPr>
                  </w:pPr>
                </w:p>
              </w:tc>
              <w:tc>
                <w:tcPr>
                  <w:tcW w:w="493" w:type="pct"/>
                  <w:vMerge w:val="continue"/>
                  <w:vAlign w:val="center"/>
                </w:tcPr>
                <w:p>
                  <w:pPr>
                    <w:snapToGrid w:val="0"/>
                    <w:jc w:val="center"/>
                    <w:rPr>
                      <w:color w:val="FF0000"/>
                      <w:szCs w:val="21"/>
                    </w:rPr>
                  </w:pPr>
                </w:p>
              </w:tc>
              <w:tc>
                <w:tcPr>
                  <w:tcW w:w="555" w:type="pct"/>
                  <w:vAlign w:val="center"/>
                </w:tcPr>
                <w:p>
                  <w:pPr>
                    <w:jc w:val="center"/>
                    <w:rPr>
                      <w:color w:val="FF0000"/>
                      <w:szCs w:val="21"/>
                    </w:rPr>
                  </w:pPr>
                  <w:r>
                    <w:rPr>
                      <w:szCs w:val="21"/>
                    </w:rPr>
                    <w:t>噪声</w:t>
                  </w:r>
                </w:p>
              </w:tc>
              <w:tc>
                <w:tcPr>
                  <w:tcW w:w="3300" w:type="pct"/>
                  <w:vAlign w:val="center"/>
                </w:tcPr>
                <w:p>
                  <w:pPr>
                    <w:adjustRightInd w:val="0"/>
                    <w:snapToGrid w:val="0"/>
                    <w:jc w:val="center"/>
                    <w:rPr>
                      <w:color w:val="FF0000"/>
                      <w:szCs w:val="21"/>
                    </w:rPr>
                  </w:pPr>
                  <w:r>
                    <w:rPr>
                      <w:szCs w:val="21"/>
                    </w:rPr>
                    <w:t>采取隔声、吸声、减振、消声等措施降噪</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continue"/>
                  <w:vAlign w:val="center"/>
                </w:tcPr>
                <w:p>
                  <w:pPr>
                    <w:snapToGrid w:val="0"/>
                    <w:jc w:val="center"/>
                    <w:rPr>
                      <w:color w:val="FF0000"/>
                      <w:szCs w:val="21"/>
                    </w:rPr>
                  </w:pPr>
                </w:p>
              </w:tc>
              <w:tc>
                <w:tcPr>
                  <w:tcW w:w="493" w:type="pct"/>
                  <w:vMerge w:val="continue"/>
                  <w:vAlign w:val="center"/>
                </w:tcPr>
                <w:p>
                  <w:pPr>
                    <w:snapToGrid w:val="0"/>
                    <w:jc w:val="center"/>
                    <w:rPr>
                      <w:color w:val="FF0000"/>
                      <w:szCs w:val="21"/>
                    </w:rPr>
                  </w:pPr>
                </w:p>
              </w:tc>
              <w:tc>
                <w:tcPr>
                  <w:tcW w:w="555" w:type="pct"/>
                  <w:vAlign w:val="center"/>
                </w:tcPr>
                <w:p>
                  <w:pPr>
                    <w:jc w:val="center"/>
                    <w:rPr>
                      <w:szCs w:val="21"/>
                    </w:rPr>
                  </w:pPr>
                  <w:r>
                    <w:rPr>
                      <w:szCs w:val="21"/>
                    </w:rPr>
                    <w:t>固废</w:t>
                  </w:r>
                </w:p>
              </w:tc>
              <w:tc>
                <w:tcPr>
                  <w:tcW w:w="3300" w:type="pct"/>
                  <w:vAlign w:val="center"/>
                </w:tcPr>
                <w:p>
                  <w:pPr>
                    <w:jc w:val="center"/>
                    <w:rPr>
                      <w:color w:val="FF0000"/>
                      <w:szCs w:val="21"/>
                    </w:rPr>
                  </w:pPr>
                  <w:r>
                    <w:rPr>
                      <w:szCs w:val="21"/>
                    </w:rPr>
                    <w:t>一般固废暂存间（位于1#</w:t>
                  </w:r>
                  <w:r>
                    <w:rPr>
                      <w:rFonts w:hint="eastAsia"/>
                      <w:szCs w:val="21"/>
                    </w:rPr>
                    <w:t>车间</w:t>
                  </w:r>
                  <w:r>
                    <w:rPr>
                      <w:szCs w:val="21"/>
                    </w:rPr>
                    <w:t>西南角，占地面积</w:t>
                  </w:r>
                  <w:r>
                    <w:rPr>
                      <w:color w:val="FF00FF"/>
                      <w:szCs w:val="21"/>
                    </w:rPr>
                    <w:t>10m</w:t>
                  </w:r>
                  <w:r>
                    <w:rPr>
                      <w:color w:val="FF00FF"/>
                      <w:szCs w:val="21"/>
                      <w:vertAlign w:val="superscript"/>
                    </w:rPr>
                    <w:t>2</w:t>
                  </w:r>
                  <w:r>
                    <w:rPr>
                      <w:szCs w:val="21"/>
                    </w:rPr>
                    <w:t>，库容积约20m</w:t>
                  </w:r>
                  <w:r>
                    <w:rPr>
                      <w:szCs w:val="21"/>
                      <w:vertAlign w:val="superscript"/>
                    </w:rPr>
                    <w:t>3</w:t>
                  </w:r>
                  <w:r>
                    <w:rPr>
                      <w:szCs w:val="21"/>
                    </w:rPr>
                    <w:t>）和危险废物暂存间（位于1#</w:t>
                  </w:r>
                  <w:r>
                    <w:rPr>
                      <w:rFonts w:hint="eastAsia"/>
                      <w:szCs w:val="21"/>
                    </w:rPr>
                    <w:t>车间</w:t>
                  </w:r>
                  <w:r>
                    <w:rPr>
                      <w:szCs w:val="21"/>
                    </w:rPr>
                    <w:t>西南角，占地面积</w:t>
                  </w:r>
                  <w:r>
                    <w:rPr>
                      <w:color w:val="FF00FF"/>
                      <w:szCs w:val="21"/>
                    </w:rPr>
                    <w:t>5m</w:t>
                  </w:r>
                  <w:r>
                    <w:rPr>
                      <w:color w:val="FF00FF"/>
                      <w:szCs w:val="21"/>
                      <w:vertAlign w:val="superscript"/>
                    </w:rPr>
                    <w:t>2</w:t>
                  </w:r>
                  <w:r>
                    <w:rPr>
                      <w:szCs w:val="21"/>
                    </w:rPr>
                    <w:t>，库容积约10m</w:t>
                  </w:r>
                  <w:r>
                    <w:rPr>
                      <w:szCs w:val="21"/>
                      <w:vertAlign w:val="superscript"/>
                    </w:rPr>
                    <w:t>3</w:t>
                  </w:r>
                  <w:r>
                    <w:rPr>
                      <w:szCs w:val="21"/>
                    </w:rPr>
                    <w:t>）</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restart"/>
                  <w:vAlign w:val="center"/>
                </w:tcPr>
                <w:p>
                  <w:pPr>
                    <w:snapToGrid w:val="0"/>
                    <w:jc w:val="center"/>
                    <w:rPr>
                      <w:szCs w:val="21"/>
                    </w:rPr>
                  </w:pPr>
                  <w:r>
                    <w:rPr>
                      <w:szCs w:val="21"/>
                    </w:rPr>
                    <w:t>5</w:t>
                  </w:r>
                </w:p>
              </w:tc>
              <w:tc>
                <w:tcPr>
                  <w:tcW w:w="493" w:type="pct"/>
                  <w:vMerge w:val="restart"/>
                  <w:vAlign w:val="center"/>
                </w:tcPr>
                <w:p>
                  <w:pPr>
                    <w:snapToGrid w:val="0"/>
                    <w:jc w:val="center"/>
                    <w:rPr>
                      <w:szCs w:val="21"/>
                    </w:rPr>
                  </w:pPr>
                  <w:r>
                    <w:rPr>
                      <w:szCs w:val="21"/>
                    </w:rPr>
                    <w:t>储运工程</w:t>
                  </w:r>
                </w:p>
              </w:tc>
              <w:tc>
                <w:tcPr>
                  <w:tcW w:w="555" w:type="pct"/>
                  <w:vAlign w:val="center"/>
                </w:tcPr>
                <w:p>
                  <w:pPr>
                    <w:adjustRightInd w:val="0"/>
                    <w:snapToGrid w:val="0"/>
                    <w:jc w:val="center"/>
                    <w:rPr>
                      <w:szCs w:val="21"/>
                    </w:rPr>
                  </w:pPr>
                  <w:r>
                    <w:rPr>
                      <w:szCs w:val="21"/>
                    </w:rPr>
                    <w:t>原料仓库</w:t>
                  </w:r>
                </w:p>
              </w:tc>
              <w:tc>
                <w:tcPr>
                  <w:tcW w:w="3300" w:type="pct"/>
                  <w:vAlign w:val="center"/>
                </w:tcPr>
                <w:p>
                  <w:pPr>
                    <w:adjustRightInd w:val="0"/>
                    <w:snapToGrid w:val="0"/>
                    <w:jc w:val="center"/>
                    <w:rPr>
                      <w:szCs w:val="21"/>
                    </w:rPr>
                  </w:pPr>
                  <w:r>
                    <w:rPr>
                      <w:szCs w:val="21"/>
                    </w:rPr>
                    <w:t>位于相应生产车间内</w:t>
                  </w:r>
                </w:p>
              </w:tc>
              <w:tc>
                <w:tcPr>
                  <w:tcW w:w="360" w:type="pct"/>
                  <w:vAlign w:val="center"/>
                </w:tcPr>
                <w:p>
                  <w:pPr>
                    <w:jc w:val="center"/>
                    <w:rPr>
                      <w:color w:val="FF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292" w:type="pct"/>
                  <w:vMerge w:val="continue"/>
                  <w:vAlign w:val="center"/>
                </w:tcPr>
                <w:p>
                  <w:pPr>
                    <w:snapToGrid w:val="0"/>
                    <w:jc w:val="center"/>
                    <w:rPr>
                      <w:szCs w:val="21"/>
                    </w:rPr>
                  </w:pPr>
                </w:p>
              </w:tc>
              <w:tc>
                <w:tcPr>
                  <w:tcW w:w="493" w:type="pct"/>
                  <w:vMerge w:val="continue"/>
                  <w:vAlign w:val="center"/>
                </w:tcPr>
                <w:p>
                  <w:pPr>
                    <w:snapToGrid w:val="0"/>
                    <w:jc w:val="center"/>
                    <w:rPr>
                      <w:szCs w:val="21"/>
                    </w:rPr>
                  </w:pPr>
                </w:p>
              </w:tc>
              <w:tc>
                <w:tcPr>
                  <w:tcW w:w="555" w:type="pct"/>
                  <w:vAlign w:val="center"/>
                </w:tcPr>
                <w:p>
                  <w:pPr>
                    <w:adjustRightInd w:val="0"/>
                    <w:snapToGrid w:val="0"/>
                    <w:jc w:val="center"/>
                    <w:rPr>
                      <w:szCs w:val="21"/>
                    </w:rPr>
                  </w:pPr>
                  <w:r>
                    <w:rPr>
                      <w:szCs w:val="21"/>
                    </w:rPr>
                    <w:t>产品仓库</w:t>
                  </w:r>
                </w:p>
              </w:tc>
              <w:tc>
                <w:tcPr>
                  <w:tcW w:w="3300" w:type="pct"/>
                  <w:vAlign w:val="center"/>
                </w:tcPr>
                <w:p>
                  <w:pPr>
                    <w:adjustRightInd w:val="0"/>
                    <w:snapToGrid w:val="0"/>
                    <w:jc w:val="center"/>
                    <w:rPr>
                      <w:szCs w:val="21"/>
                    </w:rPr>
                  </w:pPr>
                  <w:r>
                    <w:rPr>
                      <w:szCs w:val="21"/>
                    </w:rPr>
                    <w:t>位于相应生产车间内</w:t>
                  </w:r>
                </w:p>
              </w:tc>
              <w:tc>
                <w:tcPr>
                  <w:tcW w:w="360" w:type="pct"/>
                  <w:vAlign w:val="center"/>
                </w:tcPr>
                <w:p>
                  <w:pPr>
                    <w:jc w:val="center"/>
                    <w:rPr>
                      <w:color w:val="FF0000"/>
                      <w:szCs w:val="21"/>
                    </w:rPr>
                  </w:pPr>
                </w:p>
              </w:tc>
            </w:tr>
          </w:tbl>
          <w:p>
            <w:pPr>
              <w:adjustRightInd w:val="0"/>
              <w:snapToGrid w:val="0"/>
              <w:jc w:val="center"/>
              <w:rPr>
                <w:b/>
                <w:color w:val="FF0000"/>
                <w:szCs w:val="21"/>
              </w:rPr>
            </w:pPr>
            <w:r>
              <w:rPr>
                <w:b/>
                <w:color w:val="FF0000"/>
                <w:szCs w:val="21"/>
              </w:rPr>
              <w:t>表2-2  项目</w:t>
            </w:r>
            <w:r>
              <w:rPr>
                <w:rFonts w:hint="eastAsia"/>
                <w:b/>
                <w:color w:val="FF0000"/>
                <w:szCs w:val="21"/>
              </w:rPr>
              <w:t>主要生产单元</w:t>
            </w:r>
            <w:r>
              <w:rPr>
                <w:b/>
                <w:color w:val="FF0000"/>
                <w:szCs w:val="21"/>
              </w:rPr>
              <w:t>、主要工艺及</w:t>
            </w:r>
            <w:r>
              <w:rPr>
                <w:rFonts w:hint="eastAsia"/>
                <w:b/>
                <w:color w:val="FF0000"/>
                <w:szCs w:val="21"/>
              </w:rPr>
              <w:t>生产设施名称</w:t>
            </w:r>
            <w:r>
              <w:rPr>
                <w:b/>
                <w:color w:val="FF0000"/>
                <w:szCs w:val="21"/>
              </w:rPr>
              <w:t>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81"/>
              <w:gridCol w:w="1609"/>
              <w:gridCol w:w="1210"/>
              <w:gridCol w:w="2516"/>
              <w:gridCol w:w="1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shd w:val="clear" w:color="auto" w:fill="auto"/>
                  <w:vAlign w:val="center"/>
                </w:tcPr>
                <w:p>
                  <w:pPr>
                    <w:autoSpaceDE w:val="0"/>
                    <w:autoSpaceDN w:val="0"/>
                    <w:adjustRightInd w:val="0"/>
                    <w:jc w:val="center"/>
                    <w:rPr>
                      <w:b/>
                      <w:color w:val="FF0000"/>
                      <w:kern w:val="0"/>
                      <w:szCs w:val="21"/>
                    </w:rPr>
                  </w:pPr>
                  <w:r>
                    <w:rPr>
                      <w:rFonts w:hint="eastAsia"/>
                      <w:b/>
                      <w:color w:val="FF0000"/>
                      <w:kern w:val="0"/>
                      <w:szCs w:val="21"/>
                    </w:rPr>
                    <w:t>行业类别</w:t>
                  </w:r>
                </w:p>
              </w:tc>
              <w:tc>
                <w:tcPr>
                  <w:tcW w:w="832" w:type="pct"/>
                  <w:shd w:val="clear" w:color="auto" w:fill="auto"/>
                  <w:vAlign w:val="center"/>
                </w:tcPr>
                <w:p>
                  <w:pPr>
                    <w:autoSpaceDE w:val="0"/>
                    <w:autoSpaceDN w:val="0"/>
                    <w:adjustRightInd w:val="0"/>
                    <w:jc w:val="center"/>
                    <w:rPr>
                      <w:b/>
                      <w:color w:val="FF0000"/>
                      <w:kern w:val="0"/>
                      <w:szCs w:val="21"/>
                    </w:rPr>
                  </w:pPr>
                  <w:r>
                    <w:rPr>
                      <w:rFonts w:hint="eastAsia"/>
                      <w:b/>
                      <w:color w:val="FF0000"/>
                      <w:kern w:val="0"/>
                      <w:szCs w:val="21"/>
                    </w:rPr>
                    <w:t>主要生产</w:t>
                  </w:r>
                  <w:r>
                    <w:rPr>
                      <w:b/>
                      <w:color w:val="FF0000"/>
                      <w:kern w:val="0"/>
                      <w:szCs w:val="21"/>
                    </w:rPr>
                    <w:t>单元</w:t>
                  </w:r>
                </w:p>
              </w:tc>
              <w:tc>
                <w:tcPr>
                  <w:tcW w:w="626" w:type="pct"/>
                  <w:shd w:val="clear" w:color="auto" w:fill="auto"/>
                  <w:vAlign w:val="center"/>
                </w:tcPr>
                <w:p>
                  <w:pPr>
                    <w:autoSpaceDE w:val="0"/>
                    <w:autoSpaceDN w:val="0"/>
                    <w:adjustRightInd w:val="0"/>
                    <w:jc w:val="center"/>
                    <w:rPr>
                      <w:b/>
                      <w:color w:val="FF0000"/>
                      <w:kern w:val="0"/>
                      <w:szCs w:val="21"/>
                    </w:rPr>
                  </w:pPr>
                  <w:r>
                    <w:rPr>
                      <w:rFonts w:hint="eastAsia"/>
                      <w:b/>
                      <w:color w:val="FF0000"/>
                      <w:kern w:val="0"/>
                      <w:szCs w:val="21"/>
                    </w:rPr>
                    <w:t>主要工艺</w:t>
                  </w:r>
                </w:p>
              </w:tc>
              <w:tc>
                <w:tcPr>
                  <w:tcW w:w="1301" w:type="pct"/>
                  <w:shd w:val="clear" w:color="auto" w:fill="auto"/>
                  <w:vAlign w:val="center"/>
                </w:tcPr>
                <w:p>
                  <w:pPr>
                    <w:autoSpaceDE w:val="0"/>
                    <w:autoSpaceDN w:val="0"/>
                    <w:adjustRightInd w:val="0"/>
                    <w:jc w:val="center"/>
                    <w:rPr>
                      <w:b/>
                      <w:color w:val="FF0000"/>
                      <w:kern w:val="0"/>
                      <w:szCs w:val="21"/>
                    </w:rPr>
                  </w:pPr>
                  <w:r>
                    <w:rPr>
                      <w:rFonts w:hint="eastAsia"/>
                      <w:b/>
                      <w:color w:val="FF0000"/>
                      <w:kern w:val="0"/>
                      <w:szCs w:val="21"/>
                    </w:rPr>
                    <w:t>生产设施</w:t>
                  </w:r>
                </w:p>
              </w:tc>
              <w:tc>
                <w:tcPr>
                  <w:tcW w:w="595" w:type="pct"/>
                  <w:shd w:val="clear" w:color="auto" w:fill="auto"/>
                  <w:vAlign w:val="center"/>
                </w:tcPr>
                <w:p>
                  <w:pPr>
                    <w:autoSpaceDE w:val="0"/>
                    <w:autoSpaceDN w:val="0"/>
                    <w:adjustRightInd w:val="0"/>
                    <w:jc w:val="center"/>
                    <w:rPr>
                      <w:b/>
                      <w:color w:val="FF0000"/>
                      <w:kern w:val="0"/>
                      <w:szCs w:val="21"/>
                    </w:rPr>
                  </w:pPr>
                  <w:r>
                    <w:rPr>
                      <w:rFonts w:hint="eastAsia"/>
                      <w:b/>
                      <w:color w:val="FF0000"/>
                      <w:kern w:val="0"/>
                      <w:szCs w:val="21"/>
                    </w:rPr>
                    <w:t>设施参数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restart"/>
                  <w:shd w:val="clear" w:color="auto" w:fill="auto"/>
                  <w:vAlign w:val="center"/>
                </w:tcPr>
                <w:p>
                  <w:pPr>
                    <w:jc w:val="center"/>
                    <w:rPr>
                      <w:color w:val="FF0000"/>
                      <w:szCs w:val="21"/>
                    </w:rPr>
                  </w:pPr>
                  <w:r>
                    <w:rPr>
                      <w:rFonts w:hint="eastAsia"/>
                      <w:color w:val="FF0000"/>
                      <w:szCs w:val="21"/>
                    </w:rPr>
                    <w:t>C3670汽车零部件及配件制造</w:t>
                  </w:r>
                </w:p>
              </w:tc>
              <w:tc>
                <w:tcPr>
                  <w:tcW w:w="832" w:type="pct"/>
                  <w:vMerge w:val="restar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1#车间</w:t>
                  </w:r>
                </w:p>
              </w:tc>
              <w:tc>
                <w:tcPr>
                  <w:tcW w:w="626" w:type="pct"/>
                  <w:vMerge w:val="restar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焊接</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电焊机</w:t>
                  </w:r>
                </w:p>
              </w:tc>
              <w:tc>
                <w:tcPr>
                  <w:tcW w:w="595" w:type="pct"/>
                  <w:shd w:val="clear" w:color="auto" w:fill="auto"/>
                  <w:vAlign w:val="center"/>
                </w:tcPr>
                <w:p>
                  <w:pPr>
                    <w:widowControl/>
                    <w:jc w:val="center"/>
                    <w:rPr>
                      <w:color w:val="FF0000"/>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color w:val="FF0000"/>
                      <w:szCs w:val="21"/>
                    </w:rPr>
                  </w:pPr>
                </w:p>
              </w:tc>
              <w:tc>
                <w:tcPr>
                  <w:tcW w:w="832" w:type="pct"/>
                  <w:vMerge w:val="continue"/>
                  <w:shd w:val="clear" w:color="auto" w:fill="auto"/>
                  <w:vAlign w:val="center"/>
                </w:tcPr>
                <w:p>
                  <w:pPr>
                    <w:autoSpaceDE w:val="0"/>
                    <w:autoSpaceDN w:val="0"/>
                    <w:adjustRightInd w:val="0"/>
                    <w:jc w:val="center"/>
                    <w:rPr>
                      <w:color w:val="FF0000"/>
                      <w:kern w:val="0"/>
                      <w:szCs w:val="21"/>
                    </w:rPr>
                  </w:pPr>
                </w:p>
              </w:tc>
              <w:tc>
                <w:tcPr>
                  <w:tcW w:w="626" w:type="pct"/>
                  <w:vMerge w:val="continue"/>
                  <w:shd w:val="clear" w:color="auto" w:fill="auto"/>
                  <w:vAlign w:val="center"/>
                </w:tcPr>
                <w:p>
                  <w:pPr>
                    <w:autoSpaceDE w:val="0"/>
                    <w:autoSpaceDN w:val="0"/>
                    <w:adjustRightInd w:val="0"/>
                    <w:jc w:val="center"/>
                    <w:rPr>
                      <w:color w:val="FF0000"/>
                      <w:kern w:val="0"/>
                      <w:szCs w:val="21"/>
                    </w:rPr>
                  </w:pPr>
                </w:p>
              </w:tc>
              <w:tc>
                <w:tcPr>
                  <w:tcW w:w="1301" w:type="pct"/>
                  <w:shd w:val="clear" w:color="auto" w:fill="auto"/>
                  <w:vAlign w:val="center"/>
                </w:tcPr>
                <w:p>
                  <w:pPr>
                    <w:autoSpaceDE w:val="0"/>
                    <w:autoSpaceDN w:val="0"/>
                    <w:adjustRightInd w:val="0"/>
                    <w:jc w:val="center"/>
                    <w:rPr>
                      <w:color w:val="FF0000"/>
                      <w:kern w:val="0"/>
                      <w:szCs w:val="21"/>
                    </w:rPr>
                  </w:pPr>
                  <w:r>
                    <w:rPr>
                      <w:snapToGrid w:val="0"/>
                      <w:color w:val="FF0000"/>
                      <w:kern w:val="0"/>
                      <w:szCs w:val="21"/>
                    </w:rPr>
                    <w:t>焊管机</w:t>
                  </w:r>
                </w:p>
              </w:tc>
              <w:tc>
                <w:tcPr>
                  <w:tcW w:w="595" w:type="pct"/>
                  <w:shd w:val="clear" w:color="auto" w:fill="auto"/>
                  <w:vAlign w:val="center"/>
                </w:tcPr>
                <w:p>
                  <w:pPr>
                    <w:widowControl/>
                    <w:jc w:val="center"/>
                    <w:rPr>
                      <w:color w:val="FF0000"/>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color w:val="FF0000"/>
                      <w:szCs w:val="21"/>
                    </w:rPr>
                  </w:pPr>
                </w:p>
              </w:tc>
              <w:tc>
                <w:tcPr>
                  <w:tcW w:w="832" w:type="pct"/>
                  <w:vMerge w:val="continue"/>
                  <w:shd w:val="clear" w:color="auto" w:fill="auto"/>
                  <w:vAlign w:val="center"/>
                </w:tcPr>
                <w:p>
                  <w:pPr>
                    <w:autoSpaceDE w:val="0"/>
                    <w:autoSpaceDN w:val="0"/>
                    <w:adjustRightInd w:val="0"/>
                    <w:jc w:val="center"/>
                    <w:rPr>
                      <w:color w:val="FF0000"/>
                      <w:kern w:val="0"/>
                      <w:szCs w:val="21"/>
                    </w:rPr>
                  </w:pPr>
                </w:p>
              </w:tc>
              <w:tc>
                <w:tcPr>
                  <w:tcW w:w="626" w:type="pct"/>
                  <w:vMerge w:val="continue"/>
                  <w:shd w:val="clear" w:color="auto" w:fill="auto"/>
                  <w:vAlign w:val="center"/>
                </w:tcPr>
                <w:p>
                  <w:pPr>
                    <w:autoSpaceDE w:val="0"/>
                    <w:autoSpaceDN w:val="0"/>
                    <w:adjustRightInd w:val="0"/>
                    <w:jc w:val="center"/>
                    <w:rPr>
                      <w:color w:val="FF0000"/>
                      <w:kern w:val="0"/>
                      <w:szCs w:val="21"/>
                    </w:rPr>
                  </w:pPr>
                </w:p>
              </w:tc>
              <w:tc>
                <w:tcPr>
                  <w:tcW w:w="1301" w:type="pct"/>
                  <w:shd w:val="clear" w:color="auto" w:fill="auto"/>
                  <w:vAlign w:val="center"/>
                </w:tcPr>
                <w:p>
                  <w:pPr>
                    <w:autoSpaceDE w:val="0"/>
                    <w:autoSpaceDN w:val="0"/>
                    <w:adjustRightInd w:val="0"/>
                    <w:jc w:val="center"/>
                    <w:rPr>
                      <w:color w:val="FF0000"/>
                      <w:kern w:val="0"/>
                      <w:szCs w:val="21"/>
                    </w:rPr>
                  </w:pPr>
                  <w:r>
                    <w:rPr>
                      <w:color w:val="FF0000"/>
                      <w:szCs w:val="21"/>
                    </w:rPr>
                    <w:t>焊管生产线</w:t>
                  </w:r>
                </w:p>
              </w:tc>
              <w:tc>
                <w:tcPr>
                  <w:tcW w:w="595" w:type="pct"/>
                  <w:shd w:val="clear" w:color="auto" w:fill="auto"/>
                  <w:vAlign w:val="center"/>
                </w:tcPr>
                <w:p>
                  <w:pPr>
                    <w:widowControl/>
                    <w:jc w:val="center"/>
                    <w:rPr>
                      <w:color w:val="FF0000"/>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color w:val="FF0000"/>
                      <w:szCs w:val="21"/>
                    </w:rPr>
                  </w:pPr>
                </w:p>
              </w:tc>
              <w:tc>
                <w:tcPr>
                  <w:tcW w:w="832" w:type="pct"/>
                  <w:vMerge w:val="continue"/>
                  <w:shd w:val="clear" w:color="auto" w:fill="auto"/>
                  <w:vAlign w:val="center"/>
                </w:tcPr>
                <w:p>
                  <w:pPr>
                    <w:autoSpaceDE w:val="0"/>
                    <w:autoSpaceDN w:val="0"/>
                    <w:adjustRightInd w:val="0"/>
                    <w:jc w:val="center"/>
                    <w:rPr>
                      <w:color w:val="FF0000"/>
                      <w:kern w:val="0"/>
                      <w:szCs w:val="21"/>
                    </w:rPr>
                  </w:pPr>
                </w:p>
              </w:tc>
              <w:tc>
                <w:tcPr>
                  <w:tcW w:w="626" w:type="pct"/>
                  <w:vMerge w:val="continue"/>
                  <w:shd w:val="clear" w:color="auto" w:fill="auto"/>
                  <w:vAlign w:val="center"/>
                </w:tcPr>
                <w:p>
                  <w:pPr>
                    <w:autoSpaceDE w:val="0"/>
                    <w:autoSpaceDN w:val="0"/>
                    <w:adjustRightInd w:val="0"/>
                    <w:jc w:val="center"/>
                    <w:rPr>
                      <w:color w:val="FF0000"/>
                      <w:kern w:val="0"/>
                      <w:szCs w:val="21"/>
                    </w:rPr>
                  </w:pPr>
                </w:p>
              </w:tc>
              <w:tc>
                <w:tcPr>
                  <w:tcW w:w="1301" w:type="pct"/>
                  <w:shd w:val="clear" w:color="auto" w:fill="auto"/>
                  <w:vAlign w:val="center"/>
                </w:tcPr>
                <w:p>
                  <w:pPr>
                    <w:autoSpaceDE w:val="0"/>
                    <w:autoSpaceDN w:val="0"/>
                    <w:adjustRightInd w:val="0"/>
                    <w:jc w:val="center"/>
                    <w:rPr>
                      <w:color w:val="FF0000"/>
                      <w:kern w:val="0"/>
                      <w:szCs w:val="21"/>
                    </w:rPr>
                  </w:pPr>
                  <w:r>
                    <w:rPr>
                      <w:color w:val="FF0000"/>
                      <w:kern w:val="0"/>
                      <w:szCs w:val="21"/>
                    </w:rPr>
                    <w:t>小型直流焊机</w:t>
                  </w:r>
                </w:p>
              </w:tc>
              <w:tc>
                <w:tcPr>
                  <w:tcW w:w="595" w:type="pct"/>
                  <w:shd w:val="clear" w:color="auto" w:fill="auto"/>
                  <w:vAlign w:val="center"/>
                </w:tcPr>
                <w:p>
                  <w:pPr>
                    <w:widowControl/>
                    <w:jc w:val="center"/>
                    <w:rPr>
                      <w:color w:val="FF0000"/>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color w:val="FF0000"/>
                      <w:szCs w:val="21"/>
                    </w:rPr>
                  </w:pPr>
                </w:p>
              </w:tc>
              <w:tc>
                <w:tcPr>
                  <w:tcW w:w="832" w:type="pct"/>
                  <w:vMerge w:val="continue"/>
                  <w:shd w:val="clear" w:color="auto" w:fill="auto"/>
                  <w:vAlign w:val="center"/>
                </w:tcPr>
                <w:p>
                  <w:pPr>
                    <w:autoSpaceDE w:val="0"/>
                    <w:autoSpaceDN w:val="0"/>
                    <w:adjustRightInd w:val="0"/>
                    <w:jc w:val="center"/>
                    <w:rPr>
                      <w:color w:val="FF0000"/>
                      <w:kern w:val="0"/>
                      <w:szCs w:val="21"/>
                    </w:rPr>
                  </w:pPr>
                </w:p>
              </w:tc>
              <w:tc>
                <w:tcPr>
                  <w:tcW w:w="626" w:type="pct"/>
                  <w:vMerge w:val="continue"/>
                  <w:shd w:val="clear" w:color="auto" w:fill="auto"/>
                  <w:vAlign w:val="center"/>
                </w:tcPr>
                <w:p>
                  <w:pPr>
                    <w:autoSpaceDE w:val="0"/>
                    <w:autoSpaceDN w:val="0"/>
                    <w:adjustRightInd w:val="0"/>
                    <w:jc w:val="center"/>
                    <w:rPr>
                      <w:color w:val="FF0000"/>
                      <w:kern w:val="0"/>
                      <w:szCs w:val="21"/>
                    </w:rPr>
                  </w:pP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纵</w:t>
                  </w:r>
                  <w:r>
                    <w:rPr>
                      <w:color w:val="FF0000"/>
                      <w:kern w:val="0"/>
                      <w:szCs w:val="21"/>
                    </w:rPr>
                    <w:t>焊机</w:t>
                  </w:r>
                </w:p>
              </w:tc>
              <w:tc>
                <w:tcPr>
                  <w:tcW w:w="595" w:type="pct"/>
                  <w:shd w:val="clear" w:color="auto" w:fill="auto"/>
                  <w:vAlign w:val="center"/>
                </w:tcPr>
                <w:p>
                  <w:pPr>
                    <w:widowControl/>
                    <w:jc w:val="center"/>
                    <w:rPr>
                      <w:color w:val="FF0000"/>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color w:val="FF0000"/>
                      <w:szCs w:val="21"/>
                    </w:rPr>
                  </w:pPr>
                </w:p>
              </w:tc>
              <w:tc>
                <w:tcPr>
                  <w:tcW w:w="832" w:type="pct"/>
                  <w:vMerge w:val="continue"/>
                  <w:shd w:val="clear" w:color="auto" w:fill="auto"/>
                  <w:vAlign w:val="center"/>
                </w:tcPr>
                <w:p>
                  <w:pPr>
                    <w:autoSpaceDE w:val="0"/>
                    <w:autoSpaceDN w:val="0"/>
                    <w:adjustRightInd w:val="0"/>
                    <w:jc w:val="center"/>
                    <w:rPr>
                      <w:color w:val="FF0000"/>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液压</w:t>
                  </w:r>
                  <w:r>
                    <w:rPr>
                      <w:color w:val="FF0000"/>
                      <w:kern w:val="0"/>
                      <w:szCs w:val="21"/>
                    </w:rPr>
                    <w:t>打波</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液压成型机/打波机</w:t>
                  </w:r>
                </w:p>
              </w:tc>
              <w:tc>
                <w:tcPr>
                  <w:tcW w:w="595" w:type="pct"/>
                  <w:shd w:val="clear" w:color="auto" w:fill="auto"/>
                  <w:vAlign w:val="center"/>
                </w:tcPr>
                <w:p>
                  <w:pPr>
                    <w:widowControl/>
                    <w:jc w:val="center"/>
                    <w:rPr>
                      <w:color w:val="FF0000"/>
                      <w:kern w:val="0"/>
                      <w:szCs w:val="21"/>
                    </w:rPr>
                  </w:pPr>
                  <w:r>
                    <w:rPr>
                      <w:color w:val="FF0000"/>
                      <w:kern w:val="0"/>
                      <w:szCs w:val="21"/>
                    </w:rPr>
                    <w:t>200kW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tcBorders>
                    <w:top w:val="single" w:color="auto" w:sz="4" w:space="0"/>
                  </w:tcBorders>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裸管切割</w:t>
                  </w:r>
                </w:p>
              </w:tc>
              <w:tc>
                <w:tcPr>
                  <w:tcW w:w="1301" w:type="pct"/>
                  <w:shd w:val="clear" w:color="auto" w:fill="auto"/>
                  <w:vAlign w:val="center"/>
                </w:tcPr>
                <w:p>
                  <w:pPr>
                    <w:autoSpaceDE w:val="0"/>
                    <w:autoSpaceDN w:val="0"/>
                    <w:adjustRightInd w:val="0"/>
                    <w:jc w:val="center"/>
                    <w:rPr>
                      <w:color w:val="FF0000"/>
                      <w:kern w:val="0"/>
                      <w:szCs w:val="21"/>
                    </w:rPr>
                  </w:pPr>
                  <w:r>
                    <w:rPr>
                      <w:color w:val="FF0000"/>
                      <w:kern w:val="0"/>
                      <w:szCs w:val="21"/>
                    </w:rPr>
                    <w:t>线切割机</w:t>
                  </w:r>
                </w:p>
              </w:tc>
              <w:tc>
                <w:tcPr>
                  <w:tcW w:w="595" w:type="pct"/>
                  <w:shd w:val="clear" w:color="auto" w:fill="auto"/>
                  <w:vAlign w:val="center"/>
                </w:tcPr>
                <w:p>
                  <w:pPr>
                    <w:autoSpaceDE w:val="0"/>
                    <w:autoSpaceDN w:val="0"/>
                    <w:adjustRightInd w:val="0"/>
                    <w:jc w:val="center"/>
                    <w:rPr>
                      <w:color w:val="FF0000"/>
                      <w:kern w:val="0"/>
                      <w:szCs w:val="21"/>
                    </w:rPr>
                  </w:pPr>
                  <w:r>
                    <w:rPr>
                      <w:color w:val="FF0000"/>
                      <w:kern w:val="0"/>
                      <w:szCs w:val="21"/>
                    </w:rPr>
                    <w:t>300kW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打标志</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打标机</w:t>
                  </w:r>
                </w:p>
              </w:tc>
              <w:tc>
                <w:tcPr>
                  <w:tcW w:w="595" w:type="pct"/>
                  <w:shd w:val="clear" w:color="auto" w:fill="auto"/>
                  <w:vAlign w:val="center"/>
                </w:tcPr>
                <w:p>
                  <w:pPr>
                    <w:autoSpaceDE w:val="0"/>
                    <w:autoSpaceDN w:val="0"/>
                    <w:adjustRightInd w:val="0"/>
                    <w:jc w:val="center"/>
                    <w:rPr>
                      <w:color w:val="FF0000"/>
                      <w:kern w:val="0"/>
                      <w:szCs w:val="21"/>
                    </w:rPr>
                  </w:pPr>
                  <w:r>
                    <w:rPr>
                      <w:color w:val="FF0000"/>
                      <w:kern w:val="0"/>
                      <w:szCs w:val="21"/>
                    </w:rPr>
                    <w:t>200kW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粗/精切割</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线切割机</w:t>
                  </w:r>
                </w:p>
              </w:tc>
              <w:tc>
                <w:tcPr>
                  <w:tcW w:w="595" w:type="pct"/>
                  <w:shd w:val="clear" w:color="auto" w:fill="auto"/>
                  <w:vAlign w:val="center"/>
                </w:tcPr>
                <w:p>
                  <w:pPr>
                    <w:autoSpaceDE w:val="0"/>
                    <w:autoSpaceDN w:val="0"/>
                    <w:adjustRightInd w:val="0"/>
                    <w:jc w:val="center"/>
                    <w:rPr>
                      <w:color w:val="FF0000"/>
                      <w:kern w:val="0"/>
                      <w:szCs w:val="21"/>
                    </w:rPr>
                  </w:pPr>
                  <w:r>
                    <w:rPr>
                      <w:color w:val="FF0000"/>
                      <w:kern w:val="0"/>
                      <w:szCs w:val="21"/>
                    </w:rPr>
                    <w:t>300kW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打磨</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打磨机</w:t>
                  </w:r>
                </w:p>
              </w:tc>
              <w:tc>
                <w:tcPr>
                  <w:tcW w:w="595"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100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压环</w:t>
                  </w:r>
                  <w:r>
                    <w:rPr>
                      <w:color w:val="FF0000"/>
                      <w:kern w:val="0"/>
                      <w:szCs w:val="21"/>
                    </w:rPr>
                    <w:t>抛光</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抛光机</w:t>
                  </w:r>
                </w:p>
              </w:tc>
              <w:tc>
                <w:tcPr>
                  <w:tcW w:w="595"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100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pStyle w:val="2"/>
                    <w:jc w:val="center"/>
                  </w:pPr>
                  <w:r>
                    <w:rPr>
                      <w:rFonts w:hint="eastAsia"/>
                      <w:color w:val="FF0000"/>
                      <w:szCs w:val="21"/>
                    </w:rPr>
                    <w:t>胀管</w:t>
                  </w:r>
                </w:p>
              </w:tc>
              <w:tc>
                <w:tcPr>
                  <w:tcW w:w="1301" w:type="pct"/>
                  <w:shd w:val="clear" w:color="auto" w:fill="auto"/>
                  <w:vAlign w:val="center"/>
                </w:tcPr>
                <w:p>
                  <w:pPr>
                    <w:autoSpaceDE w:val="0"/>
                    <w:autoSpaceDN w:val="0"/>
                    <w:adjustRightInd w:val="0"/>
                    <w:jc w:val="center"/>
                    <w:rPr>
                      <w:kern w:val="0"/>
                      <w:szCs w:val="21"/>
                    </w:rPr>
                  </w:pPr>
                  <w:r>
                    <w:rPr>
                      <w:rFonts w:hint="eastAsia"/>
                      <w:color w:val="FF0000"/>
                      <w:kern w:val="0"/>
                      <w:szCs w:val="21"/>
                    </w:rPr>
                    <w:t>胀管机</w:t>
                  </w:r>
                </w:p>
              </w:tc>
              <w:tc>
                <w:tcPr>
                  <w:tcW w:w="595"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100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jc w:val="center"/>
                    <w:rPr>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检验</w:t>
                  </w:r>
                </w:p>
              </w:tc>
              <w:tc>
                <w:tcPr>
                  <w:tcW w:w="1301" w:type="pct"/>
                  <w:shd w:val="clear" w:color="auto" w:fill="auto"/>
                  <w:vAlign w:val="center"/>
                </w:tcPr>
                <w:p>
                  <w:pPr>
                    <w:autoSpaceDE w:val="0"/>
                    <w:autoSpaceDN w:val="0"/>
                    <w:adjustRightInd w:val="0"/>
                    <w:jc w:val="center"/>
                    <w:rPr>
                      <w:color w:val="FF0000"/>
                      <w:kern w:val="0"/>
                      <w:szCs w:val="21"/>
                    </w:rPr>
                  </w:pPr>
                  <w:r>
                    <w:rPr>
                      <w:snapToGrid w:val="0"/>
                      <w:color w:val="FF0000"/>
                      <w:kern w:val="0"/>
                      <w:szCs w:val="21"/>
                    </w:rPr>
                    <w:t>波纹管静态拉压试验机</w:t>
                  </w:r>
                </w:p>
              </w:tc>
              <w:tc>
                <w:tcPr>
                  <w:tcW w:w="595"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50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restar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2#车间</w:t>
                  </w:r>
                </w:p>
              </w:tc>
              <w:tc>
                <w:tcPr>
                  <w:tcW w:w="626" w:type="pct"/>
                  <w:vMerge w:val="restart"/>
                  <w:shd w:val="clear" w:color="auto" w:fill="auto"/>
                  <w:vAlign w:val="center"/>
                </w:tcPr>
                <w:p>
                  <w:pPr>
                    <w:autoSpaceDE w:val="0"/>
                    <w:autoSpaceDN w:val="0"/>
                    <w:adjustRightInd w:val="0"/>
                    <w:jc w:val="center"/>
                    <w:rPr>
                      <w:kern w:val="0"/>
                      <w:szCs w:val="21"/>
                    </w:rPr>
                  </w:pPr>
                  <w:r>
                    <w:rPr>
                      <w:rFonts w:hint="eastAsia"/>
                      <w:color w:val="FF0000"/>
                      <w:kern w:val="0"/>
                      <w:szCs w:val="21"/>
                    </w:rPr>
                    <w:t>焊接</w:t>
                  </w:r>
                </w:p>
              </w:tc>
              <w:tc>
                <w:tcPr>
                  <w:tcW w:w="1301" w:type="pct"/>
                  <w:shd w:val="clear" w:color="auto" w:fill="auto"/>
                  <w:vAlign w:val="center"/>
                </w:tcPr>
                <w:p>
                  <w:pPr>
                    <w:autoSpaceDE w:val="0"/>
                    <w:autoSpaceDN w:val="0"/>
                    <w:adjustRightInd w:val="0"/>
                    <w:jc w:val="center"/>
                    <w:rPr>
                      <w:kern w:val="0"/>
                      <w:szCs w:val="21"/>
                    </w:rPr>
                  </w:pPr>
                  <w:r>
                    <w:rPr>
                      <w:rFonts w:hint="eastAsia"/>
                      <w:color w:val="FF0000"/>
                      <w:kern w:val="0"/>
                      <w:szCs w:val="21"/>
                    </w:rPr>
                    <w:t>电焊机</w:t>
                  </w:r>
                </w:p>
              </w:tc>
              <w:tc>
                <w:tcPr>
                  <w:tcW w:w="595" w:type="pct"/>
                  <w:shd w:val="clear" w:color="auto" w:fill="auto"/>
                  <w:vAlign w:val="center"/>
                </w:tcPr>
                <w:p>
                  <w:pPr>
                    <w:widowControl/>
                    <w:jc w:val="center"/>
                    <w:rPr>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vMerge w:val="continue"/>
                  <w:shd w:val="clear" w:color="auto" w:fill="auto"/>
                  <w:vAlign w:val="center"/>
                </w:tcPr>
                <w:p>
                  <w:pPr>
                    <w:autoSpaceDE w:val="0"/>
                    <w:autoSpaceDN w:val="0"/>
                    <w:adjustRightInd w:val="0"/>
                    <w:jc w:val="center"/>
                    <w:rPr>
                      <w:kern w:val="0"/>
                      <w:szCs w:val="21"/>
                    </w:rPr>
                  </w:pPr>
                </w:p>
              </w:tc>
              <w:tc>
                <w:tcPr>
                  <w:tcW w:w="1301" w:type="pct"/>
                  <w:shd w:val="clear" w:color="auto" w:fill="auto"/>
                  <w:vAlign w:val="center"/>
                </w:tcPr>
                <w:p>
                  <w:pPr>
                    <w:autoSpaceDE w:val="0"/>
                    <w:autoSpaceDN w:val="0"/>
                    <w:adjustRightInd w:val="0"/>
                    <w:jc w:val="center"/>
                    <w:rPr>
                      <w:kern w:val="0"/>
                      <w:szCs w:val="21"/>
                    </w:rPr>
                  </w:pPr>
                  <w:r>
                    <w:rPr>
                      <w:snapToGrid w:val="0"/>
                      <w:color w:val="FF0000"/>
                      <w:kern w:val="0"/>
                      <w:szCs w:val="21"/>
                    </w:rPr>
                    <w:t>焊管机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vMerge w:val="continue"/>
                  <w:shd w:val="clear" w:color="auto" w:fill="auto"/>
                  <w:vAlign w:val="center"/>
                </w:tcPr>
                <w:p>
                  <w:pPr>
                    <w:autoSpaceDE w:val="0"/>
                    <w:autoSpaceDN w:val="0"/>
                    <w:adjustRightInd w:val="0"/>
                    <w:jc w:val="center"/>
                    <w:rPr>
                      <w:kern w:val="0"/>
                      <w:szCs w:val="21"/>
                    </w:rPr>
                  </w:pPr>
                </w:p>
              </w:tc>
              <w:tc>
                <w:tcPr>
                  <w:tcW w:w="1301" w:type="pct"/>
                  <w:shd w:val="clear" w:color="auto" w:fill="auto"/>
                  <w:vAlign w:val="center"/>
                </w:tcPr>
                <w:p>
                  <w:pPr>
                    <w:autoSpaceDE w:val="0"/>
                    <w:autoSpaceDN w:val="0"/>
                    <w:adjustRightInd w:val="0"/>
                    <w:jc w:val="center"/>
                    <w:rPr>
                      <w:snapToGrid w:val="0"/>
                      <w:color w:val="FF0000"/>
                      <w:kern w:val="0"/>
                      <w:szCs w:val="21"/>
                    </w:rPr>
                  </w:pPr>
                  <w:r>
                    <w:rPr>
                      <w:color w:val="FF0000"/>
                      <w:szCs w:val="21"/>
                    </w:rPr>
                    <w:t>焊管生产线</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vMerge w:val="continue"/>
                  <w:shd w:val="clear" w:color="auto" w:fill="auto"/>
                  <w:vAlign w:val="center"/>
                </w:tcPr>
                <w:p>
                  <w:pPr>
                    <w:autoSpaceDE w:val="0"/>
                    <w:autoSpaceDN w:val="0"/>
                    <w:adjustRightInd w:val="0"/>
                    <w:jc w:val="center"/>
                    <w:rPr>
                      <w:kern w:val="0"/>
                      <w:szCs w:val="21"/>
                    </w:rPr>
                  </w:pPr>
                </w:p>
              </w:tc>
              <w:tc>
                <w:tcPr>
                  <w:tcW w:w="1301" w:type="pct"/>
                  <w:shd w:val="clear" w:color="auto" w:fill="auto"/>
                  <w:vAlign w:val="center"/>
                </w:tcPr>
                <w:p>
                  <w:pPr>
                    <w:autoSpaceDE w:val="0"/>
                    <w:autoSpaceDN w:val="0"/>
                    <w:adjustRightInd w:val="0"/>
                    <w:jc w:val="center"/>
                    <w:rPr>
                      <w:color w:val="FF0000"/>
                      <w:szCs w:val="21"/>
                    </w:rPr>
                  </w:pPr>
                  <w:r>
                    <w:rPr>
                      <w:color w:val="FF0000"/>
                      <w:kern w:val="0"/>
                      <w:szCs w:val="21"/>
                    </w:rPr>
                    <w:t>小型直流焊机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vMerge w:val="continue"/>
                  <w:shd w:val="clear" w:color="auto" w:fill="auto"/>
                  <w:vAlign w:val="center"/>
                </w:tcPr>
                <w:p>
                  <w:pPr>
                    <w:autoSpaceDE w:val="0"/>
                    <w:autoSpaceDN w:val="0"/>
                    <w:adjustRightInd w:val="0"/>
                    <w:jc w:val="center"/>
                    <w:rPr>
                      <w:kern w:val="0"/>
                      <w:szCs w:val="21"/>
                    </w:rPr>
                  </w:pP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纵</w:t>
                  </w:r>
                  <w:r>
                    <w:rPr>
                      <w:color w:val="FF0000"/>
                      <w:kern w:val="0"/>
                      <w:szCs w:val="21"/>
                    </w:rPr>
                    <w:t>焊机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80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kern w:val="0"/>
                      <w:szCs w:val="21"/>
                    </w:rPr>
                  </w:pPr>
                  <w:r>
                    <w:rPr>
                      <w:rFonts w:hint="eastAsia"/>
                      <w:color w:val="FF0000"/>
                      <w:kern w:val="0"/>
                      <w:szCs w:val="21"/>
                    </w:rPr>
                    <w:t>液压</w:t>
                  </w:r>
                  <w:r>
                    <w:rPr>
                      <w:color w:val="FF0000"/>
                      <w:kern w:val="0"/>
                      <w:szCs w:val="21"/>
                    </w:rPr>
                    <w:t>打波</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液压成型机/打波机</w:t>
                  </w:r>
                </w:p>
              </w:tc>
              <w:tc>
                <w:tcPr>
                  <w:tcW w:w="595" w:type="pct"/>
                  <w:shd w:val="clear" w:color="auto" w:fill="auto"/>
                  <w:vAlign w:val="center"/>
                </w:tcPr>
                <w:p>
                  <w:pPr>
                    <w:autoSpaceDE w:val="0"/>
                    <w:autoSpaceDN w:val="0"/>
                    <w:adjustRightInd w:val="0"/>
                    <w:jc w:val="center"/>
                    <w:rPr>
                      <w:kern w:val="0"/>
                      <w:szCs w:val="21"/>
                    </w:rPr>
                  </w:pPr>
                  <w:r>
                    <w:rPr>
                      <w:color w:val="FF0000"/>
                      <w:kern w:val="0"/>
                      <w:szCs w:val="21"/>
                    </w:rPr>
                    <w:t>200kW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裸管切割</w:t>
                  </w:r>
                </w:p>
              </w:tc>
              <w:tc>
                <w:tcPr>
                  <w:tcW w:w="1301" w:type="pct"/>
                  <w:shd w:val="clear" w:color="auto" w:fill="auto"/>
                  <w:vAlign w:val="center"/>
                </w:tcPr>
                <w:p>
                  <w:pPr>
                    <w:autoSpaceDE w:val="0"/>
                    <w:autoSpaceDN w:val="0"/>
                    <w:adjustRightInd w:val="0"/>
                    <w:jc w:val="center"/>
                    <w:rPr>
                      <w:color w:val="FF0000"/>
                      <w:kern w:val="0"/>
                      <w:szCs w:val="21"/>
                    </w:rPr>
                  </w:pPr>
                  <w:r>
                    <w:rPr>
                      <w:color w:val="FF0000"/>
                      <w:kern w:val="0"/>
                      <w:szCs w:val="21"/>
                    </w:rPr>
                    <w:t>线切割机</w:t>
                  </w:r>
                </w:p>
              </w:tc>
              <w:tc>
                <w:tcPr>
                  <w:tcW w:w="595" w:type="pct"/>
                  <w:shd w:val="clear" w:color="auto" w:fill="auto"/>
                  <w:vAlign w:val="center"/>
                </w:tcPr>
                <w:p>
                  <w:pPr>
                    <w:autoSpaceDE w:val="0"/>
                    <w:autoSpaceDN w:val="0"/>
                    <w:adjustRightInd w:val="0"/>
                    <w:jc w:val="center"/>
                    <w:rPr>
                      <w:kern w:val="0"/>
                      <w:szCs w:val="21"/>
                    </w:rPr>
                  </w:pPr>
                  <w:r>
                    <w:rPr>
                      <w:color w:val="FF0000"/>
                      <w:kern w:val="0"/>
                      <w:szCs w:val="21"/>
                    </w:rPr>
                    <w:t>300kW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打标志</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打标机</w:t>
                  </w:r>
                </w:p>
              </w:tc>
              <w:tc>
                <w:tcPr>
                  <w:tcW w:w="595" w:type="pct"/>
                  <w:shd w:val="clear" w:color="auto" w:fill="auto"/>
                  <w:vAlign w:val="center"/>
                </w:tcPr>
                <w:p>
                  <w:pPr>
                    <w:autoSpaceDE w:val="0"/>
                    <w:autoSpaceDN w:val="0"/>
                    <w:adjustRightInd w:val="0"/>
                    <w:jc w:val="center"/>
                    <w:rPr>
                      <w:kern w:val="0"/>
                      <w:szCs w:val="21"/>
                    </w:rPr>
                  </w:pPr>
                  <w:r>
                    <w:rPr>
                      <w:color w:val="FF0000"/>
                      <w:kern w:val="0"/>
                      <w:szCs w:val="21"/>
                    </w:rPr>
                    <w:t>200kW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粗/精切割</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线切割机</w:t>
                  </w:r>
                </w:p>
              </w:tc>
              <w:tc>
                <w:tcPr>
                  <w:tcW w:w="595" w:type="pct"/>
                  <w:shd w:val="clear" w:color="auto" w:fill="auto"/>
                  <w:vAlign w:val="center"/>
                </w:tcPr>
                <w:p>
                  <w:pPr>
                    <w:autoSpaceDE w:val="0"/>
                    <w:autoSpaceDN w:val="0"/>
                    <w:adjustRightInd w:val="0"/>
                    <w:jc w:val="center"/>
                    <w:rPr>
                      <w:kern w:val="0"/>
                      <w:szCs w:val="21"/>
                    </w:rPr>
                  </w:pPr>
                  <w:r>
                    <w:rPr>
                      <w:color w:val="FF0000"/>
                      <w:kern w:val="0"/>
                      <w:szCs w:val="21"/>
                    </w:rPr>
                    <w:t>300kW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打磨</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打磨机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100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压环</w:t>
                  </w:r>
                  <w:r>
                    <w:rPr>
                      <w:color w:val="FF0000"/>
                      <w:kern w:val="0"/>
                      <w:szCs w:val="21"/>
                    </w:rPr>
                    <w:t>抛光</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抛光机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100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胀管</w:t>
                  </w:r>
                </w:p>
              </w:tc>
              <w:tc>
                <w:tcPr>
                  <w:tcW w:w="1301"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胀管机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100</w:t>
                  </w:r>
                  <w:r>
                    <w:rPr>
                      <w:color w:val="FF0000"/>
                      <w:kern w:val="0"/>
                      <w:szCs w:val="21"/>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vMerge w:val="continue"/>
                  <w:shd w:val="clear" w:color="auto" w:fill="auto"/>
                  <w:vAlign w:val="center"/>
                </w:tcPr>
                <w:p>
                  <w:pPr>
                    <w:autoSpaceDE w:val="0"/>
                    <w:autoSpaceDN w:val="0"/>
                    <w:adjustRightInd w:val="0"/>
                    <w:jc w:val="center"/>
                    <w:rPr>
                      <w:kern w:val="0"/>
                      <w:szCs w:val="21"/>
                    </w:rPr>
                  </w:pPr>
                </w:p>
              </w:tc>
              <w:tc>
                <w:tcPr>
                  <w:tcW w:w="832" w:type="pct"/>
                  <w:vMerge w:val="continue"/>
                  <w:shd w:val="clear" w:color="auto" w:fill="auto"/>
                  <w:vAlign w:val="center"/>
                </w:tcPr>
                <w:p>
                  <w:pPr>
                    <w:autoSpaceDE w:val="0"/>
                    <w:autoSpaceDN w:val="0"/>
                    <w:adjustRightInd w:val="0"/>
                    <w:jc w:val="center"/>
                    <w:rPr>
                      <w:kern w:val="0"/>
                      <w:szCs w:val="21"/>
                    </w:rPr>
                  </w:pPr>
                </w:p>
              </w:tc>
              <w:tc>
                <w:tcPr>
                  <w:tcW w:w="626" w:type="pct"/>
                  <w:shd w:val="clear" w:color="auto" w:fill="auto"/>
                  <w:vAlign w:val="center"/>
                </w:tcPr>
                <w:p>
                  <w:pPr>
                    <w:autoSpaceDE w:val="0"/>
                    <w:autoSpaceDN w:val="0"/>
                    <w:adjustRightInd w:val="0"/>
                    <w:jc w:val="center"/>
                    <w:rPr>
                      <w:color w:val="FF0000"/>
                      <w:kern w:val="0"/>
                      <w:szCs w:val="21"/>
                    </w:rPr>
                  </w:pPr>
                  <w:r>
                    <w:rPr>
                      <w:rFonts w:hint="eastAsia"/>
                      <w:color w:val="FF0000"/>
                      <w:kern w:val="0"/>
                      <w:szCs w:val="21"/>
                    </w:rPr>
                    <w:t>检验</w:t>
                  </w:r>
                </w:p>
              </w:tc>
              <w:tc>
                <w:tcPr>
                  <w:tcW w:w="1301" w:type="pct"/>
                  <w:shd w:val="clear" w:color="auto" w:fill="auto"/>
                  <w:vAlign w:val="center"/>
                </w:tcPr>
                <w:p>
                  <w:pPr>
                    <w:autoSpaceDE w:val="0"/>
                    <w:autoSpaceDN w:val="0"/>
                    <w:adjustRightInd w:val="0"/>
                    <w:jc w:val="center"/>
                    <w:rPr>
                      <w:color w:val="FF0000"/>
                      <w:kern w:val="0"/>
                      <w:szCs w:val="21"/>
                    </w:rPr>
                  </w:pPr>
                  <w:r>
                    <w:rPr>
                      <w:snapToGrid w:val="0"/>
                      <w:color w:val="FF0000"/>
                      <w:kern w:val="0"/>
                      <w:szCs w:val="21"/>
                    </w:rPr>
                    <w:t>波纹管静态拉压试验机</w:t>
                  </w:r>
                </w:p>
              </w:tc>
              <w:tc>
                <w:tcPr>
                  <w:tcW w:w="595" w:type="pct"/>
                  <w:shd w:val="clear" w:color="auto" w:fill="auto"/>
                  <w:vAlign w:val="center"/>
                </w:tcPr>
                <w:p>
                  <w:pPr>
                    <w:autoSpaceDE w:val="0"/>
                    <w:autoSpaceDN w:val="0"/>
                    <w:adjustRightInd w:val="0"/>
                    <w:jc w:val="center"/>
                    <w:rPr>
                      <w:kern w:val="0"/>
                      <w:szCs w:val="21"/>
                    </w:rPr>
                  </w:pPr>
                  <w:r>
                    <w:rPr>
                      <w:rFonts w:hint="eastAsia"/>
                      <w:color w:val="FF0000"/>
                      <w:kern w:val="0"/>
                      <w:szCs w:val="21"/>
                    </w:rPr>
                    <w:t>50</w:t>
                  </w:r>
                  <w:r>
                    <w:rPr>
                      <w:color w:val="FF0000"/>
                      <w:kern w:val="0"/>
                      <w:szCs w:val="21"/>
                    </w:rPr>
                    <w:t>kW</w:t>
                  </w:r>
                </w:p>
              </w:tc>
            </w:tr>
          </w:tbl>
          <w:p>
            <w:pPr>
              <w:autoSpaceDE w:val="0"/>
              <w:autoSpaceDN w:val="0"/>
              <w:adjustRightInd w:val="0"/>
              <w:spacing w:line="360" w:lineRule="auto"/>
              <w:ind w:firstLine="482" w:firstLineChars="200"/>
              <w:rPr>
                <w:b/>
                <w:kern w:val="0"/>
                <w:sz w:val="24"/>
              </w:rPr>
            </w:pPr>
            <w:r>
              <w:rPr>
                <w:b/>
                <w:kern w:val="0"/>
                <w:sz w:val="24"/>
              </w:rPr>
              <w:t>4、产品方案</w:t>
            </w:r>
          </w:p>
          <w:p>
            <w:pPr>
              <w:spacing w:line="360" w:lineRule="auto"/>
              <w:ind w:firstLine="480" w:firstLineChars="200"/>
            </w:pPr>
            <w:r>
              <w:rPr>
                <w:rFonts w:hint="eastAsia"/>
                <w:sz w:val="24"/>
              </w:rPr>
              <w:t>本项目</w:t>
            </w:r>
            <w:r>
              <w:rPr>
                <w:sz w:val="24"/>
              </w:rPr>
              <w:t>具体产品方案见表2-3。</w:t>
            </w:r>
          </w:p>
          <w:p>
            <w:pPr>
              <w:adjustRightInd w:val="0"/>
              <w:snapToGrid w:val="0"/>
              <w:jc w:val="center"/>
              <w:rPr>
                <w:b/>
                <w:szCs w:val="21"/>
              </w:rPr>
            </w:pPr>
            <w:r>
              <w:rPr>
                <w:b/>
                <w:szCs w:val="21"/>
              </w:rPr>
              <w:t>表2-3  项目产品方案一览表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12"/>
              <w:gridCol w:w="4496"/>
              <w:gridCol w:w="2146"/>
              <w:gridCol w:w="151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3" w:hRule="atLeast"/>
                <w:jc w:val="center"/>
              </w:trPr>
              <w:tc>
                <w:tcPr>
                  <w:tcW w:w="782" w:type="pct"/>
                  <w:vAlign w:val="center"/>
                </w:tcPr>
                <w:p>
                  <w:pPr>
                    <w:adjustRightInd w:val="0"/>
                    <w:snapToGrid w:val="0"/>
                    <w:jc w:val="center"/>
                    <w:rPr>
                      <w:b/>
                      <w:szCs w:val="21"/>
                    </w:rPr>
                  </w:pPr>
                  <w:r>
                    <w:rPr>
                      <w:b/>
                      <w:szCs w:val="21"/>
                    </w:rPr>
                    <w:t>序号</w:t>
                  </w:r>
                </w:p>
              </w:tc>
              <w:tc>
                <w:tcPr>
                  <w:tcW w:w="2325" w:type="pct"/>
                  <w:vAlign w:val="center"/>
                </w:tcPr>
                <w:p>
                  <w:pPr>
                    <w:adjustRightInd w:val="0"/>
                    <w:snapToGrid w:val="0"/>
                    <w:jc w:val="center"/>
                    <w:rPr>
                      <w:b/>
                      <w:szCs w:val="21"/>
                    </w:rPr>
                  </w:pPr>
                  <w:r>
                    <w:rPr>
                      <w:b/>
                      <w:szCs w:val="21"/>
                    </w:rPr>
                    <w:t>产品名称</w:t>
                  </w:r>
                </w:p>
              </w:tc>
              <w:tc>
                <w:tcPr>
                  <w:tcW w:w="1110" w:type="pct"/>
                  <w:vAlign w:val="center"/>
                </w:tcPr>
                <w:p>
                  <w:pPr>
                    <w:adjustRightInd w:val="0"/>
                    <w:snapToGrid w:val="0"/>
                    <w:jc w:val="center"/>
                    <w:rPr>
                      <w:b/>
                      <w:szCs w:val="21"/>
                    </w:rPr>
                  </w:pPr>
                  <w:r>
                    <w:rPr>
                      <w:b/>
                      <w:szCs w:val="21"/>
                    </w:rPr>
                    <w:t>单位</w:t>
                  </w:r>
                </w:p>
              </w:tc>
              <w:tc>
                <w:tcPr>
                  <w:tcW w:w="782" w:type="pct"/>
                  <w:vAlign w:val="center"/>
                </w:tcPr>
                <w:p>
                  <w:pPr>
                    <w:adjustRightInd w:val="0"/>
                    <w:snapToGrid w:val="0"/>
                    <w:jc w:val="center"/>
                    <w:rPr>
                      <w:b/>
                      <w:szCs w:val="21"/>
                    </w:rPr>
                  </w:pPr>
                  <w:r>
                    <w:rPr>
                      <w:b/>
                      <w:szCs w:val="21"/>
                    </w:rPr>
                    <w:t>数量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3" w:hRule="atLeast"/>
                <w:jc w:val="center"/>
              </w:trPr>
              <w:tc>
                <w:tcPr>
                  <w:tcW w:w="782" w:type="pct"/>
                  <w:vAlign w:val="center"/>
                </w:tcPr>
                <w:p>
                  <w:pPr>
                    <w:adjustRightInd w:val="0"/>
                    <w:snapToGrid w:val="0"/>
                    <w:jc w:val="center"/>
                    <w:rPr>
                      <w:b/>
                      <w:szCs w:val="21"/>
                    </w:rPr>
                  </w:pPr>
                  <w:r>
                    <w:t>1</w:t>
                  </w:r>
                </w:p>
              </w:tc>
              <w:tc>
                <w:tcPr>
                  <w:tcW w:w="2325" w:type="pct"/>
                  <w:vAlign w:val="center"/>
                </w:tcPr>
                <w:p>
                  <w:pPr>
                    <w:adjustRightInd w:val="0"/>
                    <w:snapToGrid w:val="0"/>
                    <w:jc w:val="center"/>
                    <w:rPr>
                      <w:szCs w:val="21"/>
                    </w:rPr>
                  </w:pPr>
                  <w:r>
                    <w:rPr>
                      <w:rFonts w:hint="eastAsia"/>
                      <w:szCs w:val="21"/>
                    </w:rPr>
                    <w:t>汽车波纹金属软管</w:t>
                  </w:r>
                </w:p>
              </w:tc>
              <w:tc>
                <w:tcPr>
                  <w:tcW w:w="1110" w:type="pct"/>
                  <w:vAlign w:val="center"/>
                </w:tcPr>
                <w:p>
                  <w:pPr>
                    <w:adjustRightInd w:val="0"/>
                    <w:snapToGrid w:val="0"/>
                    <w:jc w:val="center"/>
                    <w:rPr>
                      <w:b/>
                      <w:szCs w:val="21"/>
                    </w:rPr>
                  </w:pPr>
                  <w:r>
                    <w:t>万个/年</w:t>
                  </w:r>
                </w:p>
              </w:tc>
              <w:tc>
                <w:tcPr>
                  <w:tcW w:w="782" w:type="pct"/>
                  <w:vAlign w:val="center"/>
                </w:tcPr>
                <w:p>
                  <w:pPr>
                    <w:adjustRightInd w:val="0"/>
                    <w:snapToGrid w:val="0"/>
                    <w:jc w:val="center"/>
                    <w:rPr>
                      <w:szCs w:val="21"/>
                    </w:rPr>
                  </w:pPr>
                  <w:r>
                    <w:rPr>
                      <w:rFonts w:hint="eastAsia"/>
                      <w:szCs w:val="21"/>
                    </w:rPr>
                    <w:t>600</w:t>
                  </w:r>
                </w:p>
              </w:tc>
            </w:tr>
          </w:tbl>
          <w:p>
            <w:pPr>
              <w:autoSpaceDE w:val="0"/>
              <w:autoSpaceDN w:val="0"/>
              <w:adjustRightInd w:val="0"/>
              <w:spacing w:line="360" w:lineRule="auto"/>
              <w:ind w:firstLine="482" w:firstLineChars="200"/>
              <w:rPr>
                <w:b/>
                <w:kern w:val="0"/>
                <w:sz w:val="24"/>
              </w:rPr>
            </w:pPr>
            <w:r>
              <w:rPr>
                <w:b/>
                <w:kern w:val="0"/>
                <w:sz w:val="24"/>
              </w:rPr>
              <w:t>5、主要原辅材料及能耗</w:t>
            </w:r>
          </w:p>
          <w:p>
            <w:pPr>
              <w:autoSpaceDE w:val="0"/>
              <w:autoSpaceDN w:val="0"/>
              <w:adjustRightInd w:val="0"/>
              <w:spacing w:line="360" w:lineRule="auto"/>
              <w:ind w:firstLine="480" w:firstLineChars="200"/>
              <w:rPr>
                <w:sz w:val="24"/>
              </w:rPr>
            </w:pPr>
            <w:r>
              <w:rPr>
                <w:sz w:val="24"/>
              </w:rPr>
              <w:t>本项目使用的主要原辅材料见下表。</w:t>
            </w:r>
          </w:p>
          <w:p>
            <w:pPr>
              <w:spacing w:before="120" w:beforeLines="50"/>
              <w:jc w:val="center"/>
              <w:rPr>
                <w:b/>
                <w:szCs w:val="21"/>
              </w:rPr>
            </w:pPr>
            <w:r>
              <w:rPr>
                <w:b/>
                <w:szCs w:val="21"/>
              </w:rPr>
              <w:t>表2-4  项目主要原材料消耗一览表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63"/>
              <w:gridCol w:w="1065"/>
              <w:gridCol w:w="2157"/>
              <w:gridCol w:w="1769"/>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3" w:type="pct"/>
                  <w:tcMar>
                    <w:left w:w="28" w:type="dxa"/>
                    <w:right w:w="28" w:type="dxa"/>
                  </w:tcMar>
                  <w:vAlign w:val="center"/>
                </w:tcPr>
                <w:p>
                  <w:pPr>
                    <w:snapToGrid w:val="0"/>
                    <w:spacing w:line="240" w:lineRule="exact"/>
                    <w:jc w:val="center"/>
                    <w:rPr>
                      <w:b/>
                      <w:szCs w:val="21"/>
                    </w:rPr>
                  </w:pPr>
                  <w:r>
                    <w:rPr>
                      <w:b/>
                      <w:szCs w:val="21"/>
                    </w:rPr>
                    <w:t>序号</w:t>
                  </w:r>
                </w:p>
              </w:tc>
              <w:tc>
                <w:tcPr>
                  <w:tcW w:w="912" w:type="pct"/>
                  <w:vAlign w:val="center"/>
                </w:tcPr>
                <w:p>
                  <w:pPr>
                    <w:snapToGrid w:val="0"/>
                    <w:spacing w:line="240" w:lineRule="exact"/>
                    <w:jc w:val="center"/>
                    <w:rPr>
                      <w:b/>
                      <w:szCs w:val="21"/>
                    </w:rPr>
                  </w:pPr>
                  <w:r>
                    <w:rPr>
                      <w:b/>
                      <w:szCs w:val="21"/>
                    </w:rPr>
                    <w:t>名称</w:t>
                  </w:r>
                </w:p>
              </w:tc>
              <w:tc>
                <w:tcPr>
                  <w:tcW w:w="551" w:type="pct"/>
                  <w:vAlign w:val="center"/>
                </w:tcPr>
                <w:p>
                  <w:pPr>
                    <w:snapToGrid w:val="0"/>
                    <w:spacing w:line="240" w:lineRule="exact"/>
                    <w:jc w:val="center"/>
                    <w:rPr>
                      <w:b/>
                      <w:szCs w:val="21"/>
                    </w:rPr>
                  </w:pPr>
                  <w:r>
                    <w:rPr>
                      <w:b/>
                      <w:szCs w:val="21"/>
                    </w:rPr>
                    <w:t>来源</w:t>
                  </w:r>
                </w:p>
              </w:tc>
              <w:tc>
                <w:tcPr>
                  <w:tcW w:w="1116" w:type="pct"/>
                  <w:vAlign w:val="center"/>
                </w:tcPr>
                <w:p>
                  <w:pPr>
                    <w:snapToGrid w:val="0"/>
                    <w:spacing w:line="240" w:lineRule="exact"/>
                    <w:jc w:val="center"/>
                    <w:rPr>
                      <w:b/>
                      <w:szCs w:val="21"/>
                    </w:rPr>
                  </w:pPr>
                  <w:r>
                    <w:rPr>
                      <w:b/>
                      <w:szCs w:val="21"/>
                    </w:rPr>
                    <w:t>用量（t/a）</w:t>
                  </w:r>
                </w:p>
              </w:tc>
              <w:tc>
                <w:tcPr>
                  <w:tcW w:w="915" w:type="pct"/>
                  <w:vAlign w:val="center"/>
                </w:tcPr>
                <w:p>
                  <w:pPr>
                    <w:snapToGrid w:val="0"/>
                    <w:spacing w:line="240" w:lineRule="exact"/>
                    <w:jc w:val="center"/>
                    <w:rPr>
                      <w:b/>
                      <w:szCs w:val="21"/>
                    </w:rPr>
                  </w:pPr>
                  <w:r>
                    <w:rPr>
                      <w:b/>
                      <w:szCs w:val="21"/>
                    </w:rPr>
                    <w:t>贮存方式</w:t>
                  </w:r>
                </w:p>
              </w:tc>
              <w:tc>
                <w:tcPr>
                  <w:tcW w:w="1093" w:type="pct"/>
                  <w:vAlign w:val="center"/>
                </w:tcPr>
                <w:p>
                  <w:pPr>
                    <w:snapToGrid w:val="0"/>
                    <w:spacing w:line="240" w:lineRule="exact"/>
                    <w:jc w:val="center"/>
                    <w:rPr>
                      <w:b/>
                      <w:szCs w:val="21"/>
                    </w:rPr>
                  </w:pPr>
                  <w:r>
                    <w:rPr>
                      <w:b/>
                      <w:szCs w:val="21"/>
                    </w:rPr>
                    <w:t>贮存区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3" w:type="pct"/>
                  <w:tcMar>
                    <w:left w:w="28" w:type="dxa"/>
                    <w:right w:w="28" w:type="dxa"/>
                  </w:tcMar>
                  <w:vAlign w:val="center"/>
                </w:tcPr>
                <w:p>
                  <w:pPr>
                    <w:snapToGrid w:val="0"/>
                    <w:spacing w:line="240" w:lineRule="exact"/>
                    <w:jc w:val="center"/>
                    <w:rPr>
                      <w:szCs w:val="21"/>
                    </w:rPr>
                  </w:pPr>
                  <w:r>
                    <w:rPr>
                      <w:szCs w:val="21"/>
                    </w:rPr>
                    <w:t>1</w:t>
                  </w:r>
                </w:p>
              </w:tc>
              <w:tc>
                <w:tcPr>
                  <w:tcW w:w="912" w:type="pct"/>
                  <w:vAlign w:val="center"/>
                </w:tcPr>
                <w:p>
                  <w:pPr>
                    <w:autoSpaceDE w:val="0"/>
                    <w:autoSpaceDN w:val="0"/>
                    <w:adjustRightInd w:val="0"/>
                    <w:snapToGrid w:val="0"/>
                    <w:spacing w:line="240" w:lineRule="exact"/>
                    <w:jc w:val="center"/>
                    <w:rPr>
                      <w:kern w:val="0"/>
                      <w:szCs w:val="21"/>
                    </w:rPr>
                  </w:pPr>
                  <w:r>
                    <w:rPr>
                      <w:rFonts w:hint="eastAsia"/>
                      <w:kern w:val="0"/>
                      <w:szCs w:val="21"/>
                    </w:rPr>
                    <w:t>镀锌钢带</w:t>
                  </w:r>
                </w:p>
              </w:tc>
              <w:tc>
                <w:tcPr>
                  <w:tcW w:w="551" w:type="pct"/>
                  <w:vAlign w:val="center"/>
                </w:tcPr>
                <w:p>
                  <w:pPr>
                    <w:autoSpaceDE w:val="0"/>
                    <w:autoSpaceDN w:val="0"/>
                    <w:adjustRightInd w:val="0"/>
                    <w:snapToGrid w:val="0"/>
                    <w:spacing w:line="240" w:lineRule="exact"/>
                    <w:jc w:val="center"/>
                    <w:rPr>
                      <w:kern w:val="0"/>
                      <w:szCs w:val="21"/>
                    </w:rPr>
                  </w:pPr>
                  <w:r>
                    <w:rPr>
                      <w:kern w:val="0"/>
                      <w:szCs w:val="21"/>
                    </w:rPr>
                    <w:t>外购</w:t>
                  </w:r>
                </w:p>
              </w:tc>
              <w:tc>
                <w:tcPr>
                  <w:tcW w:w="1116" w:type="pct"/>
                  <w:vAlign w:val="center"/>
                </w:tcPr>
                <w:p>
                  <w:pPr>
                    <w:snapToGrid w:val="0"/>
                    <w:spacing w:line="240" w:lineRule="exact"/>
                    <w:jc w:val="center"/>
                    <w:rPr>
                      <w:szCs w:val="21"/>
                    </w:rPr>
                  </w:pPr>
                  <w:r>
                    <w:rPr>
                      <w:rFonts w:hint="eastAsia"/>
                      <w:szCs w:val="21"/>
                    </w:rPr>
                    <w:t>2000</w:t>
                  </w:r>
                </w:p>
              </w:tc>
              <w:tc>
                <w:tcPr>
                  <w:tcW w:w="915" w:type="pct"/>
                  <w:vAlign w:val="center"/>
                </w:tcPr>
                <w:p>
                  <w:pPr>
                    <w:snapToGrid w:val="0"/>
                    <w:spacing w:line="240" w:lineRule="exact"/>
                    <w:jc w:val="center"/>
                    <w:rPr>
                      <w:snapToGrid w:val="0"/>
                      <w:kern w:val="0"/>
                      <w:szCs w:val="21"/>
                    </w:rPr>
                  </w:pPr>
                  <w:r>
                    <w:rPr>
                      <w:rFonts w:hint="eastAsia"/>
                      <w:snapToGrid w:val="0"/>
                      <w:kern w:val="0"/>
                      <w:szCs w:val="21"/>
                    </w:rPr>
                    <w:t>原料仓库</w:t>
                  </w:r>
                </w:p>
              </w:tc>
              <w:tc>
                <w:tcPr>
                  <w:tcW w:w="1093" w:type="pct"/>
                  <w:vAlign w:val="center"/>
                </w:tcPr>
                <w:p>
                  <w:pPr>
                    <w:snapToGrid w:val="0"/>
                    <w:spacing w:line="240" w:lineRule="exact"/>
                    <w:jc w:val="center"/>
                    <w:rPr>
                      <w:snapToGrid w:val="0"/>
                      <w:kern w:val="0"/>
                      <w:szCs w:val="21"/>
                    </w:rPr>
                  </w:pPr>
                  <w:r>
                    <w:rPr>
                      <w:snapToGrid w:val="0"/>
                      <w:kern w:val="0"/>
                      <w:szCs w:val="21"/>
                    </w:rPr>
                    <w:t>车间原料区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3" w:type="pct"/>
                  <w:tcMar>
                    <w:left w:w="28" w:type="dxa"/>
                    <w:right w:w="28" w:type="dxa"/>
                  </w:tcMar>
                  <w:vAlign w:val="center"/>
                </w:tcPr>
                <w:p>
                  <w:pPr>
                    <w:snapToGrid w:val="0"/>
                    <w:spacing w:line="240" w:lineRule="exact"/>
                    <w:jc w:val="center"/>
                    <w:rPr>
                      <w:szCs w:val="21"/>
                    </w:rPr>
                  </w:pPr>
                  <w:r>
                    <w:rPr>
                      <w:rFonts w:hint="eastAsia"/>
                      <w:szCs w:val="21"/>
                    </w:rPr>
                    <w:t>2</w:t>
                  </w:r>
                </w:p>
              </w:tc>
              <w:tc>
                <w:tcPr>
                  <w:tcW w:w="912" w:type="pct"/>
                  <w:vAlign w:val="center"/>
                </w:tcPr>
                <w:p>
                  <w:pPr>
                    <w:autoSpaceDE w:val="0"/>
                    <w:autoSpaceDN w:val="0"/>
                    <w:adjustRightInd w:val="0"/>
                    <w:snapToGrid w:val="0"/>
                    <w:spacing w:line="240" w:lineRule="exact"/>
                    <w:jc w:val="center"/>
                    <w:rPr>
                      <w:kern w:val="0"/>
                      <w:szCs w:val="21"/>
                    </w:rPr>
                  </w:pPr>
                  <w:r>
                    <w:rPr>
                      <w:rFonts w:hint="eastAsia"/>
                      <w:kern w:val="0"/>
                      <w:szCs w:val="21"/>
                    </w:rPr>
                    <w:t>网管</w:t>
                  </w:r>
                </w:p>
              </w:tc>
              <w:tc>
                <w:tcPr>
                  <w:tcW w:w="551" w:type="pct"/>
                  <w:vAlign w:val="center"/>
                </w:tcPr>
                <w:p>
                  <w:pPr>
                    <w:autoSpaceDE w:val="0"/>
                    <w:autoSpaceDN w:val="0"/>
                    <w:adjustRightInd w:val="0"/>
                    <w:snapToGrid w:val="0"/>
                    <w:spacing w:line="240" w:lineRule="exact"/>
                    <w:jc w:val="center"/>
                    <w:rPr>
                      <w:kern w:val="0"/>
                      <w:szCs w:val="21"/>
                    </w:rPr>
                  </w:pPr>
                  <w:r>
                    <w:rPr>
                      <w:kern w:val="0"/>
                      <w:szCs w:val="21"/>
                    </w:rPr>
                    <w:t>外购</w:t>
                  </w:r>
                </w:p>
              </w:tc>
              <w:tc>
                <w:tcPr>
                  <w:tcW w:w="1116" w:type="pct"/>
                  <w:vAlign w:val="center"/>
                </w:tcPr>
                <w:p>
                  <w:pPr>
                    <w:snapToGrid w:val="0"/>
                    <w:spacing w:line="240" w:lineRule="exact"/>
                    <w:jc w:val="center"/>
                    <w:rPr>
                      <w:szCs w:val="21"/>
                    </w:rPr>
                  </w:pPr>
                  <w:r>
                    <w:rPr>
                      <w:rFonts w:hint="eastAsia"/>
                      <w:szCs w:val="21"/>
                    </w:rPr>
                    <w:t>200</w:t>
                  </w:r>
                </w:p>
              </w:tc>
              <w:tc>
                <w:tcPr>
                  <w:tcW w:w="915" w:type="pct"/>
                  <w:vAlign w:val="center"/>
                </w:tcPr>
                <w:p>
                  <w:pPr>
                    <w:snapToGrid w:val="0"/>
                    <w:spacing w:line="240" w:lineRule="exact"/>
                    <w:jc w:val="center"/>
                    <w:rPr>
                      <w:snapToGrid w:val="0"/>
                      <w:kern w:val="0"/>
                      <w:szCs w:val="21"/>
                    </w:rPr>
                  </w:pPr>
                  <w:r>
                    <w:rPr>
                      <w:rFonts w:hint="eastAsia"/>
                      <w:snapToGrid w:val="0"/>
                      <w:kern w:val="0"/>
                      <w:szCs w:val="21"/>
                    </w:rPr>
                    <w:t>原料仓库</w:t>
                  </w:r>
                </w:p>
              </w:tc>
              <w:tc>
                <w:tcPr>
                  <w:tcW w:w="1093" w:type="pct"/>
                  <w:vAlign w:val="center"/>
                </w:tcPr>
                <w:p>
                  <w:pPr>
                    <w:snapToGrid w:val="0"/>
                    <w:spacing w:line="240" w:lineRule="exact"/>
                    <w:jc w:val="center"/>
                    <w:rPr>
                      <w:snapToGrid w:val="0"/>
                      <w:kern w:val="0"/>
                      <w:szCs w:val="21"/>
                    </w:rPr>
                  </w:pPr>
                  <w:r>
                    <w:rPr>
                      <w:snapToGrid w:val="0"/>
                      <w:kern w:val="0"/>
                      <w:szCs w:val="21"/>
                    </w:rPr>
                    <w:t>车间原料区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3" w:type="pct"/>
                  <w:tcMar>
                    <w:left w:w="28" w:type="dxa"/>
                    <w:right w:w="28" w:type="dxa"/>
                  </w:tcMar>
                  <w:vAlign w:val="center"/>
                </w:tcPr>
                <w:p>
                  <w:pPr>
                    <w:snapToGrid w:val="0"/>
                    <w:spacing w:line="240" w:lineRule="exact"/>
                    <w:jc w:val="center"/>
                    <w:rPr>
                      <w:szCs w:val="21"/>
                    </w:rPr>
                  </w:pPr>
                  <w:r>
                    <w:rPr>
                      <w:rFonts w:hint="eastAsia"/>
                      <w:szCs w:val="21"/>
                    </w:rPr>
                    <w:t>3</w:t>
                  </w:r>
                </w:p>
              </w:tc>
              <w:tc>
                <w:tcPr>
                  <w:tcW w:w="912" w:type="pct"/>
                  <w:vAlign w:val="center"/>
                </w:tcPr>
                <w:p>
                  <w:pPr>
                    <w:autoSpaceDE w:val="0"/>
                    <w:autoSpaceDN w:val="0"/>
                    <w:adjustRightInd w:val="0"/>
                    <w:snapToGrid w:val="0"/>
                    <w:spacing w:line="240" w:lineRule="exact"/>
                    <w:jc w:val="center"/>
                    <w:rPr>
                      <w:color w:val="FF0000"/>
                      <w:kern w:val="0"/>
                      <w:szCs w:val="21"/>
                    </w:rPr>
                  </w:pPr>
                  <w:r>
                    <w:rPr>
                      <w:rFonts w:hint="eastAsia"/>
                      <w:color w:val="FF0000"/>
                      <w:kern w:val="0"/>
                      <w:szCs w:val="21"/>
                    </w:rPr>
                    <w:t>低碳钢</w:t>
                  </w:r>
                  <w:r>
                    <w:rPr>
                      <w:color w:val="FF0000"/>
                      <w:kern w:val="0"/>
                      <w:szCs w:val="21"/>
                    </w:rPr>
                    <w:t>焊丝</w:t>
                  </w:r>
                </w:p>
              </w:tc>
              <w:tc>
                <w:tcPr>
                  <w:tcW w:w="551" w:type="pct"/>
                  <w:vAlign w:val="center"/>
                </w:tcPr>
                <w:p>
                  <w:pPr>
                    <w:autoSpaceDE w:val="0"/>
                    <w:autoSpaceDN w:val="0"/>
                    <w:adjustRightInd w:val="0"/>
                    <w:snapToGrid w:val="0"/>
                    <w:spacing w:line="240" w:lineRule="exact"/>
                    <w:jc w:val="center"/>
                    <w:rPr>
                      <w:color w:val="FF0000"/>
                      <w:kern w:val="0"/>
                      <w:szCs w:val="21"/>
                    </w:rPr>
                  </w:pPr>
                  <w:r>
                    <w:rPr>
                      <w:color w:val="FF0000"/>
                      <w:kern w:val="0"/>
                      <w:szCs w:val="21"/>
                    </w:rPr>
                    <w:t>外购</w:t>
                  </w:r>
                </w:p>
              </w:tc>
              <w:tc>
                <w:tcPr>
                  <w:tcW w:w="1116" w:type="pct"/>
                  <w:vAlign w:val="center"/>
                </w:tcPr>
                <w:p>
                  <w:pPr>
                    <w:snapToGrid w:val="0"/>
                    <w:spacing w:line="240" w:lineRule="exact"/>
                    <w:jc w:val="center"/>
                    <w:rPr>
                      <w:color w:val="FF0000"/>
                      <w:szCs w:val="21"/>
                    </w:rPr>
                  </w:pPr>
                  <w:r>
                    <w:rPr>
                      <w:rFonts w:hint="eastAsia"/>
                      <w:color w:val="FF0000"/>
                      <w:szCs w:val="21"/>
                    </w:rPr>
                    <w:t>15</w:t>
                  </w:r>
                </w:p>
              </w:tc>
              <w:tc>
                <w:tcPr>
                  <w:tcW w:w="915" w:type="pct"/>
                  <w:vAlign w:val="center"/>
                </w:tcPr>
                <w:p>
                  <w:pPr>
                    <w:snapToGrid w:val="0"/>
                    <w:spacing w:line="240" w:lineRule="exact"/>
                    <w:jc w:val="center"/>
                    <w:rPr>
                      <w:snapToGrid w:val="0"/>
                      <w:color w:val="FF0000"/>
                      <w:kern w:val="0"/>
                      <w:szCs w:val="21"/>
                    </w:rPr>
                  </w:pPr>
                  <w:r>
                    <w:rPr>
                      <w:rFonts w:hint="eastAsia"/>
                      <w:snapToGrid w:val="0"/>
                      <w:color w:val="FF0000"/>
                      <w:kern w:val="0"/>
                      <w:szCs w:val="21"/>
                    </w:rPr>
                    <w:t>原料仓库</w:t>
                  </w:r>
                </w:p>
              </w:tc>
              <w:tc>
                <w:tcPr>
                  <w:tcW w:w="1093" w:type="pct"/>
                  <w:vAlign w:val="center"/>
                </w:tcPr>
                <w:p>
                  <w:pPr>
                    <w:snapToGrid w:val="0"/>
                    <w:spacing w:line="240" w:lineRule="exact"/>
                    <w:jc w:val="center"/>
                    <w:rPr>
                      <w:snapToGrid w:val="0"/>
                      <w:color w:val="FF0000"/>
                      <w:kern w:val="0"/>
                      <w:szCs w:val="21"/>
                    </w:rPr>
                  </w:pPr>
                  <w:r>
                    <w:rPr>
                      <w:snapToGrid w:val="0"/>
                      <w:color w:val="FF0000"/>
                      <w:kern w:val="0"/>
                      <w:szCs w:val="21"/>
                    </w:rPr>
                    <w:t>车间原料区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3" w:type="pct"/>
                  <w:tcMar>
                    <w:left w:w="28" w:type="dxa"/>
                    <w:right w:w="28" w:type="dxa"/>
                  </w:tcMar>
                  <w:vAlign w:val="center"/>
                </w:tcPr>
                <w:p>
                  <w:pPr>
                    <w:snapToGrid w:val="0"/>
                    <w:spacing w:line="240" w:lineRule="exact"/>
                    <w:jc w:val="center"/>
                    <w:rPr>
                      <w:szCs w:val="21"/>
                    </w:rPr>
                  </w:pPr>
                  <w:r>
                    <w:rPr>
                      <w:rFonts w:hint="eastAsia"/>
                      <w:szCs w:val="21"/>
                    </w:rPr>
                    <w:t>4</w:t>
                  </w:r>
                </w:p>
              </w:tc>
              <w:tc>
                <w:tcPr>
                  <w:tcW w:w="912" w:type="pct"/>
                  <w:vAlign w:val="center"/>
                </w:tcPr>
                <w:p>
                  <w:pPr>
                    <w:autoSpaceDE w:val="0"/>
                    <w:autoSpaceDN w:val="0"/>
                    <w:adjustRightInd w:val="0"/>
                    <w:snapToGrid w:val="0"/>
                    <w:spacing w:line="240" w:lineRule="exact"/>
                    <w:jc w:val="center"/>
                    <w:rPr>
                      <w:kern w:val="0"/>
                      <w:szCs w:val="21"/>
                    </w:rPr>
                  </w:pPr>
                  <w:r>
                    <w:rPr>
                      <w:kern w:val="0"/>
                      <w:szCs w:val="21"/>
                    </w:rPr>
                    <w:t>切削液</w:t>
                  </w:r>
                </w:p>
              </w:tc>
              <w:tc>
                <w:tcPr>
                  <w:tcW w:w="551" w:type="pct"/>
                  <w:vAlign w:val="center"/>
                </w:tcPr>
                <w:p>
                  <w:pPr>
                    <w:autoSpaceDE w:val="0"/>
                    <w:autoSpaceDN w:val="0"/>
                    <w:adjustRightInd w:val="0"/>
                    <w:snapToGrid w:val="0"/>
                    <w:spacing w:line="240" w:lineRule="exact"/>
                    <w:jc w:val="center"/>
                    <w:rPr>
                      <w:kern w:val="0"/>
                      <w:szCs w:val="21"/>
                    </w:rPr>
                  </w:pPr>
                  <w:r>
                    <w:rPr>
                      <w:kern w:val="0"/>
                      <w:szCs w:val="21"/>
                    </w:rPr>
                    <w:t>外购</w:t>
                  </w:r>
                </w:p>
              </w:tc>
              <w:tc>
                <w:tcPr>
                  <w:tcW w:w="1116" w:type="pct"/>
                  <w:vAlign w:val="center"/>
                </w:tcPr>
                <w:p>
                  <w:pPr>
                    <w:snapToGrid w:val="0"/>
                    <w:spacing w:line="240" w:lineRule="exact"/>
                    <w:jc w:val="center"/>
                    <w:rPr>
                      <w:szCs w:val="21"/>
                    </w:rPr>
                  </w:pPr>
                  <w:r>
                    <w:rPr>
                      <w:rFonts w:hint="eastAsia"/>
                      <w:szCs w:val="21"/>
                    </w:rPr>
                    <w:t>1.0</w:t>
                  </w:r>
                </w:p>
              </w:tc>
              <w:tc>
                <w:tcPr>
                  <w:tcW w:w="915" w:type="pct"/>
                  <w:vAlign w:val="center"/>
                </w:tcPr>
                <w:p>
                  <w:pPr>
                    <w:snapToGrid w:val="0"/>
                    <w:spacing w:line="240" w:lineRule="exact"/>
                    <w:jc w:val="center"/>
                    <w:rPr>
                      <w:snapToGrid w:val="0"/>
                      <w:kern w:val="0"/>
                      <w:szCs w:val="21"/>
                    </w:rPr>
                  </w:pPr>
                  <w:r>
                    <w:rPr>
                      <w:rFonts w:hint="eastAsia"/>
                      <w:snapToGrid w:val="0"/>
                      <w:kern w:val="0"/>
                      <w:szCs w:val="21"/>
                    </w:rPr>
                    <w:t>原料仓库</w:t>
                  </w:r>
                </w:p>
              </w:tc>
              <w:tc>
                <w:tcPr>
                  <w:tcW w:w="1093" w:type="pct"/>
                  <w:vAlign w:val="center"/>
                </w:tcPr>
                <w:p>
                  <w:pPr>
                    <w:snapToGrid w:val="0"/>
                    <w:spacing w:line="240" w:lineRule="exact"/>
                    <w:jc w:val="center"/>
                    <w:rPr>
                      <w:snapToGrid w:val="0"/>
                      <w:kern w:val="0"/>
                      <w:szCs w:val="21"/>
                    </w:rPr>
                  </w:pPr>
                  <w:r>
                    <w:rPr>
                      <w:snapToGrid w:val="0"/>
                      <w:kern w:val="0"/>
                      <w:szCs w:val="21"/>
                    </w:rPr>
                    <w:t>车间原料区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3" w:type="pct"/>
                  <w:tcMar>
                    <w:left w:w="28" w:type="dxa"/>
                    <w:right w:w="28" w:type="dxa"/>
                  </w:tcMar>
                  <w:vAlign w:val="center"/>
                </w:tcPr>
                <w:p>
                  <w:pPr>
                    <w:snapToGrid w:val="0"/>
                    <w:spacing w:line="240" w:lineRule="exact"/>
                    <w:jc w:val="center"/>
                    <w:rPr>
                      <w:color w:val="FF0000"/>
                      <w:szCs w:val="21"/>
                    </w:rPr>
                  </w:pPr>
                  <w:r>
                    <w:rPr>
                      <w:rFonts w:hint="eastAsia"/>
                      <w:color w:val="FF0000"/>
                      <w:szCs w:val="21"/>
                    </w:rPr>
                    <w:t>5</w:t>
                  </w:r>
                </w:p>
              </w:tc>
              <w:tc>
                <w:tcPr>
                  <w:tcW w:w="912" w:type="pct"/>
                  <w:vAlign w:val="center"/>
                </w:tcPr>
                <w:p>
                  <w:pPr>
                    <w:autoSpaceDE w:val="0"/>
                    <w:autoSpaceDN w:val="0"/>
                    <w:adjustRightInd w:val="0"/>
                    <w:snapToGrid w:val="0"/>
                    <w:spacing w:line="240" w:lineRule="exact"/>
                    <w:jc w:val="center"/>
                    <w:rPr>
                      <w:color w:val="FF0000"/>
                      <w:kern w:val="0"/>
                      <w:szCs w:val="21"/>
                    </w:rPr>
                  </w:pPr>
                  <w:r>
                    <w:rPr>
                      <w:rFonts w:hint="eastAsia"/>
                      <w:color w:val="FF0000"/>
                      <w:kern w:val="0"/>
                      <w:szCs w:val="21"/>
                    </w:rPr>
                    <w:t>二氧化碳</w:t>
                  </w:r>
                </w:p>
              </w:tc>
              <w:tc>
                <w:tcPr>
                  <w:tcW w:w="551" w:type="pct"/>
                  <w:vAlign w:val="center"/>
                </w:tcPr>
                <w:p>
                  <w:pPr>
                    <w:autoSpaceDE w:val="0"/>
                    <w:autoSpaceDN w:val="0"/>
                    <w:adjustRightInd w:val="0"/>
                    <w:snapToGrid w:val="0"/>
                    <w:spacing w:line="240" w:lineRule="exact"/>
                    <w:jc w:val="center"/>
                    <w:rPr>
                      <w:color w:val="FF0000"/>
                      <w:kern w:val="0"/>
                      <w:szCs w:val="21"/>
                    </w:rPr>
                  </w:pPr>
                  <w:r>
                    <w:rPr>
                      <w:rFonts w:hint="eastAsia"/>
                      <w:color w:val="FF0000"/>
                      <w:kern w:val="0"/>
                      <w:szCs w:val="21"/>
                    </w:rPr>
                    <w:t>外购</w:t>
                  </w:r>
                </w:p>
              </w:tc>
              <w:tc>
                <w:tcPr>
                  <w:tcW w:w="1116" w:type="pct"/>
                  <w:vAlign w:val="center"/>
                </w:tcPr>
                <w:p>
                  <w:pPr>
                    <w:snapToGrid w:val="0"/>
                    <w:spacing w:line="240" w:lineRule="exact"/>
                    <w:jc w:val="center"/>
                    <w:rPr>
                      <w:color w:val="FF0000"/>
                      <w:szCs w:val="21"/>
                    </w:rPr>
                  </w:pPr>
                  <w:r>
                    <w:rPr>
                      <w:rFonts w:hint="eastAsia"/>
                      <w:color w:val="FF0000"/>
                      <w:szCs w:val="21"/>
                    </w:rPr>
                    <w:t>50</w:t>
                  </w:r>
                  <w:r>
                    <w:rPr>
                      <w:color w:val="FF0000"/>
                      <w:szCs w:val="21"/>
                    </w:rPr>
                    <w:t>m</w:t>
                  </w:r>
                  <w:r>
                    <w:rPr>
                      <w:color w:val="FF0000"/>
                      <w:szCs w:val="21"/>
                      <w:vertAlign w:val="superscript"/>
                    </w:rPr>
                    <w:t>3</w:t>
                  </w:r>
                  <w:r>
                    <w:rPr>
                      <w:color w:val="FF0000"/>
                      <w:szCs w:val="21"/>
                    </w:rPr>
                    <w:t>/a</w:t>
                  </w:r>
                </w:p>
              </w:tc>
              <w:tc>
                <w:tcPr>
                  <w:tcW w:w="915" w:type="pct"/>
                  <w:vAlign w:val="center"/>
                </w:tcPr>
                <w:p>
                  <w:pPr>
                    <w:snapToGrid w:val="0"/>
                    <w:spacing w:line="240" w:lineRule="exact"/>
                    <w:jc w:val="center"/>
                    <w:rPr>
                      <w:snapToGrid w:val="0"/>
                      <w:color w:val="FF0000"/>
                      <w:kern w:val="0"/>
                      <w:szCs w:val="21"/>
                    </w:rPr>
                  </w:pPr>
                  <w:r>
                    <w:rPr>
                      <w:rFonts w:hint="eastAsia"/>
                      <w:snapToGrid w:val="0"/>
                      <w:color w:val="FF0000"/>
                      <w:kern w:val="0"/>
                      <w:szCs w:val="21"/>
                    </w:rPr>
                    <w:t>原料仓库</w:t>
                  </w:r>
                </w:p>
              </w:tc>
              <w:tc>
                <w:tcPr>
                  <w:tcW w:w="1093" w:type="pct"/>
                  <w:vAlign w:val="center"/>
                </w:tcPr>
                <w:p>
                  <w:pPr>
                    <w:snapToGrid w:val="0"/>
                    <w:spacing w:line="240" w:lineRule="exact"/>
                    <w:jc w:val="center"/>
                    <w:rPr>
                      <w:snapToGrid w:val="0"/>
                      <w:color w:val="FF0000"/>
                      <w:kern w:val="0"/>
                      <w:szCs w:val="21"/>
                    </w:rPr>
                  </w:pPr>
                  <w:r>
                    <w:rPr>
                      <w:snapToGrid w:val="0"/>
                      <w:color w:val="FF0000"/>
                      <w:kern w:val="0"/>
                      <w:szCs w:val="21"/>
                    </w:rPr>
                    <w:t>车间原料区</w:t>
                  </w:r>
                </w:p>
              </w:tc>
            </w:tr>
          </w:tbl>
          <w:p>
            <w:pPr>
              <w:autoSpaceDE w:val="0"/>
              <w:autoSpaceDN w:val="0"/>
              <w:adjustRightInd w:val="0"/>
              <w:spacing w:line="360" w:lineRule="auto"/>
              <w:ind w:firstLine="480"/>
              <w:rPr>
                <w:color w:val="FF0000"/>
                <w:kern w:val="0"/>
                <w:sz w:val="24"/>
              </w:rPr>
            </w:pPr>
            <w:r>
              <w:rPr>
                <w:rFonts w:hint="eastAsia" w:ascii="宋体" w:hAnsi="宋体" w:cs="宋体"/>
                <w:color w:val="FF0000"/>
                <w:kern w:val="0"/>
                <w:sz w:val="24"/>
              </w:rPr>
              <w:t>切削液</w:t>
            </w:r>
            <w:r>
              <w:rPr>
                <w:rFonts w:hint="eastAsia"/>
                <w:color w:val="FF0000"/>
                <w:kern w:val="0"/>
                <w:sz w:val="24"/>
              </w:rPr>
              <w:t>的</w:t>
            </w:r>
            <w:r>
              <w:rPr>
                <w:color w:val="FF0000"/>
                <w:kern w:val="0"/>
                <w:sz w:val="24"/>
              </w:rPr>
              <w:t>成分</w:t>
            </w:r>
            <w:r>
              <w:rPr>
                <w:rFonts w:hint="eastAsia"/>
                <w:color w:val="FF0000"/>
                <w:kern w:val="0"/>
                <w:sz w:val="24"/>
              </w:rPr>
              <w:t>：三乙醇胺TEA10-15%，表面活性剂20-35%，脂肪酸醇胺盐12-20%，润滑剂5-10%，其他2-10%，其余为水。</w:t>
            </w:r>
          </w:p>
          <w:p>
            <w:pPr>
              <w:autoSpaceDE w:val="0"/>
              <w:autoSpaceDN w:val="0"/>
              <w:adjustRightInd w:val="0"/>
              <w:spacing w:line="360" w:lineRule="auto"/>
              <w:ind w:firstLine="480"/>
            </w:pPr>
            <w:r>
              <w:rPr>
                <w:rFonts w:hint="eastAsia"/>
                <w:color w:val="FF0000"/>
                <w:sz w:val="24"/>
              </w:rPr>
              <w:t>低碳钢</w:t>
            </w:r>
            <w:r>
              <w:rPr>
                <w:color w:val="FF0000"/>
                <w:sz w:val="24"/>
              </w:rPr>
              <w:t>焊丝主要成分：</w:t>
            </w:r>
            <w:r>
              <w:rPr>
                <w:rFonts w:hint="eastAsia"/>
                <w:color w:val="FF0000"/>
                <w:sz w:val="24"/>
              </w:rPr>
              <w:t>0.05%～0</w:t>
            </w:r>
            <w:r>
              <w:rPr>
                <w:color w:val="FF0000"/>
                <w:sz w:val="24"/>
              </w:rPr>
              <w:t>.</w:t>
            </w:r>
            <w:r>
              <w:rPr>
                <w:rFonts w:hint="eastAsia"/>
                <w:color w:val="FF0000"/>
                <w:sz w:val="24"/>
              </w:rPr>
              <w:t>10%C、0</w:t>
            </w:r>
            <w:r>
              <w:rPr>
                <w:color w:val="FF0000"/>
                <w:sz w:val="24"/>
              </w:rPr>
              <w:t>.</w:t>
            </w:r>
            <w:r>
              <w:rPr>
                <w:rFonts w:hint="eastAsia"/>
                <w:color w:val="FF0000"/>
                <w:sz w:val="24"/>
              </w:rPr>
              <w:t>9%～1</w:t>
            </w:r>
            <w:r>
              <w:rPr>
                <w:color w:val="FF0000"/>
                <w:sz w:val="24"/>
              </w:rPr>
              <w:t>.</w:t>
            </w:r>
            <w:r>
              <w:rPr>
                <w:rFonts w:hint="eastAsia"/>
                <w:color w:val="FF0000"/>
                <w:sz w:val="24"/>
              </w:rPr>
              <w:t>8%Mn、0</w:t>
            </w:r>
            <w:r>
              <w:rPr>
                <w:color w:val="FF0000"/>
                <w:sz w:val="24"/>
              </w:rPr>
              <w:t>.</w:t>
            </w:r>
            <w:r>
              <w:rPr>
                <w:rFonts w:hint="eastAsia"/>
                <w:color w:val="FF0000"/>
                <w:sz w:val="24"/>
              </w:rPr>
              <w:t>5%～1</w:t>
            </w:r>
            <w:r>
              <w:rPr>
                <w:color w:val="FF0000"/>
                <w:sz w:val="24"/>
              </w:rPr>
              <w:t>.</w:t>
            </w:r>
            <w:r>
              <w:rPr>
                <w:rFonts w:hint="eastAsia"/>
                <w:color w:val="FF0000"/>
                <w:sz w:val="24"/>
              </w:rPr>
              <w:t>2%Si、0</w:t>
            </w:r>
            <w:r>
              <w:rPr>
                <w:color w:val="FF0000"/>
                <w:sz w:val="24"/>
              </w:rPr>
              <w:t>.</w:t>
            </w:r>
            <w:r>
              <w:rPr>
                <w:rFonts w:hint="eastAsia"/>
                <w:color w:val="FF0000"/>
                <w:sz w:val="24"/>
              </w:rPr>
              <w:t>025%～0</w:t>
            </w:r>
            <w:r>
              <w:rPr>
                <w:color w:val="FF0000"/>
                <w:sz w:val="24"/>
              </w:rPr>
              <w:t>.</w:t>
            </w:r>
            <w:r>
              <w:rPr>
                <w:rFonts w:hint="eastAsia"/>
                <w:color w:val="FF0000"/>
                <w:sz w:val="24"/>
              </w:rPr>
              <w:t>04%P(S)以及总量小于0</w:t>
            </w:r>
            <w:r>
              <w:rPr>
                <w:color w:val="FF0000"/>
                <w:sz w:val="24"/>
              </w:rPr>
              <w:t>.</w:t>
            </w:r>
            <w:r>
              <w:rPr>
                <w:rFonts w:hint="eastAsia"/>
                <w:color w:val="FF0000"/>
                <w:sz w:val="24"/>
              </w:rPr>
              <w:t>5%的微量元素Ti、Al、Re等，不含铅、</w:t>
            </w:r>
            <w:r>
              <w:rPr>
                <w:color w:val="FF0000"/>
                <w:sz w:val="24"/>
              </w:rPr>
              <w:t>锡等金属。</w:t>
            </w:r>
          </w:p>
          <w:p>
            <w:pPr>
              <w:autoSpaceDE w:val="0"/>
              <w:autoSpaceDN w:val="0"/>
              <w:adjustRightInd w:val="0"/>
              <w:spacing w:line="360" w:lineRule="auto"/>
              <w:ind w:firstLine="482" w:firstLineChars="200"/>
              <w:rPr>
                <w:b/>
                <w:kern w:val="0"/>
                <w:sz w:val="24"/>
              </w:rPr>
            </w:pPr>
            <w:r>
              <w:rPr>
                <w:b/>
                <w:kern w:val="0"/>
                <w:sz w:val="24"/>
              </w:rPr>
              <w:t>6、主要设备</w:t>
            </w:r>
          </w:p>
          <w:p>
            <w:pPr>
              <w:autoSpaceDE w:val="0"/>
              <w:autoSpaceDN w:val="0"/>
              <w:adjustRightInd w:val="0"/>
              <w:spacing w:line="360" w:lineRule="auto"/>
              <w:ind w:firstLine="480" w:firstLineChars="200"/>
              <w:rPr>
                <w:kern w:val="0"/>
                <w:szCs w:val="21"/>
              </w:rPr>
            </w:pPr>
            <w:r>
              <w:rPr>
                <w:kern w:val="0"/>
                <w:sz w:val="24"/>
              </w:rPr>
              <w:t>本项目主要设备见表2-5。</w:t>
            </w:r>
          </w:p>
          <w:p>
            <w:pPr>
              <w:jc w:val="center"/>
              <w:rPr>
                <w:b/>
                <w:szCs w:val="21"/>
              </w:rPr>
            </w:pPr>
            <w:r>
              <w:rPr>
                <w:b/>
                <w:szCs w:val="21"/>
              </w:rPr>
              <w:t>表2-5  主要设施设备一览表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461"/>
              <w:gridCol w:w="2372"/>
              <w:gridCol w:w="2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1273" w:type="pct"/>
                  <w:vAlign w:val="center"/>
                </w:tcPr>
                <w:p>
                  <w:pPr>
                    <w:snapToGrid w:val="0"/>
                    <w:jc w:val="center"/>
                    <w:rPr>
                      <w:b/>
                      <w:bCs/>
                      <w:snapToGrid w:val="0"/>
                      <w:kern w:val="0"/>
                      <w:szCs w:val="21"/>
                    </w:rPr>
                  </w:pPr>
                  <w:r>
                    <w:rPr>
                      <w:b/>
                      <w:bCs/>
                      <w:snapToGrid w:val="0"/>
                      <w:kern w:val="0"/>
                      <w:szCs w:val="21"/>
                    </w:rPr>
                    <w:t>序号</w:t>
                  </w:r>
                </w:p>
              </w:tc>
              <w:tc>
                <w:tcPr>
                  <w:tcW w:w="1273" w:type="pct"/>
                  <w:vAlign w:val="center"/>
                </w:tcPr>
                <w:p>
                  <w:pPr>
                    <w:snapToGrid w:val="0"/>
                    <w:jc w:val="center"/>
                    <w:rPr>
                      <w:b/>
                      <w:bCs/>
                      <w:snapToGrid w:val="0"/>
                      <w:kern w:val="0"/>
                      <w:szCs w:val="21"/>
                    </w:rPr>
                  </w:pPr>
                  <w:r>
                    <w:rPr>
                      <w:b/>
                      <w:bCs/>
                      <w:snapToGrid w:val="0"/>
                      <w:kern w:val="0"/>
                      <w:szCs w:val="21"/>
                    </w:rPr>
                    <w:t>设备名称</w:t>
                  </w:r>
                </w:p>
              </w:tc>
              <w:tc>
                <w:tcPr>
                  <w:tcW w:w="1227" w:type="pct"/>
                  <w:vAlign w:val="center"/>
                </w:tcPr>
                <w:p>
                  <w:pPr>
                    <w:snapToGrid w:val="0"/>
                    <w:jc w:val="center"/>
                    <w:rPr>
                      <w:b/>
                      <w:bCs/>
                      <w:snapToGrid w:val="0"/>
                      <w:kern w:val="0"/>
                      <w:szCs w:val="21"/>
                    </w:rPr>
                  </w:pPr>
                  <w:r>
                    <w:rPr>
                      <w:b/>
                      <w:bCs/>
                      <w:snapToGrid w:val="0"/>
                      <w:kern w:val="0"/>
                      <w:szCs w:val="21"/>
                    </w:rPr>
                    <w:t>单位</w:t>
                  </w:r>
                </w:p>
              </w:tc>
              <w:tc>
                <w:tcPr>
                  <w:tcW w:w="1227" w:type="pct"/>
                  <w:vAlign w:val="center"/>
                </w:tcPr>
                <w:p>
                  <w:pPr>
                    <w:snapToGrid w:val="0"/>
                    <w:jc w:val="center"/>
                    <w:rPr>
                      <w:b/>
                      <w:bCs/>
                      <w:snapToGrid w:val="0"/>
                      <w:kern w:val="0"/>
                      <w:szCs w:val="21"/>
                    </w:rPr>
                  </w:pPr>
                  <w:r>
                    <w:rPr>
                      <w:b/>
                      <w:bCs/>
                      <w:snapToGrid w:val="0"/>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kern w:val="0"/>
                      <w:szCs w:val="21"/>
                    </w:rPr>
                  </w:pPr>
                  <w:r>
                    <w:rPr>
                      <w:rFonts w:hint="eastAsia"/>
                      <w:kern w:val="0"/>
                      <w:szCs w:val="21"/>
                    </w:rPr>
                    <w:t>1</w:t>
                  </w:r>
                </w:p>
              </w:tc>
              <w:tc>
                <w:tcPr>
                  <w:tcW w:w="1273" w:type="pct"/>
                  <w:vAlign w:val="center"/>
                </w:tcPr>
                <w:p>
                  <w:pPr>
                    <w:jc w:val="center"/>
                    <w:rPr>
                      <w:szCs w:val="21"/>
                    </w:rPr>
                  </w:pPr>
                  <w:r>
                    <w:rPr>
                      <w:szCs w:val="21"/>
                    </w:rPr>
                    <w:t>叉车</w:t>
                  </w:r>
                </w:p>
              </w:tc>
              <w:tc>
                <w:tcPr>
                  <w:tcW w:w="1227" w:type="pct"/>
                  <w:vAlign w:val="center"/>
                </w:tcPr>
                <w:p>
                  <w:pPr>
                    <w:jc w:val="center"/>
                    <w:rPr>
                      <w:snapToGrid w:val="0"/>
                      <w:kern w:val="0"/>
                      <w:sz w:val="22"/>
                    </w:rPr>
                  </w:pPr>
                  <w:r>
                    <w:rPr>
                      <w:snapToGrid w:val="0"/>
                      <w:kern w:val="0"/>
                      <w:sz w:val="22"/>
                    </w:rPr>
                    <w:t>台</w:t>
                  </w:r>
                </w:p>
              </w:tc>
              <w:tc>
                <w:tcPr>
                  <w:tcW w:w="1227" w:type="pct"/>
                  <w:vAlign w:val="center"/>
                </w:tcPr>
                <w:p>
                  <w:pPr>
                    <w:jc w:val="center"/>
                    <w:rPr>
                      <w:snapToGrid w:val="0"/>
                      <w:kern w:val="0"/>
                      <w:sz w:val="22"/>
                    </w:rPr>
                  </w:pPr>
                  <w:r>
                    <w:rPr>
                      <w:rFonts w:hint="eastAsia"/>
                      <w:snapToGrid w:val="0"/>
                      <w:kern w:val="0"/>
                      <w:sz w:val="22"/>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zCs w:val="21"/>
                      <w:lang w:val="en-GB"/>
                    </w:rPr>
                  </w:pPr>
                  <w:r>
                    <w:rPr>
                      <w:rFonts w:hint="eastAsia"/>
                      <w:szCs w:val="21"/>
                      <w:lang w:val="en-GB"/>
                    </w:rPr>
                    <w:t>2</w:t>
                  </w:r>
                </w:p>
              </w:tc>
              <w:tc>
                <w:tcPr>
                  <w:tcW w:w="1273" w:type="pct"/>
                  <w:vAlign w:val="center"/>
                </w:tcPr>
                <w:p>
                  <w:pPr>
                    <w:jc w:val="center"/>
                    <w:rPr>
                      <w:kern w:val="0"/>
                      <w:szCs w:val="21"/>
                    </w:rPr>
                  </w:pPr>
                  <w:r>
                    <w:rPr>
                      <w:kern w:val="0"/>
                      <w:szCs w:val="21"/>
                    </w:rPr>
                    <w:t>冲床</w:t>
                  </w:r>
                </w:p>
              </w:tc>
              <w:tc>
                <w:tcPr>
                  <w:tcW w:w="1227" w:type="pct"/>
                  <w:vAlign w:val="center"/>
                </w:tcPr>
                <w:p>
                  <w:pPr>
                    <w:jc w:val="center"/>
                    <w:rPr>
                      <w:snapToGrid w:val="0"/>
                      <w:kern w:val="0"/>
                      <w:sz w:val="22"/>
                    </w:rPr>
                  </w:pPr>
                  <w:r>
                    <w:rPr>
                      <w:snapToGrid w:val="0"/>
                      <w:kern w:val="0"/>
                      <w:sz w:val="22"/>
                    </w:rPr>
                    <w:t>台</w:t>
                  </w:r>
                </w:p>
              </w:tc>
              <w:tc>
                <w:tcPr>
                  <w:tcW w:w="1227" w:type="pct"/>
                  <w:vAlign w:val="center"/>
                </w:tcPr>
                <w:p>
                  <w:pPr>
                    <w:jc w:val="center"/>
                    <w:rPr>
                      <w:snapToGrid w:val="0"/>
                      <w:kern w:val="0"/>
                      <w:sz w:val="22"/>
                    </w:rPr>
                  </w:pPr>
                  <w:r>
                    <w:rPr>
                      <w:rFonts w:hint="eastAsia"/>
                      <w:snapToGrid w:val="0"/>
                      <w:kern w:val="0"/>
                      <w:sz w:val="22"/>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snapToGrid w:val="0"/>
                    <w:jc w:val="center"/>
                    <w:rPr>
                      <w:bCs/>
                      <w:snapToGrid w:val="0"/>
                      <w:kern w:val="0"/>
                      <w:szCs w:val="21"/>
                    </w:rPr>
                  </w:pPr>
                  <w:r>
                    <w:rPr>
                      <w:rFonts w:hint="eastAsia"/>
                      <w:bCs/>
                      <w:snapToGrid w:val="0"/>
                      <w:kern w:val="0"/>
                      <w:szCs w:val="21"/>
                    </w:rPr>
                    <w:t>3</w:t>
                  </w:r>
                </w:p>
              </w:tc>
              <w:tc>
                <w:tcPr>
                  <w:tcW w:w="1273" w:type="pct"/>
                  <w:vAlign w:val="center"/>
                </w:tcPr>
                <w:p>
                  <w:pPr>
                    <w:snapToGrid w:val="0"/>
                    <w:jc w:val="center"/>
                    <w:rPr>
                      <w:bCs/>
                      <w:snapToGrid w:val="0"/>
                      <w:kern w:val="0"/>
                      <w:szCs w:val="21"/>
                    </w:rPr>
                  </w:pPr>
                  <w:r>
                    <w:rPr>
                      <w:bCs/>
                      <w:snapToGrid w:val="0"/>
                      <w:kern w:val="0"/>
                      <w:szCs w:val="21"/>
                    </w:rPr>
                    <w:t>打标机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1273" w:type="pct"/>
                  <w:vAlign w:val="center"/>
                </w:tcPr>
                <w:p>
                  <w:pPr>
                    <w:jc w:val="center"/>
                    <w:rPr>
                      <w:snapToGrid w:val="0"/>
                      <w:kern w:val="0"/>
                      <w:szCs w:val="21"/>
                    </w:rPr>
                  </w:pPr>
                  <w:r>
                    <w:rPr>
                      <w:rFonts w:hint="eastAsia"/>
                      <w:snapToGrid w:val="0"/>
                      <w:kern w:val="0"/>
                      <w:szCs w:val="21"/>
                    </w:rPr>
                    <w:t>4</w:t>
                  </w:r>
                </w:p>
              </w:tc>
              <w:tc>
                <w:tcPr>
                  <w:tcW w:w="1273" w:type="pct"/>
                  <w:vAlign w:val="center"/>
                </w:tcPr>
                <w:p>
                  <w:pPr>
                    <w:jc w:val="center"/>
                    <w:rPr>
                      <w:snapToGrid w:val="0"/>
                      <w:kern w:val="0"/>
                      <w:szCs w:val="21"/>
                    </w:rPr>
                  </w:pPr>
                  <w:r>
                    <w:rPr>
                      <w:snapToGrid w:val="0"/>
                      <w:kern w:val="0"/>
                      <w:szCs w:val="21"/>
                    </w:rPr>
                    <w:t>打波机</w:t>
                  </w:r>
                </w:p>
              </w:tc>
              <w:tc>
                <w:tcPr>
                  <w:tcW w:w="1227" w:type="pct"/>
                  <w:vAlign w:val="center"/>
                </w:tcPr>
                <w:p>
                  <w:pPr>
                    <w:jc w:val="center"/>
                    <w:rPr>
                      <w:snapToGrid w:val="0"/>
                      <w:kern w:val="0"/>
                      <w:sz w:val="22"/>
                    </w:rPr>
                  </w:pPr>
                  <w:r>
                    <w:rPr>
                      <w:snapToGrid w:val="0"/>
                      <w:kern w:val="0"/>
                      <w:sz w:val="22"/>
                    </w:rPr>
                    <w:t>台</w:t>
                  </w:r>
                </w:p>
              </w:tc>
              <w:tc>
                <w:tcPr>
                  <w:tcW w:w="1227" w:type="pct"/>
                  <w:vAlign w:val="center"/>
                </w:tcPr>
                <w:p>
                  <w:pPr>
                    <w:jc w:val="center"/>
                    <w:rPr>
                      <w:snapToGrid w:val="0"/>
                      <w:kern w:val="0"/>
                      <w:sz w:val="22"/>
                    </w:rPr>
                  </w:pPr>
                  <w:r>
                    <w:rPr>
                      <w:rFonts w:hint="eastAsia"/>
                      <w:snapToGrid w:val="0"/>
                      <w:kern w:val="0"/>
                      <w:sz w:val="22"/>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5</w:t>
                  </w:r>
                </w:p>
              </w:tc>
              <w:tc>
                <w:tcPr>
                  <w:tcW w:w="1273" w:type="pct"/>
                  <w:vAlign w:val="center"/>
                </w:tcPr>
                <w:p>
                  <w:pPr>
                    <w:jc w:val="center"/>
                    <w:rPr>
                      <w:snapToGrid w:val="0"/>
                      <w:kern w:val="0"/>
                      <w:szCs w:val="21"/>
                    </w:rPr>
                  </w:pPr>
                  <w:r>
                    <w:rPr>
                      <w:snapToGrid w:val="0"/>
                      <w:kern w:val="0"/>
                      <w:szCs w:val="21"/>
                    </w:rPr>
                    <w:t>电焊机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6</w:t>
                  </w:r>
                </w:p>
              </w:tc>
              <w:tc>
                <w:tcPr>
                  <w:tcW w:w="1273" w:type="pct"/>
                  <w:vAlign w:val="center"/>
                </w:tcPr>
                <w:p>
                  <w:pPr>
                    <w:jc w:val="center"/>
                    <w:rPr>
                      <w:snapToGrid w:val="0"/>
                      <w:kern w:val="0"/>
                      <w:szCs w:val="21"/>
                    </w:rPr>
                  </w:pPr>
                  <w:r>
                    <w:rPr>
                      <w:snapToGrid w:val="0"/>
                      <w:kern w:val="0"/>
                      <w:szCs w:val="21"/>
                    </w:rPr>
                    <w:t>定位机</w:t>
                  </w:r>
                </w:p>
              </w:tc>
              <w:tc>
                <w:tcPr>
                  <w:tcW w:w="1227" w:type="pct"/>
                  <w:vAlign w:val="center"/>
                </w:tcPr>
                <w:p>
                  <w:pPr>
                    <w:jc w:val="center"/>
                  </w:pPr>
                  <w:r>
                    <w:t>台</w:t>
                  </w:r>
                </w:p>
              </w:tc>
              <w:tc>
                <w:tcPr>
                  <w:tcW w:w="1227" w:type="pct"/>
                  <w:vAlign w:val="center"/>
                </w:tcPr>
                <w:p>
                  <w:pPr>
                    <w:jc w:val="center"/>
                  </w:pPr>
                  <w:r>
                    <w:rPr>
                      <w:rFonts w:hint="eastAsia"/>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7</w:t>
                  </w:r>
                </w:p>
              </w:tc>
              <w:tc>
                <w:tcPr>
                  <w:tcW w:w="1273" w:type="pct"/>
                  <w:vAlign w:val="center"/>
                </w:tcPr>
                <w:p>
                  <w:pPr>
                    <w:jc w:val="center"/>
                    <w:rPr>
                      <w:snapToGrid w:val="0"/>
                      <w:kern w:val="0"/>
                      <w:szCs w:val="21"/>
                    </w:rPr>
                  </w:pPr>
                  <w:r>
                    <w:rPr>
                      <w:snapToGrid w:val="0"/>
                      <w:kern w:val="0"/>
                      <w:szCs w:val="21"/>
                    </w:rPr>
                    <w:t>焊管机</w:t>
                  </w:r>
                </w:p>
              </w:tc>
              <w:tc>
                <w:tcPr>
                  <w:tcW w:w="1227" w:type="pct"/>
                  <w:vAlign w:val="center"/>
                </w:tcPr>
                <w:p>
                  <w:pPr>
                    <w:jc w:val="center"/>
                  </w:pPr>
                  <w:r>
                    <w:t>台</w:t>
                  </w:r>
                </w:p>
              </w:tc>
              <w:tc>
                <w:tcPr>
                  <w:tcW w:w="1227" w:type="pct"/>
                  <w:vAlign w:val="center"/>
                </w:tcPr>
                <w:p>
                  <w:pPr>
                    <w:jc w:val="center"/>
                  </w:pPr>
                  <w:r>
                    <w:rPr>
                      <w:rFonts w:hint="eastAsia"/>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273" w:type="pct"/>
                  <w:vAlign w:val="center"/>
                </w:tcPr>
                <w:p>
                  <w:pPr>
                    <w:snapToGrid w:val="0"/>
                    <w:jc w:val="center"/>
                    <w:rPr>
                      <w:szCs w:val="21"/>
                    </w:rPr>
                  </w:pPr>
                  <w:r>
                    <w:rPr>
                      <w:rFonts w:hint="eastAsia"/>
                      <w:szCs w:val="21"/>
                    </w:rPr>
                    <w:t>8</w:t>
                  </w:r>
                </w:p>
              </w:tc>
              <w:tc>
                <w:tcPr>
                  <w:tcW w:w="1273" w:type="pct"/>
                  <w:vAlign w:val="center"/>
                </w:tcPr>
                <w:p>
                  <w:pPr>
                    <w:snapToGrid w:val="0"/>
                    <w:jc w:val="center"/>
                    <w:rPr>
                      <w:szCs w:val="21"/>
                    </w:rPr>
                  </w:pPr>
                  <w:r>
                    <w:rPr>
                      <w:szCs w:val="21"/>
                    </w:rPr>
                    <w:t>焊管生产线</w:t>
                  </w:r>
                </w:p>
              </w:tc>
              <w:tc>
                <w:tcPr>
                  <w:tcW w:w="1227" w:type="pct"/>
                  <w:vAlign w:val="center"/>
                </w:tcPr>
                <w:p>
                  <w:pPr>
                    <w:snapToGrid w:val="0"/>
                    <w:jc w:val="center"/>
                    <w:rPr>
                      <w:snapToGrid w:val="0"/>
                      <w:kern w:val="0"/>
                      <w:szCs w:val="21"/>
                    </w:rPr>
                  </w:pPr>
                  <w:r>
                    <w:rPr>
                      <w:snapToGrid w:val="0"/>
                      <w:kern w:val="0"/>
                      <w:szCs w:val="21"/>
                    </w:rPr>
                    <w:t>条</w:t>
                  </w:r>
                </w:p>
              </w:tc>
              <w:tc>
                <w:tcPr>
                  <w:tcW w:w="1227" w:type="pct"/>
                  <w:vAlign w:val="center"/>
                </w:tcPr>
                <w:p>
                  <w:pPr>
                    <w:snapToGrid w:val="0"/>
                    <w:jc w:val="center"/>
                    <w:rPr>
                      <w:snapToGrid w:val="0"/>
                      <w:kern w:val="0"/>
                      <w:szCs w:val="21"/>
                    </w:rPr>
                  </w:pPr>
                  <w:r>
                    <w:rPr>
                      <w:rFonts w:hint="eastAsia"/>
                      <w:snapToGrid w:val="0"/>
                      <w:kern w:val="0"/>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9</w:t>
                  </w:r>
                </w:p>
              </w:tc>
              <w:tc>
                <w:tcPr>
                  <w:tcW w:w="1273" w:type="pct"/>
                  <w:vAlign w:val="center"/>
                </w:tcPr>
                <w:p>
                  <w:pPr>
                    <w:jc w:val="center"/>
                    <w:rPr>
                      <w:snapToGrid w:val="0"/>
                      <w:kern w:val="0"/>
                      <w:szCs w:val="21"/>
                    </w:rPr>
                  </w:pPr>
                  <w:r>
                    <w:rPr>
                      <w:snapToGrid w:val="0"/>
                      <w:kern w:val="0"/>
                      <w:szCs w:val="21"/>
                    </w:rPr>
                    <w:t>空压机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10</w:t>
                  </w:r>
                </w:p>
              </w:tc>
              <w:tc>
                <w:tcPr>
                  <w:tcW w:w="1273" w:type="pct"/>
                  <w:vAlign w:val="center"/>
                </w:tcPr>
                <w:p>
                  <w:pPr>
                    <w:jc w:val="center"/>
                    <w:rPr>
                      <w:snapToGrid w:val="0"/>
                      <w:kern w:val="0"/>
                      <w:szCs w:val="21"/>
                    </w:rPr>
                  </w:pPr>
                  <w:r>
                    <w:rPr>
                      <w:snapToGrid w:val="0"/>
                      <w:kern w:val="0"/>
                      <w:szCs w:val="21"/>
                    </w:rPr>
                    <w:t>普通车床</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11</w:t>
                  </w:r>
                </w:p>
              </w:tc>
              <w:tc>
                <w:tcPr>
                  <w:tcW w:w="1273" w:type="pct"/>
                  <w:vAlign w:val="center"/>
                </w:tcPr>
                <w:p>
                  <w:pPr>
                    <w:jc w:val="center"/>
                    <w:rPr>
                      <w:snapToGrid w:val="0"/>
                      <w:kern w:val="0"/>
                      <w:szCs w:val="21"/>
                    </w:rPr>
                  </w:pPr>
                  <w:r>
                    <w:rPr>
                      <w:snapToGrid w:val="0"/>
                      <w:kern w:val="0"/>
                      <w:szCs w:val="21"/>
                    </w:rPr>
                    <w:t>伸缩管机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12</w:t>
                  </w:r>
                </w:p>
              </w:tc>
              <w:tc>
                <w:tcPr>
                  <w:tcW w:w="1273" w:type="pct"/>
                  <w:vAlign w:val="center"/>
                </w:tcPr>
                <w:p>
                  <w:pPr>
                    <w:jc w:val="center"/>
                    <w:rPr>
                      <w:snapToGrid w:val="0"/>
                      <w:kern w:val="0"/>
                      <w:szCs w:val="21"/>
                    </w:rPr>
                  </w:pPr>
                  <w:r>
                    <w:rPr>
                      <w:snapToGrid w:val="0"/>
                      <w:kern w:val="0"/>
                      <w:szCs w:val="21"/>
                    </w:rPr>
                    <w:t>升降平台</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13</w:t>
                  </w:r>
                </w:p>
              </w:tc>
              <w:tc>
                <w:tcPr>
                  <w:tcW w:w="1273" w:type="pct"/>
                  <w:vAlign w:val="center"/>
                </w:tcPr>
                <w:p>
                  <w:pPr>
                    <w:jc w:val="center"/>
                    <w:rPr>
                      <w:snapToGrid w:val="0"/>
                      <w:kern w:val="0"/>
                      <w:szCs w:val="21"/>
                    </w:rPr>
                  </w:pPr>
                  <w:r>
                    <w:rPr>
                      <w:snapToGrid w:val="0"/>
                      <w:kern w:val="0"/>
                      <w:szCs w:val="21"/>
                    </w:rPr>
                    <w:t>双扣软管机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14</w:t>
                  </w:r>
                </w:p>
              </w:tc>
              <w:tc>
                <w:tcPr>
                  <w:tcW w:w="1273" w:type="pct"/>
                  <w:vAlign w:val="center"/>
                </w:tcPr>
                <w:p>
                  <w:pPr>
                    <w:jc w:val="center"/>
                    <w:rPr>
                      <w:snapToGrid w:val="0"/>
                      <w:kern w:val="0"/>
                      <w:szCs w:val="21"/>
                    </w:rPr>
                  </w:pPr>
                  <w:r>
                    <w:rPr>
                      <w:snapToGrid w:val="0"/>
                      <w:kern w:val="0"/>
                      <w:szCs w:val="21"/>
                    </w:rPr>
                    <w:t>双圈定位机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15</w:t>
                  </w:r>
                </w:p>
              </w:tc>
              <w:tc>
                <w:tcPr>
                  <w:tcW w:w="1273" w:type="pct"/>
                  <w:vAlign w:val="center"/>
                </w:tcPr>
                <w:p>
                  <w:pPr>
                    <w:jc w:val="center"/>
                    <w:rPr>
                      <w:snapToGrid w:val="0"/>
                      <w:kern w:val="0"/>
                      <w:szCs w:val="21"/>
                    </w:rPr>
                  </w:pPr>
                  <w:r>
                    <w:rPr>
                      <w:snapToGrid w:val="0"/>
                      <w:kern w:val="0"/>
                      <w:szCs w:val="21"/>
                    </w:rPr>
                    <w:t>风机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16</w:t>
                  </w:r>
                </w:p>
              </w:tc>
              <w:tc>
                <w:tcPr>
                  <w:tcW w:w="1273" w:type="pct"/>
                  <w:vAlign w:val="center"/>
                </w:tcPr>
                <w:p>
                  <w:pPr>
                    <w:jc w:val="center"/>
                    <w:rPr>
                      <w:snapToGrid w:val="0"/>
                      <w:kern w:val="0"/>
                      <w:szCs w:val="21"/>
                    </w:rPr>
                  </w:pPr>
                  <w:r>
                    <w:rPr>
                      <w:snapToGrid w:val="0"/>
                      <w:kern w:val="0"/>
                      <w:szCs w:val="21"/>
                    </w:rPr>
                    <w:t>四合一体机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17</w:t>
                  </w:r>
                </w:p>
              </w:tc>
              <w:tc>
                <w:tcPr>
                  <w:tcW w:w="1273" w:type="pct"/>
                  <w:vAlign w:val="center"/>
                </w:tcPr>
                <w:p>
                  <w:pPr>
                    <w:jc w:val="center"/>
                    <w:rPr>
                      <w:snapToGrid w:val="0"/>
                      <w:kern w:val="0"/>
                      <w:szCs w:val="21"/>
                    </w:rPr>
                  </w:pPr>
                  <w:r>
                    <w:rPr>
                      <w:snapToGrid w:val="0"/>
                      <w:kern w:val="0"/>
                      <w:szCs w:val="21"/>
                    </w:rPr>
                    <w:t>铣床</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18</w:t>
                  </w:r>
                </w:p>
              </w:tc>
              <w:tc>
                <w:tcPr>
                  <w:tcW w:w="1273" w:type="pct"/>
                  <w:vAlign w:val="center"/>
                </w:tcPr>
                <w:p>
                  <w:pPr>
                    <w:jc w:val="center"/>
                    <w:rPr>
                      <w:snapToGrid w:val="0"/>
                      <w:kern w:val="0"/>
                      <w:szCs w:val="21"/>
                    </w:rPr>
                  </w:pPr>
                  <w:r>
                    <w:rPr>
                      <w:snapToGrid w:val="0"/>
                      <w:kern w:val="0"/>
                      <w:szCs w:val="21"/>
                    </w:rPr>
                    <w:t>线切割机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19</w:t>
                  </w:r>
                </w:p>
              </w:tc>
              <w:tc>
                <w:tcPr>
                  <w:tcW w:w="1273" w:type="pct"/>
                  <w:vAlign w:val="center"/>
                </w:tcPr>
                <w:p>
                  <w:pPr>
                    <w:jc w:val="center"/>
                    <w:rPr>
                      <w:snapToGrid w:val="0"/>
                      <w:kern w:val="0"/>
                      <w:szCs w:val="21"/>
                    </w:rPr>
                  </w:pPr>
                  <w:r>
                    <w:rPr>
                      <w:snapToGrid w:val="0"/>
                      <w:kern w:val="0"/>
                      <w:szCs w:val="21"/>
                    </w:rPr>
                    <w:t>小型直流焊机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20</w:t>
                  </w:r>
                </w:p>
              </w:tc>
              <w:tc>
                <w:tcPr>
                  <w:tcW w:w="1273" w:type="pct"/>
                  <w:vAlign w:val="center"/>
                </w:tcPr>
                <w:p>
                  <w:pPr>
                    <w:jc w:val="center"/>
                    <w:rPr>
                      <w:snapToGrid w:val="0"/>
                      <w:kern w:val="0"/>
                      <w:szCs w:val="21"/>
                    </w:rPr>
                  </w:pPr>
                  <w:r>
                    <w:rPr>
                      <w:snapToGrid w:val="0"/>
                      <w:kern w:val="0"/>
                      <w:szCs w:val="21"/>
                    </w:rPr>
                    <w:t>液压成型机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21</w:t>
                  </w:r>
                </w:p>
              </w:tc>
              <w:tc>
                <w:tcPr>
                  <w:tcW w:w="1273" w:type="pct"/>
                  <w:vAlign w:val="center"/>
                </w:tcPr>
                <w:p>
                  <w:pPr>
                    <w:jc w:val="center"/>
                    <w:rPr>
                      <w:snapToGrid w:val="0"/>
                      <w:kern w:val="0"/>
                      <w:szCs w:val="21"/>
                    </w:rPr>
                  </w:pPr>
                  <w:r>
                    <w:rPr>
                      <w:rFonts w:hint="eastAsia"/>
                      <w:snapToGrid w:val="0"/>
                      <w:kern w:val="0"/>
                      <w:szCs w:val="21"/>
                    </w:rPr>
                    <w:t>胀</w:t>
                  </w:r>
                  <w:r>
                    <w:rPr>
                      <w:snapToGrid w:val="0"/>
                      <w:kern w:val="0"/>
                      <w:szCs w:val="21"/>
                    </w:rPr>
                    <w:t>管机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22</w:t>
                  </w:r>
                </w:p>
              </w:tc>
              <w:tc>
                <w:tcPr>
                  <w:tcW w:w="1273" w:type="pct"/>
                  <w:vAlign w:val="center"/>
                </w:tcPr>
                <w:p>
                  <w:pPr>
                    <w:jc w:val="center"/>
                    <w:rPr>
                      <w:snapToGrid w:val="0"/>
                      <w:kern w:val="0"/>
                      <w:szCs w:val="21"/>
                    </w:rPr>
                  </w:pPr>
                  <w:r>
                    <w:rPr>
                      <w:snapToGrid w:val="0"/>
                      <w:kern w:val="0"/>
                      <w:szCs w:val="21"/>
                    </w:rPr>
                    <w:t>纵焊机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23</w:t>
                  </w:r>
                </w:p>
              </w:tc>
              <w:tc>
                <w:tcPr>
                  <w:tcW w:w="1273" w:type="pct"/>
                  <w:vAlign w:val="center"/>
                </w:tcPr>
                <w:p>
                  <w:pPr>
                    <w:jc w:val="center"/>
                    <w:rPr>
                      <w:snapToGrid w:val="0"/>
                      <w:color w:val="FF0000"/>
                      <w:kern w:val="0"/>
                      <w:szCs w:val="21"/>
                    </w:rPr>
                  </w:pPr>
                  <w:r>
                    <w:rPr>
                      <w:rFonts w:hint="eastAsia"/>
                      <w:snapToGrid w:val="0"/>
                      <w:color w:val="FF0000"/>
                      <w:kern w:val="0"/>
                      <w:szCs w:val="21"/>
                    </w:rPr>
                    <w:t>打磨机</w:t>
                  </w:r>
                </w:p>
              </w:tc>
              <w:tc>
                <w:tcPr>
                  <w:tcW w:w="1227" w:type="pct"/>
                  <w:vAlign w:val="center"/>
                </w:tcPr>
                <w:p>
                  <w:pPr>
                    <w:jc w:val="center"/>
                    <w:rPr>
                      <w:snapToGrid w:val="0"/>
                      <w:color w:val="FF0000"/>
                      <w:kern w:val="0"/>
                      <w:szCs w:val="21"/>
                    </w:rPr>
                  </w:pPr>
                  <w:r>
                    <w:rPr>
                      <w:rFonts w:hint="eastAsia"/>
                      <w:snapToGrid w:val="0"/>
                      <w:color w:val="FF0000"/>
                      <w:kern w:val="0"/>
                      <w:szCs w:val="21"/>
                    </w:rPr>
                    <w:t>台</w:t>
                  </w:r>
                </w:p>
              </w:tc>
              <w:tc>
                <w:tcPr>
                  <w:tcW w:w="1227" w:type="pct"/>
                  <w:vAlign w:val="center"/>
                </w:tcPr>
                <w:p>
                  <w:pPr>
                    <w:jc w:val="center"/>
                    <w:rPr>
                      <w:snapToGrid w:val="0"/>
                      <w:color w:val="FF0000"/>
                      <w:kern w:val="0"/>
                      <w:szCs w:val="21"/>
                    </w:rPr>
                  </w:pPr>
                  <w:r>
                    <w:rPr>
                      <w:rFonts w:hint="eastAsia"/>
                      <w:snapToGrid w:val="0"/>
                      <w:color w:val="FF000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24</w:t>
                  </w:r>
                </w:p>
              </w:tc>
              <w:tc>
                <w:tcPr>
                  <w:tcW w:w="1273" w:type="pct"/>
                  <w:vAlign w:val="center"/>
                </w:tcPr>
                <w:p>
                  <w:pPr>
                    <w:jc w:val="center"/>
                    <w:rPr>
                      <w:snapToGrid w:val="0"/>
                      <w:color w:val="FF0000"/>
                      <w:kern w:val="0"/>
                      <w:szCs w:val="21"/>
                    </w:rPr>
                  </w:pPr>
                  <w:r>
                    <w:rPr>
                      <w:rFonts w:hint="eastAsia"/>
                      <w:snapToGrid w:val="0"/>
                      <w:color w:val="FF0000"/>
                      <w:kern w:val="0"/>
                      <w:szCs w:val="21"/>
                    </w:rPr>
                    <w:t>抛光机</w:t>
                  </w:r>
                </w:p>
              </w:tc>
              <w:tc>
                <w:tcPr>
                  <w:tcW w:w="1227" w:type="pct"/>
                  <w:vAlign w:val="center"/>
                </w:tcPr>
                <w:p>
                  <w:pPr>
                    <w:jc w:val="center"/>
                    <w:rPr>
                      <w:snapToGrid w:val="0"/>
                      <w:color w:val="FF0000"/>
                      <w:kern w:val="0"/>
                      <w:szCs w:val="21"/>
                    </w:rPr>
                  </w:pPr>
                  <w:r>
                    <w:rPr>
                      <w:rFonts w:hint="eastAsia"/>
                      <w:snapToGrid w:val="0"/>
                      <w:color w:val="FF0000"/>
                      <w:kern w:val="0"/>
                      <w:szCs w:val="21"/>
                    </w:rPr>
                    <w:t>台</w:t>
                  </w:r>
                </w:p>
              </w:tc>
              <w:tc>
                <w:tcPr>
                  <w:tcW w:w="1227" w:type="pct"/>
                  <w:vAlign w:val="center"/>
                </w:tcPr>
                <w:p>
                  <w:pPr>
                    <w:jc w:val="center"/>
                    <w:rPr>
                      <w:snapToGrid w:val="0"/>
                      <w:color w:val="FF0000"/>
                      <w:kern w:val="0"/>
                      <w:szCs w:val="21"/>
                    </w:rPr>
                  </w:pPr>
                  <w:r>
                    <w:rPr>
                      <w:rFonts w:hint="eastAsia"/>
                      <w:snapToGrid w:val="0"/>
                      <w:color w:val="FF000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25</w:t>
                  </w:r>
                </w:p>
              </w:tc>
              <w:tc>
                <w:tcPr>
                  <w:tcW w:w="1273" w:type="pct"/>
                  <w:vAlign w:val="center"/>
                </w:tcPr>
                <w:p>
                  <w:pPr>
                    <w:jc w:val="center"/>
                    <w:rPr>
                      <w:snapToGrid w:val="0"/>
                      <w:kern w:val="0"/>
                      <w:szCs w:val="21"/>
                    </w:rPr>
                  </w:pPr>
                  <w:r>
                    <w:rPr>
                      <w:snapToGrid w:val="0"/>
                      <w:kern w:val="0"/>
                      <w:szCs w:val="21"/>
                    </w:rPr>
                    <w:t>波纹管静态拉压试验机</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73" w:type="pct"/>
                  <w:vAlign w:val="center"/>
                </w:tcPr>
                <w:p>
                  <w:pPr>
                    <w:jc w:val="center"/>
                    <w:rPr>
                      <w:snapToGrid w:val="0"/>
                      <w:kern w:val="0"/>
                      <w:szCs w:val="21"/>
                    </w:rPr>
                  </w:pPr>
                  <w:r>
                    <w:rPr>
                      <w:rFonts w:hint="eastAsia"/>
                      <w:snapToGrid w:val="0"/>
                      <w:kern w:val="0"/>
                      <w:szCs w:val="21"/>
                    </w:rPr>
                    <w:t>26</w:t>
                  </w:r>
                </w:p>
              </w:tc>
              <w:tc>
                <w:tcPr>
                  <w:tcW w:w="1273" w:type="pct"/>
                  <w:vAlign w:val="center"/>
                </w:tcPr>
                <w:p>
                  <w:pPr>
                    <w:jc w:val="center"/>
                    <w:rPr>
                      <w:snapToGrid w:val="0"/>
                      <w:kern w:val="0"/>
                      <w:szCs w:val="21"/>
                    </w:rPr>
                  </w:pPr>
                  <w:r>
                    <w:rPr>
                      <w:snapToGrid w:val="0"/>
                      <w:kern w:val="0"/>
                      <w:szCs w:val="21"/>
                    </w:rPr>
                    <w:t>路谱采集测试仪</w:t>
                  </w:r>
                </w:p>
              </w:tc>
              <w:tc>
                <w:tcPr>
                  <w:tcW w:w="1227" w:type="pct"/>
                  <w:vAlign w:val="center"/>
                </w:tcPr>
                <w:p>
                  <w:pPr>
                    <w:jc w:val="center"/>
                    <w:rPr>
                      <w:snapToGrid w:val="0"/>
                      <w:kern w:val="0"/>
                      <w:szCs w:val="21"/>
                    </w:rPr>
                  </w:pPr>
                  <w:r>
                    <w:rPr>
                      <w:snapToGrid w:val="0"/>
                      <w:kern w:val="0"/>
                      <w:szCs w:val="21"/>
                    </w:rPr>
                    <w:t>台</w:t>
                  </w:r>
                </w:p>
              </w:tc>
              <w:tc>
                <w:tcPr>
                  <w:tcW w:w="1227" w:type="pct"/>
                  <w:vAlign w:val="center"/>
                </w:tcPr>
                <w:p>
                  <w:pPr>
                    <w:jc w:val="center"/>
                    <w:rPr>
                      <w:snapToGrid w:val="0"/>
                      <w:kern w:val="0"/>
                      <w:szCs w:val="21"/>
                    </w:rPr>
                  </w:pPr>
                  <w:r>
                    <w:rPr>
                      <w:rFonts w:hint="eastAsia"/>
                      <w:snapToGrid w:val="0"/>
                      <w:kern w:val="0"/>
                      <w:szCs w:val="21"/>
                    </w:rPr>
                    <w:t>4</w:t>
                  </w:r>
                </w:p>
              </w:tc>
            </w:tr>
          </w:tbl>
          <w:p>
            <w:pPr>
              <w:autoSpaceDE w:val="0"/>
              <w:autoSpaceDN w:val="0"/>
              <w:adjustRightInd w:val="0"/>
              <w:spacing w:line="360" w:lineRule="auto"/>
              <w:ind w:firstLine="482" w:firstLineChars="200"/>
              <w:rPr>
                <w:b/>
                <w:kern w:val="0"/>
                <w:sz w:val="24"/>
              </w:rPr>
            </w:pPr>
            <w:r>
              <w:rPr>
                <w:b/>
                <w:kern w:val="0"/>
                <w:sz w:val="24"/>
              </w:rPr>
              <w:t>7、公用工程</w:t>
            </w:r>
          </w:p>
          <w:p>
            <w:pPr>
              <w:spacing w:line="360" w:lineRule="auto"/>
              <w:ind w:firstLine="480" w:firstLineChars="200"/>
              <w:rPr>
                <w:sz w:val="24"/>
              </w:rPr>
            </w:pPr>
            <w:r>
              <w:rPr>
                <w:sz w:val="24"/>
              </w:rPr>
              <w:t>（1）给排水情况</w:t>
            </w:r>
          </w:p>
          <w:p>
            <w:pPr>
              <w:spacing w:line="360" w:lineRule="auto"/>
              <w:ind w:firstLine="480" w:firstLineChars="200"/>
              <w:rPr>
                <w:sz w:val="24"/>
              </w:rPr>
            </w:pPr>
            <w:r>
              <w:rPr>
                <w:rFonts w:hint="eastAsia" w:ascii="宋体" w:hAnsi="宋体" w:cs="宋体"/>
                <w:sz w:val="24"/>
              </w:rPr>
              <w:t>①</w:t>
            </w:r>
            <w:r>
              <w:rPr>
                <w:sz w:val="24"/>
              </w:rPr>
              <w:t>给水：项目水源来自市政供水管网。</w:t>
            </w:r>
          </w:p>
          <w:p>
            <w:pPr>
              <w:spacing w:line="360" w:lineRule="auto"/>
              <w:ind w:firstLine="480" w:firstLineChars="200"/>
              <w:rPr>
                <w:sz w:val="24"/>
              </w:rPr>
            </w:pPr>
            <w:r>
              <w:rPr>
                <w:rFonts w:hint="eastAsia" w:ascii="宋体" w:hAnsi="宋体" w:cs="宋体"/>
                <w:color w:val="FF0000"/>
                <w:sz w:val="24"/>
              </w:rPr>
              <w:t>②</w:t>
            </w:r>
            <w:r>
              <w:rPr>
                <w:color w:val="FF0000"/>
                <w:sz w:val="24"/>
              </w:rPr>
              <w:t>排水：项目</w:t>
            </w:r>
            <w:r>
              <w:rPr>
                <w:rFonts w:hint="eastAsia"/>
                <w:color w:val="FF0000"/>
                <w:kern w:val="18"/>
                <w:sz w:val="24"/>
              </w:rPr>
              <w:t>不进行地面冲洗，仅作简单打扫，无废水产生，因此无生产废水产生；</w:t>
            </w:r>
            <w:r>
              <w:rPr>
                <w:sz w:val="24"/>
              </w:rPr>
              <w:t>生活污水经化粪池处理后排入</w:t>
            </w:r>
            <w:r>
              <w:rPr>
                <w:rFonts w:hint="eastAsia"/>
                <w:sz w:val="24"/>
              </w:rPr>
              <w:t>小蓝污水处理厂进行处理，小蓝污水处理厂处理达标后尾水进入雄溪河尾段，经莲塘河入抚河支流（清丰山溪）</w:t>
            </w:r>
            <w:r>
              <w:rPr>
                <w:sz w:val="24"/>
              </w:rPr>
              <w:t>。</w:t>
            </w:r>
          </w:p>
          <w:p>
            <w:pPr>
              <w:autoSpaceDE w:val="0"/>
              <w:autoSpaceDN w:val="0"/>
              <w:adjustRightInd w:val="0"/>
              <w:spacing w:line="360" w:lineRule="auto"/>
              <w:ind w:firstLine="480" w:firstLineChars="200"/>
              <w:rPr>
                <w:sz w:val="24"/>
              </w:rPr>
            </w:pPr>
            <w:r>
              <w:rPr>
                <w:sz w:val="24"/>
              </w:rPr>
              <w:t>2、供电：由市政电网接入，由附近接驳点接入。</w:t>
            </w:r>
          </w:p>
          <w:p>
            <w:pPr>
              <w:autoSpaceDE w:val="0"/>
              <w:autoSpaceDN w:val="0"/>
              <w:adjustRightInd w:val="0"/>
              <w:spacing w:line="360" w:lineRule="auto"/>
              <w:ind w:firstLine="482" w:firstLineChars="200"/>
              <w:rPr>
                <w:b/>
                <w:sz w:val="24"/>
              </w:rPr>
            </w:pPr>
            <w:r>
              <w:rPr>
                <w:b/>
                <w:sz w:val="24"/>
              </w:rPr>
              <w:t>8、劳动定员及工作制度</w:t>
            </w:r>
          </w:p>
          <w:p>
            <w:pPr>
              <w:autoSpaceDE w:val="0"/>
              <w:autoSpaceDN w:val="0"/>
              <w:adjustRightInd w:val="0"/>
              <w:spacing w:line="360" w:lineRule="auto"/>
              <w:ind w:firstLine="480" w:firstLineChars="200"/>
              <w:rPr>
                <w:kern w:val="0"/>
                <w:sz w:val="24"/>
              </w:rPr>
            </w:pPr>
            <w:r>
              <w:rPr>
                <w:sz w:val="24"/>
              </w:rPr>
              <w:t>项目劳动定员为</w:t>
            </w:r>
            <w:r>
              <w:rPr>
                <w:rFonts w:hint="eastAsia"/>
                <w:sz w:val="24"/>
              </w:rPr>
              <w:t>8</w:t>
            </w:r>
            <w:r>
              <w:rPr>
                <w:sz w:val="24"/>
              </w:rPr>
              <w:t>0人，年工作300天，实行</w:t>
            </w:r>
            <w:r>
              <w:rPr>
                <w:rFonts w:hint="eastAsia"/>
                <w:sz w:val="24"/>
              </w:rPr>
              <w:t>一</w:t>
            </w:r>
            <w:r>
              <w:rPr>
                <w:sz w:val="24"/>
              </w:rPr>
              <w:t>班制，每班8小时。</w:t>
            </w:r>
          </w:p>
          <w:p>
            <w:pPr>
              <w:autoSpaceDE w:val="0"/>
              <w:autoSpaceDN w:val="0"/>
              <w:adjustRightInd w:val="0"/>
              <w:spacing w:line="360" w:lineRule="auto"/>
              <w:rPr>
                <w:b/>
                <w:sz w:val="24"/>
              </w:rPr>
            </w:pPr>
            <w:r>
              <w:rPr>
                <w:b/>
                <w:sz w:val="24"/>
              </w:rPr>
              <w:t>四、项目总平面布置</w:t>
            </w:r>
          </w:p>
          <w:p>
            <w:pPr>
              <w:autoSpaceDE w:val="0"/>
              <w:autoSpaceDN w:val="0"/>
              <w:adjustRightInd w:val="0"/>
              <w:spacing w:line="360" w:lineRule="auto"/>
              <w:ind w:firstLine="480" w:firstLineChars="200"/>
              <w:rPr>
                <w:sz w:val="24"/>
              </w:rPr>
            </w:pPr>
            <w:r>
              <w:rPr>
                <w:sz w:val="24"/>
              </w:rPr>
              <w:t>项目位于</w:t>
            </w:r>
            <w:r>
              <w:rPr>
                <w:rFonts w:hint="eastAsia"/>
                <w:sz w:val="24"/>
              </w:rPr>
              <w:t>南昌县小蓝经济技术开发区涟漪路以西、汽车南路以北</w:t>
            </w:r>
            <w:r>
              <w:rPr>
                <w:sz w:val="24"/>
              </w:rPr>
              <w:t>，厂区整体为</w:t>
            </w:r>
            <w:r>
              <w:rPr>
                <w:rFonts w:hint="eastAsia"/>
                <w:sz w:val="24"/>
              </w:rPr>
              <w:t>不规则多边形</w:t>
            </w:r>
            <w:r>
              <w:rPr>
                <w:sz w:val="24"/>
              </w:rPr>
              <w:t>。具体总平面布置见附图2。</w:t>
            </w:r>
          </w:p>
          <w:p>
            <w:pPr>
              <w:autoSpaceDE w:val="0"/>
              <w:autoSpaceDN w:val="0"/>
              <w:adjustRightInd w:val="0"/>
              <w:spacing w:line="360" w:lineRule="auto"/>
              <w:ind w:firstLine="480" w:firstLineChars="200"/>
              <w:rPr>
                <w:sz w:val="24"/>
              </w:rPr>
            </w:pPr>
            <w:r>
              <w:rPr>
                <w:sz w:val="24"/>
              </w:rPr>
              <w:t>项目整个厂区划分为生产区和生活区，位置区分明确。生活区布置在车间西北侧，位于主导风向上风向。项目生产车间按生产工艺流程顺序进行合理布局，做到物顺其流，人行其畅。即物料按生产流程顺序，以最短的路线传递，避免往返交叉。工作人员上岗路线尽量短，不穿岗，避免迂回曲折。最大限度地减少差错和交叉污染。</w:t>
            </w:r>
          </w:p>
          <w:p>
            <w:pPr>
              <w:autoSpaceDE w:val="0"/>
              <w:autoSpaceDN w:val="0"/>
              <w:adjustRightInd w:val="0"/>
              <w:spacing w:line="360" w:lineRule="auto"/>
              <w:ind w:firstLine="480" w:firstLineChars="200"/>
              <w:rPr>
                <w:sz w:val="24"/>
              </w:rPr>
            </w:pPr>
            <w:r>
              <w:rPr>
                <w:sz w:val="24"/>
              </w:rPr>
              <w:t>整个生产车间的平面布置是根据生产工艺流程及其产生的污染物对周围环境的影响来设计的。由上可见，项目布局充分考虑到了项目与周围环境的协调关系，布局合理。</w:t>
            </w:r>
          </w:p>
          <w:p>
            <w:pPr>
              <w:pStyle w:val="2"/>
            </w:pPr>
          </w:p>
          <w:p/>
          <w:p>
            <w:pPr>
              <w:pStyle w:val="2"/>
            </w:pPr>
          </w:p>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56" w:type="dxa"/>
            <w:vAlign w:val="center"/>
          </w:tcPr>
          <w:p>
            <w:pPr>
              <w:pStyle w:val="35"/>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9882" w:type="dxa"/>
          </w:tcPr>
          <w:p>
            <w:pPr>
              <w:spacing w:line="360" w:lineRule="auto"/>
              <w:ind w:firstLine="494" w:firstLineChars="200"/>
              <w:rPr>
                <w:b/>
                <w:spacing w:val="3"/>
                <w:sz w:val="24"/>
              </w:rPr>
            </w:pPr>
            <w:r>
              <w:rPr>
                <w:b/>
                <w:spacing w:val="3"/>
                <w:sz w:val="24"/>
              </w:rPr>
              <w:t>1、施工期</w:t>
            </w:r>
          </w:p>
          <w:p>
            <w:pPr>
              <w:widowControl/>
              <w:spacing w:line="360" w:lineRule="auto"/>
              <w:jc w:val="center"/>
              <w:rPr>
                <w:sz w:val="24"/>
                <w:szCs w:val="20"/>
              </w:rPr>
            </w:pPr>
            <w:r>
              <w:rPr>
                <w:sz w:val="24"/>
                <w:szCs w:val="20"/>
              </w:rPr>
              <w:drawing>
                <wp:inline distT="0" distB="0" distL="0" distR="0">
                  <wp:extent cx="4896485" cy="60007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96485" cy="600075"/>
                          </a:xfrm>
                          <a:prstGeom prst="rect">
                            <a:avLst/>
                          </a:prstGeom>
                          <a:noFill/>
                        </pic:spPr>
                      </pic:pic>
                    </a:graphicData>
                  </a:graphic>
                </wp:inline>
              </w:drawing>
            </w:r>
          </w:p>
          <w:p>
            <w:pPr>
              <w:widowControl/>
              <w:spacing w:line="360" w:lineRule="auto"/>
              <w:jc w:val="center"/>
              <w:rPr>
                <w:sz w:val="24"/>
                <w:szCs w:val="20"/>
              </w:rPr>
            </w:pPr>
            <w:r>
              <w:rPr>
                <w:b/>
                <w:szCs w:val="21"/>
              </w:rPr>
              <w:t>图2-1  施工期工艺流程及产污环节图</w:t>
            </w:r>
          </w:p>
          <w:p>
            <w:pPr>
              <w:widowControl/>
              <w:spacing w:line="360" w:lineRule="auto"/>
              <w:ind w:firstLine="482" w:firstLineChars="200"/>
              <w:rPr>
                <w:b/>
                <w:bCs/>
                <w:sz w:val="24"/>
                <w:szCs w:val="20"/>
              </w:rPr>
            </w:pPr>
            <w:r>
              <w:rPr>
                <w:b/>
                <w:bCs/>
                <w:sz w:val="24"/>
                <w:szCs w:val="20"/>
              </w:rPr>
              <w:t>工序说明：</w:t>
            </w:r>
          </w:p>
          <w:p>
            <w:pPr>
              <w:widowControl/>
              <w:spacing w:line="360" w:lineRule="auto"/>
              <w:ind w:firstLine="480" w:firstLineChars="200"/>
              <w:rPr>
                <w:b/>
                <w:bCs/>
                <w:sz w:val="24"/>
                <w:szCs w:val="20"/>
              </w:rPr>
            </w:pPr>
            <w:r>
              <w:rPr>
                <w:sz w:val="24"/>
                <w:szCs w:val="20"/>
              </w:rPr>
              <w:t>施工期主要有土石方、打桩、结构、砌墙、装修、运输、管道敷设等工程。</w:t>
            </w:r>
          </w:p>
          <w:p>
            <w:pPr>
              <w:widowControl/>
              <w:spacing w:line="360" w:lineRule="auto"/>
              <w:ind w:firstLine="482" w:firstLineChars="200"/>
              <w:rPr>
                <w:b/>
                <w:bCs/>
                <w:sz w:val="24"/>
                <w:szCs w:val="20"/>
              </w:rPr>
            </w:pPr>
            <w:r>
              <w:rPr>
                <w:b/>
                <w:bCs/>
                <w:sz w:val="24"/>
                <w:szCs w:val="20"/>
              </w:rPr>
              <w:t>主要产排污环节：</w:t>
            </w:r>
          </w:p>
          <w:p>
            <w:pPr>
              <w:widowControl/>
              <w:spacing w:line="360" w:lineRule="auto"/>
              <w:ind w:firstLine="482" w:firstLineChars="200"/>
              <w:rPr>
                <w:b/>
                <w:sz w:val="24"/>
                <w:szCs w:val="20"/>
              </w:rPr>
            </w:pPr>
            <w:r>
              <w:rPr>
                <w:b/>
                <w:sz w:val="24"/>
                <w:szCs w:val="20"/>
              </w:rPr>
              <w:t>1、废气</w:t>
            </w:r>
          </w:p>
          <w:p>
            <w:pPr>
              <w:widowControl/>
              <w:spacing w:line="360" w:lineRule="auto"/>
              <w:ind w:firstLine="480" w:firstLineChars="200"/>
              <w:rPr>
                <w:sz w:val="24"/>
                <w:szCs w:val="20"/>
              </w:rPr>
            </w:pPr>
            <w:r>
              <w:rPr>
                <w:sz w:val="24"/>
                <w:szCs w:val="20"/>
              </w:rPr>
              <w:t>施工期大气污染源主要来自建设期间施工扬尘、施工机械及运输车辆尾气、房屋装修的油漆废气。</w:t>
            </w:r>
          </w:p>
          <w:p>
            <w:pPr>
              <w:widowControl/>
              <w:spacing w:line="360" w:lineRule="auto"/>
              <w:ind w:firstLine="482" w:firstLineChars="200"/>
              <w:rPr>
                <w:b/>
                <w:sz w:val="24"/>
                <w:szCs w:val="20"/>
              </w:rPr>
            </w:pPr>
            <w:r>
              <w:rPr>
                <w:b/>
                <w:sz w:val="24"/>
                <w:szCs w:val="20"/>
              </w:rPr>
              <w:t>2、废水</w:t>
            </w:r>
          </w:p>
          <w:p>
            <w:pPr>
              <w:widowControl/>
              <w:spacing w:line="360" w:lineRule="auto"/>
              <w:ind w:firstLine="480" w:firstLineChars="200"/>
              <w:rPr>
                <w:sz w:val="24"/>
                <w:szCs w:val="20"/>
              </w:rPr>
            </w:pPr>
            <w:r>
              <w:rPr>
                <w:sz w:val="24"/>
                <w:szCs w:val="20"/>
              </w:rPr>
              <w:t>项目施工期废水主要来源于施工人员产生的生活污水及施工过程产生大量的泥浆水、施工设备的冲洗废水，上述废水的主要污染因子是SS，一般情况下SS浓度较高。</w:t>
            </w:r>
          </w:p>
          <w:p>
            <w:pPr>
              <w:widowControl/>
              <w:spacing w:line="360" w:lineRule="auto"/>
              <w:ind w:firstLine="482" w:firstLineChars="200"/>
              <w:rPr>
                <w:b/>
                <w:sz w:val="24"/>
                <w:szCs w:val="20"/>
              </w:rPr>
            </w:pPr>
            <w:r>
              <w:rPr>
                <w:b/>
                <w:sz w:val="24"/>
                <w:szCs w:val="20"/>
              </w:rPr>
              <w:t>3、噪声</w:t>
            </w:r>
          </w:p>
          <w:p>
            <w:pPr>
              <w:widowControl/>
              <w:spacing w:line="360" w:lineRule="auto"/>
              <w:ind w:firstLine="480" w:firstLineChars="200"/>
              <w:rPr>
                <w:sz w:val="24"/>
                <w:szCs w:val="20"/>
              </w:rPr>
            </w:pPr>
            <w:r>
              <w:rPr>
                <w:sz w:val="24"/>
                <w:szCs w:val="20"/>
              </w:rPr>
              <w:t>建设期噪声主要来自施工机械噪声、施工作业噪声和运输车辆噪声。施工机械噪声由施工机械所造成，如挖土机械、灌桩机械、升降机、抽水泵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pPr>
              <w:widowControl/>
              <w:spacing w:line="360" w:lineRule="auto"/>
              <w:ind w:firstLine="482" w:firstLineChars="200"/>
              <w:rPr>
                <w:b/>
                <w:sz w:val="24"/>
                <w:szCs w:val="20"/>
              </w:rPr>
            </w:pPr>
            <w:r>
              <w:rPr>
                <w:b/>
                <w:sz w:val="24"/>
                <w:szCs w:val="20"/>
              </w:rPr>
              <w:t>4、固体废弃物</w:t>
            </w:r>
          </w:p>
          <w:p>
            <w:pPr>
              <w:widowControl/>
              <w:spacing w:line="360" w:lineRule="auto"/>
              <w:ind w:firstLine="480" w:firstLineChars="200"/>
              <w:rPr>
                <w:sz w:val="24"/>
                <w:szCs w:val="20"/>
              </w:rPr>
            </w:pPr>
            <w:r>
              <w:rPr>
                <w:sz w:val="24"/>
                <w:szCs w:val="20"/>
              </w:rPr>
              <w:t>施工期固体废物主要由施工建筑垃圾、施工人员产生的生活垃圾组成。</w:t>
            </w:r>
          </w:p>
          <w:p>
            <w:pPr>
              <w:widowControl/>
              <w:spacing w:line="360" w:lineRule="auto"/>
              <w:ind w:firstLine="480" w:firstLineChars="200"/>
              <w:rPr>
                <w:sz w:val="24"/>
                <w:szCs w:val="20"/>
              </w:rPr>
            </w:pPr>
            <w:r>
              <w:rPr>
                <w:sz w:val="24"/>
                <w:szCs w:val="20"/>
              </w:rPr>
              <w:t>在运输各种建筑材料（如砂石、水泥、砖、木材等）过程中以及在工程完成后，会残留不少建筑废料，主要是废钢筋、包装袋、建筑边角料等建筑垃圾。弃土按当地渣土办的要求外运至指定地点堆放。</w:t>
            </w:r>
          </w:p>
          <w:p>
            <w:pPr>
              <w:widowControl/>
              <w:spacing w:line="360" w:lineRule="auto"/>
              <w:ind w:firstLine="480" w:firstLineChars="200"/>
              <w:rPr>
                <w:color w:val="FF0000"/>
                <w:sz w:val="24"/>
                <w:szCs w:val="20"/>
              </w:rPr>
            </w:pPr>
            <w:r>
              <w:rPr>
                <w:sz w:val="24"/>
                <w:szCs w:val="20"/>
              </w:rPr>
              <w:t>施工人员在作业期间产生的生活垃圾，包括果皮、纸屑等。交由环卫部门统一处理。</w:t>
            </w:r>
          </w:p>
          <w:p>
            <w:pPr>
              <w:spacing w:line="360" w:lineRule="auto"/>
              <w:ind w:firstLine="494" w:firstLineChars="200"/>
              <w:rPr>
                <w:b/>
                <w:spacing w:val="3"/>
                <w:sz w:val="24"/>
              </w:rPr>
            </w:pPr>
            <w:r>
              <w:rPr>
                <w:b/>
                <w:spacing w:val="3"/>
                <w:sz w:val="24"/>
              </w:rPr>
              <w:t>2、营运期</w:t>
            </w:r>
          </w:p>
          <w:p>
            <w:pPr>
              <w:widowControl/>
              <w:spacing w:line="360" w:lineRule="auto"/>
              <w:jc w:val="center"/>
              <w:rPr>
                <w:b/>
                <w:color w:val="FF0000"/>
                <w:szCs w:val="21"/>
              </w:rPr>
            </w:pPr>
          </w:p>
          <w:p>
            <w:pPr>
              <w:widowControl/>
              <w:spacing w:line="360" w:lineRule="auto"/>
              <w:jc w:val="center"/>
              <w:rPr>
                <w:b/>
                <w:szCs w:val="21"/>
              </w:rPr>
            </w:pPr>
            <w:r>
              <w:object>
                <v:shape id="_x0000_i1025" o:spt="75" type="#_x0000_t75" style="height:435.75pt;width:442.5pt;" o:ole="t" filled="f" o:preferrelative="t" stroked="f" coordsize="21600,21600">
                  <v:path/>
                  <v:fill on="f" focussize="0,0"/>
                  <v:stroke on="f" joinstyle="miter"/>
                  <v:imagedata r:id="rId16" o:title=""/>
                  <o:lock v:ext="edit" aspectratio="t"/>
                  <w10:wrap type="none"/>
                  <w10:anchorlock/>
                </v:shape>
                <o:OLEObject Type="Embed" ProgID="Visio.Drawing.11" ShapeID="_x0000_i1025" DrawAspect="Content" ObjectID="_1468075725" r:id="rId15">
                  <o:LockedField>false</o:LockedField>
                </o:OLEObject>
              </w:object>
            </w:r>
          </w:p>
          <w:p>
            <w:pPr>
              <w:widowControl/>
              <w:spacing w:line="360" w:lineRule="auto"/>
              <w:jc w:val="center"/>
              <w:rPr>
                <w:b/>
                <w:color w:val="FF0000"/>
                <w:szCs w:val="21"/>
              </w:rPr>
            </w:pPr>
            <w:r>
              <w:rPr>
                <w:b/>
                <w:color w:val="FF0000"/>
                <w:szCs w:val="21"/>
              </w:rPr>
              <w:t>图2-2  营运期工艺流程及产污环节图</w:t>
            </w:r>
          </w:p>
          <w:p>
            <w:pPr>
              <w:spacing w:line="360" w:lineRule="auto"/>
              <w:ind w:firstLine="482" w:firstLineChars="200"/>
              <w:rPr>
                <w:b/>
                <w:sz w:val="24"/>
              </w:rPr>
            </w:pPr>
            <w:r>
              <w:rPr>
                <w:b/>
                <w:sz w:val="24"/>
              </w:rPr>
              <w:t>工艺流程说明：</w:t>
            </w:r>
          </w:p>
          <w:p>
            <w:pPr>
              <w:spacing w:line="360" w:lineRule="auto"/>
              <w:ind w:firstLine="480" w:firstLineChars="200"/>
              <w:rPr>
                <w:sz w:val="24"/>
              </w:rPr>
            </w:pPr>
            <w:r>
              <w:rPr>
                <w:rFonts w:hint="eastAsia"/>
                <w:sz w:val="24"/>
              </w:rPr>
              <w:t>一个完整的波纹管由直管（网管）及连接环组成，各种组分原料均为镀锌钢带。部分产品图示如下：</w:t>
            </w:r>
          </w:p>
          <w:tbl>
            <w:tblPr>
              <w:tblStyle w:val="40"/>
              <w:tblW w:w="0" w:type="auto"/>
              <w:tblInd w:w="0" w:type="dxa"/>
              <w:tblLayout w:type="autofit"/>
              <w:tblCellMar>
                <w:top w:w="0" w:type="dxa"/>
                <w:left w:w="108" w:type="dxa"/>
                <w:bottom w:w="0" w:type="dxa"/>
                <w:right w:w="108" w:type="dxa"/>
              </w:tblCellMar>
            </w:tblPr>
            <w:tblGrid>
              <w:gridCol w:w="4825"/>
              <w:gridCol w:w="4826"/>
            </w:tblGrid>
            <w:tr>
              <w:tblPrEx>
                <w:tblCellMar>
                  <w:top w:w="0" w:type="dxa"/>
                  <w:left w:w="108" w:type="dxa"/>
                  <w:bottom w:w="0" w:type="dxa"/>
                  <w:right w:w="108" w:type="dxa"/>
                </w:tblCellMar>
              </w:tblPrEx>
              <w:tc>
                <w:tcPr>
                  <w:tcW w:w="4825" w:type="dxa"/>
                </w:tcPr>
                <w:p>
                  <w:pPr>
                    <w:jc w:val="center"/>
                    <w:rPr>
                      <w:b/>
                      <w:szCs w:val="21"/>
                    </w:rPr>
                  </w:pPr>
                  <w:r>
                    <w:rPr>
                      <w:b/>
                      <w:szCs w:val="21"/>
                    </w:rPr>
                    <w:drawing>
                      <wp:inline distT="0" distB="0" distL="0" distR="0">
                        <wp:extent cx="2508885" cy="168402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522179" cy="1693245"/>
                                </a:xfrm>
                                <a:prstGeom prst="rect">
                                  <a:avLst/>
                                </a:prstGeom>
                              </pic:spPr>
                            </pic:pic>
                          </a:graphicData>
                        </a:graphic>
                      </wp:inline>
                    </w:drawing>
                  </w:r>
                </w:p>
              </w:tc>
              <w:tc>
                <w:tcPr>
                  <w:tcW w:w="4826" w:type="dxa"/>
                </w:tcPr>
                <w:p>
                  <w:pPr>
                    <w:jc w:val="center"/>
                    <w:rPr>
                      <w:b/>
                      <w:szCs w:val="21"/>
                    </w:rPr>
                  </w:pPr>
                  <w:r>
                    <w:rPr>
                      <w:b/>
                      <w:szCs w:val="21"/>
                    </w:rPr>
                    <w:drawing>
                      <wp:inline distT="0" distB="0" distL="0" distR="0">
                        <wp:extent cx="2572385" cy="16586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579071" cy="1662755"/>
                                </a:xfrm>
                                <a:prstGeom prst="rect">
                                  <a:avLst/>
                                </a:prstGeom>
                              </pic:spPr>
                            </pic:pic>
                          </a:graphicData>
                        </a:graphic>
                      </wp:inline>
                    </w:drawing>
                  </w:r>
                </w:p>
              </w:tc>
            </w:tr>
            <w:tr>
              <w:tblPrEx>
                <w:tblCellMar>
                  <w:top w:w="0" w:type="dxa"/>
                  <w:left w:w="108" w:type="dxa"/>
                  <w:bottom w:w="0" w:type="dxa"/>
                  <w:right w:w="108" w:type="dxa"/>
                </w:tblCellMar>
              </w:tblPrEx>
              <w:tc>
                <w:tcPr>
                  <w:tcW w:w="4825" w:type="dxa"/>
                </w:tcPr>
                <w:p>
                  <w:pPr>
                    <w:jc w:val="center"/>
                    <w:rPr>
                      <w:b/>
                      <w:szCs w:val="21"/>
                    </w:rPr>
                  </w:pPr>
                  <w:r>
                    <w:rPr>
                      <w:rFonts w:hint="eastAsia"/>
                      <w:b/>
                      <w:szCs w:val="21"/>
                    </w:rPr>
                    <w:t>波纹管（网管+连接环）</w:t>
                  </w:r>
                </w:p>
              </w:tc>
              <w:tc>
                <w:tcPr>
                  <w:tcW w:w="4826" w:type="dxa"/>
                </w:tcPr>
                <w:p>
                  <w:pPr>
                    <w:jc w:val="center"/>
                    <w:rPr>
                      <w:b/>
                      <w:szCs w:val="21"/>
                    </w:rPr>
                  </w:pPr>
                  <w:r>
                    <w:rPr>
                      <w:rFonts w:hint="eastAsia"/>
                      <w:b/>
                      <w:szCs w:val="21"/>
                    </w:rPr>
                    <w:t>波纹管（直管+连接环）</w:t>
                  </w:r>
                </w:p>
              </w:tc>
            </w:tr>
          </w:tbl>
          <w:p>
            <w:pPr>
              <w:pStyle w:val="2"/>
              <w:numPr>
                <w:ilvl w:val="0"/>
                <w:numId w:val="4"/>
              </w:numPr>
              <w:spacing w:line="360" w:lineRule="auto"/>
              <w:rPr>
                <w:rFonts w:ascii="Times New Roman" w:cs="Times New Roman"/>
                <w:bCs/>
                <w:color w:val="auto"/>
              </w:rPr>
            </w:pPr>
            <w:r>
              <w:rPr>
                <w:rFonts w:ascii="Times New Roman" w:cs="Times New Roman"/>
                <w:bCs/>
                <w:color w:val="auto"/>
              </w:rPr>
              <w:t>直管制造</w:t>
            </w:r>
          </w:p>
          <w:p>
            <w:pPr>
              <w:pStyle w:val="2"/>
              <w:spacing w:line="360" w:lineRule="auto"/>
              <w:ind w:firstLine="480" w:firstLineChars="200"/>
              <w:rPr>
                <w:rFonts w:ascii="Times New Roman" w:cs="Times New Roman"/>
                <w:color w:val="auto"/>
              </w:rPr>
            </w:pPr>
            <w:r>
              <w:rPr>
                <w:rFonts w:hint="eastAsia" w:ascii="Times New Roman" w:cs="Times New Roman"/>
                <w:color w:val="auto"/>
              </w:rPr>
              <w:t>镀锌钢带经检验、焊接、外管扩喇叭口、套管、点焊、除毛刺、打波、切割、压波后即为直管，直管制造产生污染物为焊接废气及噪声；</w:t>
            </w:r>
          </w:p>
          <w:p>
            <w:pPr>
              <w:pStyle w:val="2"/>
              <w:numPr>
                <w:ilvl w:val="0"/>
                <w:numId w:val="4"/>
              </w:numPr>
              <w:spacing w:line="360" w:lineRule="auto"/>
              <w:rPr>
                <w:rFonts w:ascii="Times New Roman" w:cs="Times New Roman"/>
                <w:color w:val="auto"/>
              </w:rPr>
            </w:pPr>
            <w:r>
              <w:rPr>
                <w:rFonts w:hint="eastAsia" w:ascii="Times New Roman" w:cs="Times New Roman"/>
                <w:color w:val="auto"/>
              </w:rPr>
              <w:t>网管</w:t>
            </w:r>
            <w:r>
              <w:rPr>
                <w:rFonts w:ascii="Times New Roman" w:cs="Times New Roman"/>
                <w:color w:val="auto"/>
              </w:rPr>
              <w:t>制造</w:t>
            </w:r>
          </w:p>
          <w:p>
            <w:pPr>
              <w:pStyle w:val="2"/>
              <w:spacing w:line="360" w:lineRule="auto"/>
              <w:ind w:firstLine="480" w:firstLineChars="200"/>
              <w:rPr>
                <w:rFonts w:ascii="Times New Roman" w:cs="Times New Roman"/>
                <w:color w:val="auto"/>
              </w:rPr>
            </w:pPr>
            <w:r>
              <w:rPr>
                <w:rFonts w:hint="eastAsia" w:ascii="Times New Roman" w:cs="Times New Roman"/>
                <w:color w:val="auto"/>
              </w:rPr>
              <w:t>本项目外购网管进行检验后待组装；</w:t>
            </w:r>
          </w:p>
          <w:p>
            <w:pPr>
              <w:pStyle w:val="2"/>
              <w:numPr>
                <w:ilvl w:val="0"/>
                <w:numId w:val="4"/>
              </w:numPr>
              <w:spacing w:line="360" w:lineRule="auto"/>
              <w:rPr>
                <w:rFonts w:ascii="Times New Roman" w:cs="Times New Roman"/>
                <w:color w:val="auto"/>
              </w:rPr>
            </w:pPr>
            <w:r>
              <w:rPr>
                <w:rFonts w:ascii="Times New Roman" w:cs="Times New Roman"/>
                <w:color w:val="auto"/>
              </w:rPr>
              <w:t>连接环制造</w:t>
            </w:r>
          </w:p>
          <w:p>
            <w:pPr>
              <w:tabs>
                <w:tab w:val="left" w:pos="1725"/>
              </w:tabs>
              <w:spacing w:line="360" w:lineRule="auto"/>
              <w:ind w:firstLine="480" w:firstLineChars="200"/>
              <w:rPr>
                <w:sz w:val="24"/>
              </w:rPr>
            </w:pPr>
            <w:r>
              <w:rPr>
                <w:rFonts w:hint="eastAsia"/>
                <w:sz w:val="24"/>
              </w:rPr>
              <w:t>镀锌钢带</w:t>
            </w:r>
            <w:r>
              <w:rPr>
                <w:sz w:val="24"/>
              </w:rPr>
              <w:t>经压环下料</w:t>
            </w:r>
            <w:r>
              <w:rPr>
                <w:rFonts w:hint="eastAsia"/>
                <w:sz w:val="24"/>
              </w:rPr>
              <w:t>、</w:t>
            </w:r>
            <w:r>
              <w:rPr>
                <w:sz w:val="24"/>
              </w:rPr>
              <w:t>打标志后待组装</w:t>
            </w:r>
            <w:r>
              <w:rPr>
                <w:rFonts w:hint="eastAsia"/>
                <w:sz w:val="24"/>
              </w:rPr>
              <w:t>；</w:t>
            </w:r>
          </w:p>
          <w:p>
            <w:pPr>
              <w:pStyle w:val="2"/>
              <w:numPr>
                <w:ilvl w:val="0"/>
                <w:numId w:val="4"/>
              </w:numPr>
              <w:spacing w:line="360" w:lineRule="auto"/>
              <w:rPr>
                <w:rFonts w:ascii="Times New Roman" w:cs="Times New Roman"/>
                <w:color w:val="auto"/>
              </w:rPr>
            </w:pPr>
            <w:r>
              <w:rPr>
                <w:rFonts w:hint="eastAsia" w:ascii="Times New Roman" w:cs="Times New Roman"/>
                <w:color w:val="auto"/>
              </w:rPr>
              <w:t>成套</w:t>
            </w:r>
            <w:r>
              <w:rPr>
                <w:rFonts w:ascii="Times New Roman" w:cs="Times New Roman"/>
                <w:color w:val="auto"/>
              </w:rPr>
              <w:t>制造</w:t>
            </w:r>
          </w:p>
          <w:p>
            <w:pPr>
              <w:pStyle w:val="2"/>
              <w:spacing w:line="360" w:lineRule="auto"/>
              <w:ind w:firstLine="480" w:firstLineChars="200"/>
              <w:rPr>
                <w:rFonts w:ascii="Times New Roman" w:cs="Times New Roman"/>
                <w:color w:val="auto"/>
              </w:rPr>
            </w:pPr>
            <w:r>
              <w:rPr>
                <w:rFonts w:hint="eastAsia" w:ascii="Times New Roman" w:cs="Times New Roman"/>
                <w:color w:val="auto"/>
              </w:rPr>
              <w:t>网管+连接环或直管+连接环经粗切割、点焊、整形、精切割、打磨、压环抛光、胀管、检验后包装入库。项目仅为简单的机加工，产生污染物为焊接废气、打磨抛光废气等</w:t>
            </w:r>
            <w:r>
              <w:rPr>
                <w:rFonts w:ascii="Times New Roman" w:cs="Times New Roman"/>
                <w:color w:val="auto"/>
              </w:rPr>
              <w:t>。</w:t>
            </w:r>
          </w:p>
          <w:p>
            <w:pPr>
              <w:spacing w:line="360" w:lineRule="auto"/>
              <w:rPr>
                <w:bCs/>
                <w:sz w:val="24"/>
                <w:szCs w:val="20"/>
              </w:rPr>
            </w:pPr>
            <w:r>
              <w:rPr>
                <w:b/>
                <w:sz w:val="28"/>
                <w:szCs w:val="20"/>
              </w:rPr>
              <w:t>主要污染工序</w:t>
            </w:r>
            <w:r>
              <w:rPr>
                <w:sz w:val="28"/>
                <w:szCs w:val="20"/>
              </w:rPr>
              <w:t>：</w:t>
            </w:r>
          </w:p>
          <w:p>
            <w:pPr>
              <w:adjustRightInd w:val="0"/>
              <w:snapToGrid w:val="0"/>
              <w:spacing w:line="360" w:lineRule="auto"/>
              <w:ind w:firstLine="480"/>
              <w:rPr>
                <w:sz w:val="24"/>
                <w:szCs w:val="20"/>
              </w:rPr>
            </w:pPr>
            <w:r>
              <w:rPr>
                <w:sz w:val="24"/>
                <w:szCs w:val="20"/>
              </w:rPr>
              <w:t>项目主要产污环节及产污因子见表2-</w:t>
            </w:r>
            <w:r>
              <w:rPr>
                <w:rFonts w:hint="eastAsia"/>
                <w:sz w:val="24"/>
                <w:szCs w:val="20"/>
              </w:rPr>
              <w:t>5</w:t>
            </w:r>
            <w:r>
              <w:rPr>
                <w:sz w:val="24"/>
                <w:szCs w:val="20"/>
              </w:rPr>
              <w:t>。</w:t>
            </w:r>
          </w:p>
          <w:p>
            <w:pPr>
              <w:adjustRightInd w:val="0"/>
              <w:snapToGrid w:val="0"/>
              <w:ind w:firstLine="480"/>
              <w:jc w:val="center"/>
              <w:rPr>
                <w:b/>
                <w:szCs w:val="21"/>
              </w:rPr>
            </w:pPr>
            <w:r>
              <w:rPr>
                <w:b/>
                <w:szCs w:val="21"/>
              </w:rPr>
              <w:t>表2-</w:t>
            </w:r>
            <w:r>
              <w:rPr>
                <w:rFonts w:hint="eastAsia"/>
                <w:b/>
                <w:szCs w:val="21"/>
              </w:rPr>
              <w:t>5</w:t>
            </w:r>
            <w:r>
              <w:rPr>
                <w:b/>
                <w:szCs w:val="21"/>
              </w:rPr>
              <w:t xml:space="preserve">  主要污染源一览表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7"/>
              <w:gridCol w:w="2913"/>
              <w:gridCol w:w="2548"/>
              <w:gridCol w:w="35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3175" w:type="pct"/>
                  <w:gridSpan w:val="3"/>
                  <w:vAlign w:val="center"/>
                </w:tcPr>
                <w:p>
                  <w:pPr>
                    <w:jc w:val="center"/>
                    <w:rPr>
                      <w:szCs w:val="21"/>
                    </w:rPr>
                  </w:pPr>
                  <w:r>
                    <w:rPr>
                      <w:szCs w:val="21"/>
                    </w:rPr>
                    <w:t>污染物名称</w:t>
                  </w:r>
                </w:p>
              </w:tc>
              <w:tc>
                <w:tcPr>
                  <w:tcW w:w="1825" w:type="pct"/>
                  <w:vAlign w:val="center"/>
                </w:tcPr>
                <w:p>
                  <w:pPr>
                    <w:jc w:val="center"/>
                    <w:rPr>
                      <w:szCs w:val="21"/>
                    </w:rPr>
                  </w:pPr>
                  <w:r>
                    <w:rPr>
                      <w:szCs w:val="21"/>
                    </w:rPr>
                    <w:t>产污环节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350" w:type="pct"/>
                  <w:vMerge w:val="restart"/>
                  <w:vAlign w:val="center"/>
                </w:tcPr>
                <w:p>
                  <w:pPr>
                    <w:jc w:val="center"/>
                    <w:rPr>
                      <w:szCs w:val="21"/>
                    </w:rPr>
                  </w:pPr>
                  <w:r>
                    <w:rPr>
                      <w:szCs w:val="21"/>
                    </w:rPr>
                    <w:t>废</w:t>
                  </w:r>
                </w:p>
                <w:p>
                  <w:pPr>
                    <w:jc w:val="center"/>
                    <w:rPr>
                      <w:szCs w:val="21"/>
                    </w:rPr>
                  </w:pPr>
                  <w:r>
                    <w:rPr>
                      <w:szCs w:val="21"/>
                    </w:rPr>
                    <w:t>气</w:t>
                  </w:r>
                </w:p>
              </w:tc>
              <w:tc>
                <w:tcPr>
                  <w:tcW w:w="1507" w:type="pct"/>
                  <w:vAlign w:val="center"/>
                </w:tcPr>
                <w:p>
                  <w:pPr>
                    <w:jc w:val="center"/>
                    <w:rPr>
                      <w:szCs w:val="21"/>
                    </w:rPr>
                  </w:pPr>
                  <w:r>
                    <w:rPr>
                      <w:rFonts w:hint="eastAsia"/>
                      <w:szCs w:val="21"/>
                    </w:rPr>
                    <w:t>焊接烟尘</w:t>
                  </w:r>
                </w:p>
              </w:tc>
              <w:tc>
                <w:tcPr>
                  <w:tcW w:w="1318" w:type="pct"/>
                  <w:vAlign w:val="center"/>
                </w:tcPr>
                <w:p>
                  <w:pPr>
                    <w:jc w:val="center"/>
                    <w:rPr>
                      <w:snapToGrid w:val="0"/>
                      <w:kern w:val="21"/>
                      <w:szCs w:val="21"/>
                    </w:rPr>
                  </w:pPr>
                  <w:r>
                    <w:rPr>
                      <w:snapToGrid w:val="0"/>
                      <w:kern w:val="21"/>
                      <w:szCs w:val="21"/>
                    </w:rPr>
                    <w:t>颗粒物</w:t>
                  </w:r>
                </w:p>
              </w:tc>
              <w:tc>
                <w:tcPr>
                  <w:tcW w:w="1825" w:type="pct"/>
                  <w:vAlign w:val="center"/>
                </w:tcPr>
                <w:p>
                  <w:pPr>
                    <w:jc w:val="center"/>
                    <w:rPr>
                      <w:szCs w:val="21"/>
                    </w:rPr>
                  </w:pPr>
                  <w:r>
                    <w:rPr>
                      <w:rFonts w:hint="eastAsia"/>
                      <w:szCs w:val="21"/>
                    </w:rPr>
                    <w:t>点焊、焊接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50" w:type="pct"/>
                  <w:vMerge w:val="continue"/>
                  <w:vAlign w:val="center"/>
                </w:tcPr>
                <w:p>
                  <w:pPr>
                    <w:jc w:val="center"/>
                    <w:rPr>
                      <w:szCs w:val="21"/>
                    </w:rPr>
                  </w:pPr>
                </w:p>
              </w:tc>
              <w:tc>
                <w:tcPr>
                  <w:tcW w:w="1507" w:type="pct"/>
                  <w:vAlign w:val="center"/>
                </w:tcPr>
                <w:p>
                  <w:pPr>
                    <w:jc w:val="center"/>
                    <w:rPr>
                      <w:szCs w:val="21"/>
                    </w:rPr>
                  </w:pPr>
                  <w:r>
                    <w:rPr>
                      <w:rFonts w:hint="eastAsia"/>
                      <w:szCs w:val="21"/>
                    </w:rPr>
                    <w:t>打磨抛光</w:t>
                  </w:r>
                  <w:r>
                    <w:rPr>
                      <w:szCs w:val="21"/>
                    </w:rPr>
                    <w:t>粉尘</w:t>
                  </w:r>
                </w:p>
              </w:tc>
              <w:tc>
                <w:tcPr>
                  <w:tcW w:w="1318" w:type="pct"/>
                  <w:vAlign w:val="center"/>
                </w:tcPr>
                <w:p>
                  <w:pPr>
                    <w:jc w:val="center"/>
                    <w:rPr>
                      <w:snapToGrid w:val="0"/>
                      <w:kern w:val="21"/>
                      <w:szCs w:val="21"/>
                    </w:rPr>
                  </w:pPr>
                  <w:r>
                    <w:rPr>
                      <w:snapToGrid w:val="0"/>
                      <w:kern w:val="21"/>
                      <w:szCs w:val="21"/>
                    </w:rPr>
                    <w:t>颗粒物</w:t>
                  </w:r>
                </w:p>
              </w:tc>
              <w:tc>
                <w:tcPr>
                  <w:tcW w:w="1825" w:type="pct"/>
                  <w:vAlign w:val="center"/>
                </w:tcPr>
                <w:p>
                  <w:pPr>
                    <w:jc w:val="center"/>
                    <w:rPr>
                      <w:color w:val="FF0000"/>
                      <w:szCs w:val="21"/>
                    </w:rPr>
                  </w:pPr>
                  <w:r>
                    <w:rPr>
                      <w:rFonts w:hint="eastAsia"/>
                      <w:szCs w:val="21"/>
                    </w:rPr>
                    <w:t>打磨抛光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exact"/>
                <w:jc w:val="center"/>
              </w:trPr>
              <w:tc>
                <w:tcPr>
                  <w:tcW w:w="350" w:type="pct"/>
                  <w:vAlign w:val="center"/>
                </w:tcPr>
                <w:p>
                  <w:pPr>
                    <w:jc w:val="center"/>
                    <w:rPr>
                      <w:szCs w:val="21"/>
                    </w:rPr>
                  </w:pPr>
                  <w:r>
                    <w:rPr>
                      <w:szCs w:val="21"/>
                    </w:rPr>
                    <w:t>废水</w:t>
                  </w:r>
                </w:p>
              </w:tc>
              <w:tc>
                <w:tcPr>
                  <w:tcW w:w="1507" w:type="pct"/>
                  <w:vAlign w:val="center"/>
                </w:tcPr>
                <w:p>
                  <w:pPr>
                    <w:pStyle w:val="360"/>
                    <w:numPr>
                      <w:ilvl w:val="3"/>
                      <w:numId w:val="0"/>
                    </w:numPr>
                    <w:spacing w:before="0" w:after="0" w:line="240" w:lineRule="auto"/>
                    <w:jc w:val="center"/>
                    <w:rPr>
                      <w:rFonts w:ascii="Times New Roman" w:hAnsi="Times New Roman" w:eastAsia="宋体"/>
                      <w:b w:val="0"/>
                      <w:sz w:val="21"/>
                      <w:szCs w:val="21"/>
                    </w:rPr>
                  </w:pPr>
                  <w:r>
                    <w:rPr>
                      <w:rFonts w:ascii="Times New Roman" w:hAnsi="Times New Roman" w:eastAsia="宋体"/>
                      <w:b w:val="0"/>
                      <w:sz w:val="21"/>
                      <w:szCs w:val="21"/>
                    </w:rPr>
                    <w:t>生活污水</w:t>
                  </w:r>
                </w:p>
              </w:tc>
              <w:tc>
                <w:tcPr>
                  <w:tcW w:w="1318" w:type="pct"/>
                  <w:vAlign w:val="center"/>
                </w:tcPr>
                <w:p>
                  <w:pPr>
                    <w:jc w:val="center"/>
                    <w:rPr>
                      <w:szCs w:val="21"/>
                    </w:rPr>
                  </w:pPr>
                  <w:r>
                    <w:rPr>
                      <w:szCs w:val="21"/>
                    </w:rPr>
                    <w:t>CODCr、氨氮、SS等</w:t>
                  </w:r>
                </w:p>
              </w:tc>
              <w:tc>
                <w:tcPr>
                  <w:tcW w:w="1825" w:type="pct"/>
                  <w:vAlign w:val="center"/>
                </w:tcPr>
                <w:p>
                  <w:pPr>
                    <w:jc w:val="center"/>
                    <w:rPr>
                      <w:szCs w:val="21"/>
                    </w:rPr>
                  </w:pPr>
                  <w:r>
                    <w:rPr>
                      <w:szCs w:val="21"/>
                    </w:rPr>
                    <w:t>员工生活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8" w:hRule="exact"/>
                <w:jc w:val="center"/>
              </w:trPr>
              <w:tc>
                <w:tcPr>
                  <w:tcW w:w="350" w:type="pct"/>
                  <w:vMerge w:val="restart"/>
                  <w:vAlign w:val="center"/>
                </w:tcPr>
                <w:p>
                  <w:pPr>
                    <w:jc w:val="center"/>
                    <w:rPr>
                      <w:szCs w:val="21"/>
                    </w:rPr>
                  </w:pPr>
                  <w:r>
                    <w:rPr>
                      <w:szCs w:val="21"/>
                    </w:rPr>
                    <w:t>噪</w:t>
                  </w:r>
                </w:p>
                <w:p>
                  <w:pPr>
                    <w:jc w:val="center"/>
                    <w:rPr>
                      <w:szCs w:val="21"/>
                    </w:rPr>
                  </w:pPr>
                  <w:r>
                    <w:rPr>
                      <w:szCs w:val="21"/>
                    </w:rPr>
                    <w:t>声</w:t>
                  </w:r>
                </w:p>
              </w:tc>
              <w:tc>
                <w:tcPr>
                  <w:tcW w:w="2825" w:type="pct"/>
                  <w:gridSpan w:val="2"/>
                  <w:vAlign w:val="center"/>
                </w:tcPr>
                <w:p>
                  <w:pPr>
                    <w:jc w:val="center"/>
                    <w:rPr>
                      <w:szCs w:val="21"/>
                    </w:rPr>
                  </w:pPr>
                  <w:r>
                    <w:rPr>
                      <w:szCs w:val="21"/>
                    </w:rPr>
                    <w:t>设备噪声</w:t>
                  </w:r>
                </w:p>
              </w:tc>
              <w:tc>
                <w:tcPr>
                  <w:tcW w:w="1825" w:type="pct"/>
                  <w:vAlign w:val="center"/>
                </w:tcPr>
                <w:p>
                  <w:pPr>
                    <w:jc w:val="center"/>
                    <w:rPr>
                      <w:szCs w:val="21"/>
                    </w:rPr>
                  </w:pPr>
                  <w:r>
                    <w:rPr>
                      <w:szCs w:val="21"/>
                    </w:rPr>
                    <w:t>生产设备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exact"/>
                <w:jc w:val="center"/>
              </w:trPr>
              <w:tc>
                <w:tcPr>
                  <w:tcW w:w="350" w:type="pct"/>
                  <w:vMerge w:val="continue"/>
                  <w:vAlign w:val="center"/>
                </w:tcPr>
                <w:p>
                  <w:pPr>
                    <w:jc w:val="center"/>
                    <w:rPr>
                      <w:szCs w:val="21"/>
                    </w:rPr>
                  </w:pPr>
                </w:p>
              </w:tc>
              <w:tc>
                <w:tcPr>
                  <w:tcW w:w="2825" w:type="pct"/>
                  <w:gridSpan w:val="2"/>
                  <w:vAlign w:val="center"/>
                </w:tcPr>
                <w:p>
                  <w:pPr>
                    <w:jc w:val="center"/>
                    <w:rPr>
                      <w:szCs w:val="21"/>
                    </w:rPr>
                  </w:pPr>
                  <w:r>
                    <w:rPr>
                      <w:szCs w:val="21"/>
                    </w:rPr>
                    <w:t>员工生活噪声</w:t>
                  </w:r>
                </w:p>
              </w:tc>
              <w:tc>
                <w:tcPr>
                  <w:tcW w:w="1825" w:type="pct"/>
                  <w:vAlign w:val="center"/>
                </w:tcPr>
                <w:p>
                  <w:pPr>
                    <w:jc w:val="center"/>
                    <w:rPr>
                      <w:szCs w:val="21"/>
                    </w:rPr>
                  </w:pPr>
                  <w:r>
                    <w:rPr>
                      <w:szCs w:val="21"/>
                    </w:rPr>
                    <w:t>员工办公、生活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exact"/>
                <w:jc w:val="center"/>
              </w:trPr>
              <w:tc>
                <w:tcPr>
                  <w:tcW w:w="350" w:type="pct"/>
                  <w:vMerge w:val="restart"/>
                  <w:vAlign w:val="center"/>
                </w:tcPr>
                <w:p>
                  <w:pPr>
                    <w:jc w:val="center"/>
                    <w:rPr>
                      <w:szCs w:val="21"/>
                    </w:rPr>
                  </w:pPr>
                  <w:r>
                    <w:rPr>
                      <w:szCs w:val="21"/>
                    </w:rPr>
                    <w:t>固</w:t>
                  </w:r>
                </w:p>
                <w:p>
                  <w:pPr>
                    <w:jc w:val="center"/>
                    <w:rPr>
                      <w:szCs w:val="21"/>
                    </w:rPr>
                  </w:pPr>
                  <w:r>
                    <w:rPr>
                      <w:szCs w:val="21"/>
                    </w:rPr>
                    <w:t>体</w:t>
                  </w:r>
                </w:p>
                <w:p>
                  <w:pPr>
                    <w:jc w:val="center"/>
                    <w:rPr>
                      <w:szCs w:val="21"/>
                    </w:rPr>
                  </w:pPr>
                  <w:r>
                    <w:rPr>
                      <w:szCs w:val="21"/>
                    </w:rPr>
                    <w:t>废</w:t>
                  </w:r>
                </w:p>
                <w:p>
                  <w:pPr>
                    <w:jc w:val="center"/>
                    <w:rPr>
                      <w:color w:val="FF0000"/>
                      <w:szCs w:val="21"/>
                    </w:rPr>
                  </w:pPr>
                  <w:r>
                    <w:rPr>
                      <w:szCs w:val="21"/>
                    </w:rPr>
                    <w:t>物</w:t>
                  </w:r>
                </w:p>
              </w:tc>
              <w:tc>
                <w:tcPr>
                  <w:tcW w:w="2825" w:type="pct"/>
                  <w:gridSpan w:val="2"/>
                  <w:vAlign w:val="center"/>
                </w:tcPr>
                <w:p>
                  <w:pPr>
                    <w:jc w:val="center"/>
                    <w:rPr>
                      <w:szCs w:val="21"/>
                    </w:rPr>
                  </w:pPr>
                  <w:r>
                    <w:rPr>
                      <w:szCs w:val="21"/>
                    </w:rPr>
                    <w:t>钢</w:t>
                  </w:r>
                  <w:r>
                    <w:rPr>
                      <w:rFonts w:hint="eastAsia"/>
                      <w:szCs w:val="21"/>
                    </w:rPr>
                    <w:t>带</w:t>
                  </w:r>
                  <w:r>
                    <w:rPr>
                      <w:szCs w:val="21"/>
                    </w:rPr>
                    <w:t>边角料</w:t>
                  </w:r>
                </w:p>
              </w:tc>
              <w:tc>
                <w:tcPr>
                  <w:tcW w:w="1825" w:type="pct"/>
                  <w:vAlign w:val="center"/>
                </w:tcPr>
                <w:p>
                  <w:pPr>
                    <w:jc w:val="center"/>
                    <w:rPr>
                      <w:szCs w:val="21"/>
                    </w:rPr>
                  </w:pPr>
                  <w:r>
                    <w:rPr>
                      <w:szCs w:val="21"/>
                    </w:rPr>
                    <w:t>钢带切割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exact"/>
                <w:jc w:val="center"/>
              </w:trPr>
              <w:tc>
                <w:tcPr>
                  <w:tcW w:w="350" w:type="pct"/>
                  <w:vMerge w:val="continue"/>
                  <w:vAlign w:val="center"/>
                </w:tcPr>
                <w:p>
                  <w:pPr>
                    <w:jc w:val="center"/>
                    <w:rPr>
                      <w:szCs w:val="21"/>
                    </w:rPr>
                  </w:pPr>
                </w:p>
              </w:tc>
              <w:tc>
                <w:tcPr>
                  <w:tcW w:w="2825" w:type="pct"/>
                  <w:gridSpan w:val="2"/>
                  <w:vAlign w:val="center"/>
                </w:tcPr>
                <w:p>
                  <w:pPr>
                    <w:jc w:val="center"/>
                    <w:rPr>
                      <w:szCs w:val="21"/>
                    </w:rPr>
                  </w:pPr>
                  <w:r>
                    <w:rPr>
                      <w:szCs w:val="21"/>
                    </w:rPr>
                    <w:t>焊接废料</w:t>
                  </w:r>
                </w:p>
              </w:tc>
              <w:tc>
                <w:tcPr>
                  <w:tcW w:w="1825" w:type="pct"/>
                  <w:vAlign w:val="center"/>
                </w:tcPr>
                <w:p>
                  <w:pPr>
                    <w:jc w:val="center"/>
                    <w:rPr>
                      <w:szCs w:val="21"/>
                    </w:rPr>
                  </w:pPr>
                  <w:r>
                    <w:rPr>
                      <w:szCs w:val="21"/>
                    </w:rPr>
                    <w:t>焊接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exact"/>
                <w:jc w:val="center"/>
              </w:trPr>
              <w:tc>
                <w:tcPr>
                  <w:tcW w:w="350" w:type="pct"/>
                  <w:vMerge w:val="continue"/>
                  <w:vAlign w:val="center"/>
                </w:tcPr>
                <w:p>
                  <w:pPr>
                    <w:jc w:val="center"/>
                    <w:rPr>
                      <w:color w:val="FF0000"/>
                      <w:szCs w:val="21"/>
                    </w:rPr>
                  </w:pPr>
                </w:p>
              </w:tc>
              <w:tc>
                <w:tcPr>
                  <w:tcW w:w="2825" w:type="pct"/>
                  <w:gridSpan w:val="2"/>
                  <w:vAlign w:val="center"/>
                </w:tcPr>
                <w:p>
                  <w:pPr>
                    <w:jc w:val="center"/>
                    <w:rPr>
                      <w:szCs w:val="21"/>
                    </w:rPr>
                  </w:pPr>
                  <w:r>
                    <w:rPr>
                      <w:szCs w:val="21"/>
                    </w:rPr>
                    <w:t>残次品</w:t>
                  </w:r>
                </w:p>
              </w:tc>
              <w:tc>
                <w:tcPr>
                  <w:tcW w:w="1825" w:type="pct"/>
                  <w:vAlign w:val="center"/>
                </w:tcPr>
                <w:p>
                  <w:pPr>
                    <w:jc w:val="center"/>
                    <w:rPr>
                      <w:szCs w:val="21"/>
                    </w:rPr>
                  </w:pPr>
                  <w:r>
                    <w:rPr>
                      <w:szCs w:val="21"/>
                    </w:rPr>
                    <w:t>检验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exact"/>
                <w:jc w:val="center"/>
              </w:trPr>
              <w:tc>
                <w:tcPr>
                  <w:tcW w:w="350" w:type="pct"/>
                  <w:vMerge w:val="continue"/>
                  <w:vAlign w:val="center"/>
                </w:tcPr>
                <w:p>
                  <w:pPr>
                    <w:jc w:val="center"/>
                    <w:rPr>
                      <w:color w:val="FF0000"/>
                      <w:szCs w:val="21"/>
                    </w:rPr>
                  </w:pPr>
                </w:p>
              </w:tc>
              <w:tc>
                <w:tcPr>
                  <w:tcW w:w="2825" w:type="pct"/>
                  <w:gridSpan w:val="2"/>
                  <w:vAlign w:val="center"/>
                </w:tcPr>
                <w:p>
                  <w:pPr>
                    <w:jc w:val="center"/>
                    <w:rPr>
                      <w:szCs w:val="21"/>
                    </w:rPr>
                  </w:pPr>
                  <w:r>
                    <w:rPr>
                      <w:szCs w:val="21"/>
                    </w:rPr>
                    <w:t>布袋除尘灰</w:t>
                  </w:r>
                </w:p>
              </w:tc>
              <w:tc>
                <w:tcPr>
                  <w:tcW w:w="1825" w:type="pct"/>
                  <w:vAlign w:val="center"/>
                </w:tcPr>
                <w:p>
                  <w:pPr>
                    <w:jc w:val="center"/>
                    <w:rPr>
                      <w:szCs w:val="21"/>
                    </w:rPr>
                  </w:pPr>
                  <w:r>
                    <w:rPr>
                      <w:rFonts w:hint="eastAsia"/>
                      <w:szCs w:val="21"/>
                    </w:rPr>
                    <w:t>布袋除尘器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1" w:hRule="exact"/>
                <w:jc w:val="center"/>
              </w:trPr>
              <w:tc>
                <w:tcPr>
                  <w:tcW w:w="350" w:type="pct"/>
                  <w:vMerge w:val="continue"/>
                  <w:vAlign w:val="center"/>
                </w:tcPr>
                <w:p>
                  <w:pPr>
                    <w:jc w:val="center"/>
                    <w:rPr>
                      <w:color w:val="FF0000"/>
                      <w:szCs w:val="21"/>
                    </w:rPr>
                  </w:pPr>
                </w:p>
              </w:tc>
              <w:tc>
                <w:tcPr>
                  <w:tcW w:w="2825" w:type="pct"/>
                  <w:gridSpan w:val="2"/>
                  <w:vAlign w:val="center"/>
                </w:tcPr>
                <w:p>
                  <w:pPr>
                    <w:jc w:val="center"/>
                    <w:rPr>
                      <w:szCs w:val="21"/>
                    </w:rPr>
                  </w:pPr>
                  <w:r>
                    <w:rPr>
                      <w:szCs w:val="21"/>
                    </w:rPr>
                    <w:t>废</w:t>
                  </w:r>
                  <w:r>
                    <w:rPr>
                      <w:rFonts w:hint="eastAsia"/>
                      <w:szCs w:val="21"/>
                    </w:rPr>
                    <w:t>切削液</w:t>
                  </w:r>
                </w:p>
              </w:tc>
              <w:tc>
                <w:tcPr>
                  <w:tcW w:w="1825" w:type="pct"/>
                  <w:vAlign w:val="center"/>
                </w:tcPr>
                <w:p>
                  <w:pPr>
                    <w:jc w:val="center"/>
                    <w:rPr>
                      <w:szCs w:val="21"/>
                    </w:rPr>
                  </w:pPr>
                  <w:r>
                    <w:rPr>
                      <w:rFonts w:hint="eastAsia"/>
                      <w:szCs w:val="21"/>
                    </w:rPr>
                    <w:t>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exact"/>
                <w:jc w:val="center"/>
              </w:trPr>
              <w:tc>
                <w:tcPr>
                  <w:tcW w:w="350" w:type="pct"/>
                  <w:vMerge w:val="continue"/>
                  <w:vAlign w:val="center"/>
                </w:tcPr>
                <w:p>
                  <w:pPr>
                    <w:jc w:val="center"/>
                    <w:rPr>
                      <w:color w:val="FF0000"/>
                      <w:szCs w:val="21"/>
                    </w:rPr>
                  </w:pPr>
                </w:p>
              </w:tc>
              <w:tc>
                <w:tcPr>
                  <w:tcW w:w="2825" w:type="pct"/>
                  <w:gridSpan w:val="2"/>
                  <w:vAlign w:val="center"/>
                </w:tcPr>
                <w:p>
                  <w:pPr>
                    <w:jc w:val="center"/>
                    <w:rPr>
                      <w:szCs w:val="21"/>
                    </w:rPr>
                  </w:pPr>
                  <w:r>
                    <w:rPr>
                      <w:szCs w:val="21"/>
                    </w:rPr>
                    <w:t>生活垃圾</w:t>
                  </w:r>
                </w:p>
              </w:tc>
              <w:tc>
                <w:tcPr>
                  <w:tcW w:w="1825" w:type="pct"/>
                  <w:vAlign w:val="center"/>
                </w:tcPr>
                <w:p>
                  <w:pPr>
                    <w:jc w:val="center"/>
                    <w:rPr>
                      <w:szCs w:val="21"/>
                    </w:rPr>
                  </w:pPr>
                  <w:r>
                    <w:rPr>
                      <w:szCs w:val="21"/>
                    </w:rPr>
                    <w:t>员工生活</w:t>
                  </w:r>
                </w:p>
              </w:tc>
            </w:tr>
          </w:tbl>
          <w:p>
            <w:pPr>
              <w:adjustRightInd w:val="0"/>
              <w:snapToGrid w:val="0"/>
              <w:rPr>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vAlign w:val="center"/>
          </w:tcPr>
          <w:p>
            <w:pPr>
              <w:pStyle w:val="35"/>
              <w:adjustRightInd w:val="0"/>
              <w:snapToGrid w:val="0"/>
              <w:spacing w:before="0" w:beforeAutospacing="0" w:after="0" w:afterAutospacing="0" w:line="260" w:lineRule="exact"/>
              <w:jc w:val="center"/>
              <w:rPr>
                <w:rFonts w:ascii="Times New Roman" w:hAnsi="Times New Roman"/>
                <w:szCs w:val="24"/>
              </w:rPr>
            </w:pPr>
            <w:r>
              <w:rPr>
                <w:rFonts w:ascii="Times New Roman" w:hAnsi="Times New Roman"/>
                <w:bCs/>
                <w:kern w:val="2"/>
                <w:szCs w:val="24"/>
              </w:rPr>
              <w:t>与项目有关的原有环境污染问题</w:t>
            </w:r>
          </w:p>
        </w:tc>
        <w:tc>
          <w:tcPr>
            <w:tcW w:w="9882" w:type="dxa"/>
          </w:tcPr>
          <w:p>
            <w:pPr>
              <w:pStyle w:val="2"/>
              <w:spacing w:line="360" w:lineRule="auto"/>
              <w:ind w:left="480"/>
              <w:rPr>
                <w:rFonts w:ascii="Times New Roman" w:cs="Times New Roman"/>
                <w:color w:val="auto"/>
              </w:rPr>
            </w:pPr>
            <w:r>
              <w:rPr>
                <w:rFonts w:ascii="Times New Roman" w:cs="Times New Roman"/>
                <w:color w:val="auto"/>
              </w:rPr>
              <w:t>本项目为新建项目，不存在与项目有关的原有污染情况。</w:t>
            </w: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p>
            <w:pPr>
              <w:autoSpaceDE w:val="0"/>
              <w:autoSpaceDN w:val="0"/>
              <w:adjustRightInd w:val="0"/>
              <w:spacing w:line="360" w:lineRule="auto"/>
              <w:rPr>
                <w:bCs/>
                <w:color w:val="FF0000"/>
                <w:szCs w:val="21"/>
              </w:rPr>
            </w:pPr>
          </w:p>
        </w:tc>
      </w:tr>
    </w:tbl>
    <w:p>
      <w:pPr>
        <w:pStyle w:val="35"/>
        <w:jc w:val="center"/>
        <w:rPr>
          <w:rFonts w:ascii="Times New Roman" w:hAnsi="Times New Roman"/>
          <w:snapToGrid w:val="0"/>
          <w:color w:val="FF0000"/>
          <w:sz w:val="36"/>
          <w:szCs w:val="36"/>
        </w:rPr>
        <w:sectPr>
          <w:pgSz w:w="11906" w:h="16838"/>
          <w:pgMar w:top="1701" w:right="1531" w:bottom="1701" w:left="1531" w:header="851" w:footer="851" w:gutter="0"/>
          <w:cols w:space="720" w:num="1"/>
          <w:docGrid w:linePitch="312" w:charSpace="0"/>
        </w:sectPr>
      </w:pPr>
    </w:p>
    <w:p>
      <w:pPr>
        <w:pStyle w:val="35"/>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40"/>
        <w:tblW w:w="103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95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9" w:type="dxa"/>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adjustRightInd w:val="0"/>
              <w:snapToGrid w:val="0"/>
              <w:jc w:val="center"/>
              <w:rPr>
                <w:color w:val="FF0000"/>
                <w:kern w:val="0"/>
                <w:szCs w:val="21"/>
              </w:rPr>
            </w:pPr>
            <w:r>
              <w:rPr>
                <w:kern w:val="0"/>
                <w:sz w:val="24"/>
              </w:rPr>
              <w:t>现状</w:t>
            </w:r>
          </w:p>
        </w:tc>
        <w:tc>
          <w:tcPr>
            <w:tcW w:w="9559" w:type="dxa"/>
            <w:vAlign w:val="center"/>
          </w:tcPr>
          <w:p>
            <w:pPr>
              <w:spacing w:line="360" w:lineRule="auto"/>
              <w:ind w:firstLine="482" w:firstLineChars="200"/>
              <w:jc w:val="left"/>
              <w:rPr>
                <w:b/>
                <w:sz w:val="24"/>
                <w:szCs w:val="28"/>
              </w:rPr>
            </w:pPr>
            <w:r>
              <w:rPr>
                <w:b/>
                <w:sz w:val="24"/>
                <w:szCs w:val="28"/>
              </w:rPr>
              <w:t>1、环境空气</w:t>
            </w:r>
          </w:p>
          <w:p>
            <w:pPr>
              <w:autoSpaceDE w:val="0"/>
              <w:autoSpaceDN w:val="0"/>
              <w:adjustRightInd w:val="0"/>
              <w:snapToGrid w:val="0"/>
              <w:spacing w:line="360" w:lineRule="auto"/>
              <w:ind w:firstLine="480" w:firstLineChars="200"/>
              <w:rPr>
                <w:spacing w:val="-1"/>
              </w:rPr>
            </w:pPr>
            <w:r>
              <w:rPr>
                <w:sz w:val="24"/>
              </w:rPr>
              <w:t>为了了解项目所在地的环境质量达标状况，根据江西省生态环境厅公布的《2020年江西省各县（市、区）六项污染物浓度年均值》。</w:t>
            </w:r>
          </w:p>
          <w:p>
            <w:pPr>
              <w:numPr>
                <w:ilvl w:val="0"/>
                <w:numId w:val="5"/>
              </w:numPr>
              <w:spacing w:before="120" w:beforeLines="50" w:after="60" w:afterLines="25"/>
              <w:jc w:val="center"/>
              <w:rPr>
                <w:b/>
                <w:kern w:val="0"/>
                <w:szCs w:val="21"/>
              </w:rPr>
            </w:pPr>
            <w:r>
              <w:rPr>
                <w:b/>
                <w:kern w:val="0"/>
                <w:szCs w:val="21"/>
              </w:rPr>
              <w:t>2020年南昌县六项污染物浓度年均值  （单位：μg/m</w:t>
            </w:r>
            <w:r>
              <w:rPr>
                <w:b/>
                <w:kern w:val="0"/>
                <w:szCs w:val="21"/>
                <w:vertAlign w:val="superscript"/>
              </w:rPr>
              <w:t>3</w:t>
            </w:r>
            <w:r>
              <w:rPr>
                <w:b/>
                <w:kern w:val="0"/>
                <w:szCs w:val="21"/>
              </w:rPr>
              <w:t>）</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796"/>
              <w:gridCol w:w="2118"/>
              <w:gridCol w:w="1749"/>
              <w:gridCol w:w="1749"/>
              <w:gridCol w:w="951"/>
              <w:gridCol w:w="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05" w:type="pct"/>
                  <w:vAlign w:val="center"/>
                </w:tcPr>
                <w:p>
                  <w:pPr>
                    <w:widowControl/>
                    <w:snapToGrid w:val="0"/>
                    <w:jc w:val="center"/>
                    <w:rPr>
                      <w:b/>
                      <w:szCs w:val="21"/>
                    </w:rPr>
                  </w:pPr>
                  <w:r>
                    <w:rPr>
                      <w:b/>
                      <w:szCs w:val="21"/>
                    </w:rPr>
                    <w:t>城市名称</w:t>
                  </w:r>
                </w:p>
              </w:tc>
              <w:tc>
                <w:tcPr>
                  <w:tcW w:w="426" w:type="pct"/>
                  <w:vAlign w:val="center"/>
                </w:tcPr>
                <w:p>
                  <w:pPr>
                    <w:widowControl/>
                    <w:snapToGrid w:val="0"/>
                    <w:jc w:val="center"/>
                    <w:rPr>
                      <w:b/>
                      <w:szCs w:val="21"/>
                    </w:rPr>
                  </w:pPr>
                  <w:r>
                    <w:rPr>
                      <w:b/>
                      <w:szCs w:val="21"/>
                    </w:rPr>
                    <w:t>污染物</w:t>
                  </w:r>
                </w:p>
              </w:tc>
              <w:tc>
                <w:tcPr>
                  <w:tcW w:w="1133" w:type="pct"/>
                  <w:vAlign w:val="center"/>
                </w:tcPr>
                <w:p>
                  <w:pPr>
                    <w:widowControl/>
                    <w:snapToGrid w:val="0"/>
                    <w:jc w:val="center"/>
                    <w:rPr>
                      <w:b/>
                      <w:szCs w:val="21"/>
                    </w:rPr>
                  </w:pPr>
                  <w:r>
                    <w:rPr>
                      <w:b/>
                      <w:szCs w:val="21"/>
                    </w:rPr>
                    <w:t>年评价指标</w:t>
                  </w:r>
                </w:p>
              </w:tc>
              <w:tc>
                <w:tcPr>
                  <w:tcW w:w="936" w:type="pct"/>
                  <w:vAlign w:val="center"/>
                </w:tcPr>
                <w:p>
                  <w:pPr>
                    <w:widowControl/>
                    <w:snapToGrid w:val="0"/>
                    <w:jc w:val="center"/>
                    <w:rPr>
                      <w:b/>
                      <w:szCs w:val="21"/>
                    </w:rPr>
                  </w:pPr>
                  <w:r>
                    <w:rPr>
                      <w:b/>
                      <w:szCs w:val="21"/>
                    </w:rPr>
                    <w:t>评价标准/（</w:t>
                  </w:r>
                  <w:r>
                    <w:rPr>
                      <w:b/>
                      <w:szCs w:val="21"/>
                      <w:shd w:val="clear" w:color="auto" w:fill="FFFFFF"/>
                    </w:rPr>
                    <w:t>μ</w:t>
                  </w:r>
                  <w:r>
                    <w:rPr>
                      <w:b/>
                      <w:szCs w:val="21"/>
                    </w:rPr>
                    <w:t>g/m</w:t>
                  </w:r>
                  <w:r>
                    <w:rPr>
                      <w:b/>
                      <w:szCs w:val="21"/>
                      <w:vertAlign w:val="superscript"/>
                    </w:rPr>
                    <w:t>3</w:t>
                  </w:r>
                  <w:r>
                    <w:rPr>
                      <w:b/>
                      <w:szCs w:val="21"/>
                    </w:rPr>
                    <w:t>）</w:t>
                  </w:r>
                </w:p>
              </w:tc>
              <w:tc>
                <w:tcPr>
                  <w:tcW w:w="936" w:type="pct"/>
                  <w:vAlign w:val="center"/>
                </w:tcPr>
                <w:p>
                  <w:pPr>
                    <w:widowControl/>
                    <w:snapToGrid w:val="0"/>
                    <w:jc w:val="center"/>
                    <w:rPr>
                      <w:b/>
                      <w:szCs w:val="21"/>
                    </w:rPr>
                  </w:pPr>
                  <w:r>
                    <w:rPr>
                      <w:b/>
                      <w:szCs w:val="21"/>
                    </w:rPr>
                    <w:t>现状浓度/（</w:t>
                  </w:r>
                  <w:r>
                    <w:rPr>
                      <w:b/>
                      <w:szCs w:val="21"/>
                      <w:shd w:val="clear" w:color="auto" w:fill="FFFFFF"/>
                    </w:rPr>
                    <w:t>μ</w:t>
                  </w:r>
                  <w:r>
                    <w:rPr>
                      <w:b/>
                      <w:szCs w:val="21"/>
                    </w:rPr>
                    <w:t>g/m</w:t>
                  </w:r>
                  <w:r>
                    <w:rPr>
                      <w:b/>
                      <w:szCs w:val="21"/>
                      <w:vertAlign w:val="superscript"/>
                    </w:rPr>
                    <w:t>3</w:t>
                  </w:r>
                  <w:r>
                    <w:rPr>
                      <w:b/>
                      <w:szCs w:val="21"/>
                    </w:rPr>
                    <w:t>）</w:t>
                  </w:r>
                </w:p>
              </w:tc>
              <w:tc>
                <w:tcPr>
                  <w:tcW w:w="509" w:type="pct"/>
                  <w:vAlign w:val="center"/>
                </w:tcPr>
                <w:p>
                  <w:pPr>
                    <w:widowControl/>
                    <w:snapToGrid w:val="0"/>
                    <w:jc w:val="center"/>
                    <w:rPr>
                      <w:b/>
                      <w:szCs w:val="21"/>
                    </w:rPr>
                  </w:pPr>
                  <w:r>
                    <w:rPr>
                      <w:b/>
                      <w:szCs w:val="21"/>
                    </w:rPr>
                    <w:t>占标率/%</w:t>
                  </w:r>
                </w:p>
              </w:tc>
              <w:tc>
                <w:tcPr>
                  <w:tcW w:w="454" w:type="pct"/>
                  <w:vAlign w:val="center"/>
                </w:tcPr>
                <w:p>
                  <w:pPr>
                    <w:widowControl/>
                    <w:snapToGrid w:val="0"/>
                    <w:jc w:val="center"/>
                    <w:rPr>
                      <w:b/>
                      <w:szCs w:val="21"/>
                    </w:rPr>
                  </w:pPr>
                  <w:r>
                    <w:rPr>
                      <w:b/>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restart"/>
                  <w:vAlign w:val="center"/>
                </w:tcPr>
                <w:p>
                  <w:pPr>
                    <w:widowControl/>
                    <w:snapToGrid w:val="0"/>
                    <w:jc w:val="center"/>
                    <w:rPr>
                      <w:szCs w:val="21"/>
                    </w:rPr>
                  </w:pPr>
                  <w:r>
                    <w:rPr>
                      <w:szCs w:val="21"/>
                    </w:rPr>
                    <w:t>南昌市南昌</w:t>
                  </w:r>
                </w:p>
              </w:tc>
              <w:tc>
                <w:tcPr>
                  <w:tcW w:w="426" w:type="pct"/>
                  <w:vAlign w:val="center"/>
                </w:tcPr>
                <w:p>
                  <w:pPr>
                    <w:snapToGrid w:val="0"/>
                    <w:jc w:val="center"/>
                    <w:rPr>
                      <w:szCs w:val="21"/>
                    </w:rPr>
                  </w:pPr>
                  <w:r>
                    <w:rPr>
                      <w:szCs w:val="21"/>
                    </w:rPr>
                    <w:t>SO</w:t>
                  </w:r>
                  <w:r>
                    <w:rPr>
                      <w:szCs w:val="21"/>
                      <w:vertAlign w:val="subscript"/>
                    </w:rPr>
                    <w:t>2</w:t>
                  </w:r>
                </w:p>
              </w:tc>
              <w:tc>
                <w:tcPr>
                  <w:tcW w:w="1133" w:type="pct"/>
                  <w:vAlign w:val="center"/>
                </w:tcPr>
                <w:p>
                  <w:pPr>
                    <w:widowControl/>
                    <w:snapToGrid w:val="0"/>
                    <w:jc w:val="center"/>
                    <w:rPr>
                      <w:szCs w:val="21"/>
                    </w:rPr>
                  </w:pPr>
                  <w:r>
                    <w:rPr>
                      <w:szCs w:val="21"/>
                    </w:rPr>
                    <w:t>年平均质量浓度</w:t>
                  </w:r>
                </w:p>
              </w:tc>
              <w:tc>
                <w:tcPr>
                  <w:tcW w:w="936" w:type="pct"/>
                  <w:vAlign w:val="center"/>
                </w:tcPr>
                <w:p>
                  <w:pPr>
                    <w:widowControl/>
                    <w:snapToGrid w:val="0"/>
                    <w:jc w:val="center"/>
                    <w:rPr>
                      <w:szCs w:val="21"/>
                    </w:rPr>
                  </w:pPr>
                  <w:r>
                    <w:rPr>
                      <w:szCs w:val="21"/>
                    </w:rPr>
                    <w:t>60</w:t>
                  </w:r>
                </w:p>
              </w:tc>
              <w:tc>
                <w:tcPr>
                  <w:tcW w:w="936" w:type="pct"/>
                  <w:vAlign w:val="center"/>
                </w:tcPr>
                <w:p>
                  <w:pPr>
                    <w:widowControl/>
                    <w:snapToGrid w:val="0"/>
                    <w:jc w:val="center"/>
                    <w:rPr>
                      <w:szCs w:val="21"/>
                    </w:rPr>
                  </w:pPr>
                  <w:r>
                    <w:rPr>
                      <w:szCs w:val="21"/>
                      <w:shd w:val="clear" w:color="auto" w:fill="FFFFFF"/>
                    </w:rPr>
                    <w:t>14</w:t>
                  </w:r>
                </w:p>
              </w:tc>
              <w:tc>
                <w:tcPr>
                  <w:tcW w:w="509" w:type="pct"/>
                  <w:vAlign w:val="center"/>
                </w:tcPr>
                <w:p>
                  <w:pPr>
                    <w:jc w:val="center"/>
                    <w:rPr>
                      <w:szCs w:val="21"/>
                    </w:rPr>
                  </w:pPr>
                  <w:r>
                    <w:rPr>
                      <w:rFonts w:hint="eastAsia"/>
                      <w:szCs w:val="21"/>
                    </w:rPr>
                    <w:t>23.33</w:t>
                  </w:r>
                </w:p>
              </w:tc>
              <w:tc>
                <w:tcPr>
                  <w:tcW w:w="454" w:type="pct"/>
                  <w:vAlign w:val="center"/>
                </w:tcPr>
                <w:p>
                  <w:pPr>
                    <w:widowControl/>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vAlign w:val="center"/>
                </w:tcPr>
                <w:p>
                  <w:pPr>
                    <w:widowControl/>
                    <w:snapToGrid w:val="0"/>
                    <w:jc w:val="center"/>
                    <w:rPr>
                      <w:szCs w:val="21"/>
                    </w:rPr>
                  </w:pPr>
                </w:p>
              </w:tc>
              <w:tc>
                <w:tcPr>
                  <w:tcW w:w="426" w:type="pct"/>
                  <w:vAlign w:val="center"/>
                </w:tcPr>
                <w:p>
                  <w:pPr>
                    <w:snapToGrid w:val="0"/>
                    <w:jc w:val="center"/>
                    <w:rPr>
                      <w:szCs w:val="21"/>
                    </w:rPr>
                  </w:pPr>
                  <w:r>
                    <w:rPr>
                      <w:szCs w:val="21"/>
                    </w:rPr>
                    <w:t>NO</w:t>
                  </w:r>
                  <w:r>
                    <w:rPr>
                      <w:szCs w:val="21"/>
                      <w:vertAlign w:val="subscript"/>
                    </w:rPr>
                    <w:t>2</w:t>
                  </w:r>
                </w:p>
              </w:tc>
              <w:tc>
                <w:tcPr>
                  <w:tcW w:w="1133" w:type="pct"/>
                  <w:vAlign w:val="center"/>
                </w:tcPr>
                <w:p>
                  <w:pPr>
                    <w:widowControl/>
                    <w:snapToGrid w:val="0"/>
                    <w:jc w:val="center"/>
                    <w:rPr>
                      <w:szCs w:val="21"/>
                    </w:rPr>
                  </w:pPr>
                  <w:r>
                    <w:rPr>
                      <w:szCs w:val="21"/>
                    </w:rPr>
                    <w:t>年平均质量浓度</w:t>
                  </w:r>
                </w:p>
              </w:tc>
              <w:tc>
                <w:tcPr>
                  <w:tcW w:w="936" w:type="pct"/>
                  <w:vAlign w:val="center"/>
                </w:tcPr>
                <w:p>
                  <w:pPr>
                    <w:widowControl/>
                    <w:snapToGrid w:val="0"/>
                    <w:jc w:val="center"/>
                    <w:rPr>
                      <w:szCs w:val="21"/>
                    </w:rPr>
                  </w:pPr>
                  <w:r>
                    <w:rPr>
                      <w:szCs w:val="21"/>
                    </w:rPr>
                    <w:t>40</w:t>
                  </w:r>
                </w:p>
              </w:tc>
              <w:tc>
                <w:tcPr>
                  <w:tcW w:w="936" w:type="pct"/>
                  <w:vAlign w:val="center"/>
                </w:tcPr>
                <w:p>
                  <w:pPr>
                    <w:widowControl/>
                    <w:snapToGrid w:val="0"/>
                    <w:jc w:val="center"/>
                    <w:rPr>
                      <w:szCs w:val="21"/>
                    </w:rPr>
                  </w:pPr>
                  <w:r>
                    <w:rPr>
                      <w:szCs w:val="21"/>
                    </w:rPr>
                    <w:t>28</w:t>
                  </w:r>
                </w:p>
              </w:tc>
              <w:tc>
                <w:tcPr>
                  <w:tcW w:w="509" w:type="pct"/>
                  <w:vAlign w:val="center"/>
                </w:tcPr>
                <w:p>
                  <w:pPr>
                    <w:jc w:val="center"/>
                    <w:rPr>
                      <w:szCs w:val="21"/>
                    </w:rPr>
                  </w:pPr>
                  <w:r>
                    <w:rPr>
                      <w:szCs w:val="21"/>
                    </w:rPr>
                    <w:t>70</w:t>
                  </w:r>
                </w:p>
              </w:tc>
              <w:tc>
                <w:tcPr>
                  <w:tcW w:w="454" w:type="pct"/>
                  <w:vAlign w:val="center"/>
                </w:tcPr>
                <w:p>
                  <w:pPr>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vAlign w:val="center"/>
                </w:tcPr>
                <w:p>
                  <w:pPr>
                    <w:widowControl/>
                    <w:snapToGrid w:val="0"/>
                    <w:jc w:val="center"/>
                    <w:rPr>
                      <w:szCs w:val="21"/>
                    </w:rPr>
                  </w:pPr>
                </w:p>
              </w:tc>
              <w:tc>
                <w:tcPr>
                  <w:tcW w:w="426" w:type="pct"/>
                  <w:vAlign w:val="center"/>
                </w:tcPr>
                <w:p>
                  <w:pPr>
                    <w:snapToGrid w:val="0"/>
                    <w:jc w:val="center"/>
                    <w:rPr>
                      <w:szCs w:val="21"/>
                    </w:rPr>
                  </w:pPr>
                  <w:r>
                    <w:rPr>
                      <w:szCs w:val="21"/>
                    </w:rPr>
                    <w:t>PM</w:t>
                  </w:r>
                  <w:r>
                    <w:rPr>
                      <w:szCs w:val="21"/>
                      <w:vertAlign w:val="subscript"/>
                    </w:rPr>
                    <w:t>10</w:t>
                  </w:r>
                </w:p>
              </w:tc>
              <w:tc>
                <w:tcPr>
                  <w:tcW w:w="1133" w:type="pct"/>
                  <w:vAlign w:val="center"/>
                </w:tcPr>
                <w:p>
                  <w:pPr>
                    <w:widowControl/>
                    <w:snapToGrid w:val="0"/>
                    <w:jc w:val="center"/>
                    <w:rPr>
                      <w:szCs w:val="21"/>
                    </w:rPr>
                  </w:pPr>
                  <w:r>
                    <w:rPr>
                      <w:szCs w:val="21"/>
                    </w:rPr>
                    <w:t>年平均质量浓度</w:t>
                  </w:r>
                </w:p>
              </w:tc>
              <w:tc>
                <w:tcPr>
                  <w:tcW w:w="936" w:type="pct"/>
                  <w:vAlign w:val="center"/>
                </w:tcPr>
                <w:p>
                  <w:pPr>
                    <w:widowControl/>
                    <w:snapToGrid w:val="0"/>
                    <w:jc w:val="center"/>
                    <w:rPr>
                      <w:szCs w:val="21"/>
                    </w:rPr>
                  </w:pPr>
                  <w:r>
                    <w:rPr>
                      <w:szCs w:val="21"/>
                    </w:rPr>
                    <w:t>70</w:t>
                  </w:r>
                </w:p>
              </w:tc>
              <w:tc>
                <w:tcPr>
                  <w:tcW w:w="936" w:type="pct"/>
                  <w:vAlign w:val="center"/>
                </w:tcPr>
                <w:p>
                  <w:pPr>
                    <w:widowControl/>
                    <w:snapToGrid w:val="0"/>
                    <w:jc w:val="center"/>
                    <w:rPr>
                      <w:szCs w:val="21"/>
                    </w:rPr>
                  </w:pPr>
                  <w:r>
                    <w:rPr>
                      <w:szCs w:val="21"/>
                    </w:rPr>
                    <w:t>65</w:t>
                  </w:r>
                </w:p>
              </w:tc>
              <w:tc>
                <w:tcPr>
                  <w:tcW w:w="509" w:type="pct"/>
                  <w:vAlign w:val="center"/>
                </w:tcPr>
                <w:p>
                  <w:pPr>
                    <w:jc w:val="center"/>
                    <w:rPr>
                      <w:szCs w:val="21"/>
                    </w:rPr>
                  </w:pPr>
                  <w:r>
                    <w:rPr>
                      <w:szCs w:val="21"/>
                    </w:rPr>
                    <w:t>92.86</w:t>
                  </w:r>
                </w:p>
              </w:tc>
              <w:tc>
                <w:tcPr>
                  <w:tcW w:w="454" w:type="pct"/>
                  <w:vAlign w:val="center"/>
                </w:tcPr>
                <w:p>
                  <w:pPr>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vAlign w:val="center"/>
                </w:tcPr>
                <w:p>
                  <w:pPr>
                    <w:widowControl/>
                    <w:snapToGrid w:val="0"/>
                    <w:jc w:val="center"/>
                    <w:rPr>
                      <w:szCs w:val="21"/>
                    </w:rPr>
                  </w:pPr>
                </w:p>
              </w:tc>
              <w:tc>
                <w:tcPr>
                  <w:tcW w:w="426" w:type="pct"/>
                  <w:vAlign w:val="center"/>
                </w:tcPr>
                <w:p>
                  <w:pPr>
                    <w:snapToGrid w:val="0"/>
                    <w:jc w:val="center"/>
                    <w:rPr>
                      <w:szCs w:val="21"/>
                    </w:rPr>
                  </w:pPr>
                  <w:r>
                    <w:rPr>
                      <w:szCs w:val="21"/>
                    </w:rPr>
                    <w:t>PM</w:t>
                  </w:r>
                  <w:r>
                    <w:rPr>
                      <w:szCs w:val="21"/>
                      <w:vertAlign w:val="subscript"/>
                    </w:rPr>
                    <w:t>2.5</w:t>
                  </w:r>
                </w:p>
              </w:tc>
              <w:tc>
                <w:tcPr>
                  <w:tcW w:w="1133" w:type="pct"/>
                  <w:vAlign w:val="center"/>
                </w:tcPr>
                <w:p>
                  <w:pPr>
                    <w:widowControl/>
                    <w:snapToGrid w:val="0"/>
                    <w:jc w:val="center"/>
                    <w:rPr>
                      <w:szCs w:val="21"/>
                    </w:rPr>
                  </w:pPr>
                  <w:r>
                    <w:rPr>
                      <w:szCs w:val="21"/>
                    </w:rPr>
                    <w:t>年平均质量浓度</w:t>
                  </w:r>
                </w:p>
              </w:tc>
              <w:tc>
                <w:tcPr>
                  <w:tcW w:w="936" w:type="pct"/>
                  <w:vAlign w:val="center"/>
                </w:tcPr>
                <w:p>
                  <w:pPr>
                    <w:widowControl/>
                    <w:snapToGrid w:val="0"/>
                    <w:jc w:val="center"/>
                    <w:rPr>
                      <w:szCs w:val="21"/>
                    </w:rPr>
                  </w:pPr>
                  <w:r>
                    <w:rPr>
                      <w:szCs w:val="21"/>
                    </w:rPr>
                    <w:t>35</w:t>
                  </w:r>
                </w:p>
              </w:tc>
              <w:tc>
                <w:tcPr>
                  <w:tcW w:w="936" w:type="pct"/>
                  <w:vAlign w:val="center"/>
                </w:tcPr>
                <w:p>
                  <w:pPr>
                    <w:widowControl/>
                    <w:snapToGrid w:val="0"/>
                    <w:jc w:val="center"/>
                    <w:rPr>
                      <w:szCs w:val="21"/>
                    </w:rPr>
                  </w:pPr>
                  <w:r>
                    <w:rPr>
                      <w:szCs w:val="21"/>
                    </w:rPr>
                    <w:t>33</w:t>
                  </w:r>
                </w:p>
              </w:tc>
              <w:tc>
                <w:tcPr>
                  <w:tcW w:w="509" w:type="pct"/>
                  <w:vAlign w:val="center"/>
                </w:tcPr>
                <w:p>
                  <w:pPr>
                    <w:jc w:val="center"/>
                    <w:rPr>
                      <w:szCs w:val="21"/>
                    </w:rPr>
                  </w:pPr>
                  <w:r>
                    <w:rPr>
                      <w:szCs w:val="21"/>
                    </w:rPr>
                    <w:t>94.29</w:t>
                  </w:r>
                </w:p>
              </w:tc>
              <w:tc>
                <w:tcPr>
                  <w:tcW w:w="454" w:type="pct"/>
                  <w:vAlign w:val="center"/>
                </w:tcPr>
                <w:p>
                  <w:pPr>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vAlign w:val="center"/>
                </w:tcPr>
                <w:p>
                  <w:pPr>
                    <w:widowControl/>
                    <w:snapToGrid w:val="0"/>
                    <w:jc w:val="center"/>
                    <w:rPr>
                      <w:szCs w:val="21"/>
                    </w:rPr>
                  </w:pPr>
                </w:p>
              </w:tc>
              <w:tc>
                <w:tcPr>
                  <w:tcW w:w="426" w:type="pct"/>
                  <w:vAlign w:val="center"/>
                </w:tcPr>
                <w:p>
                  <w:pPr>
                    <w:snapToGrid w:val="0"/>
                    <w:jc w:val="center"/>
                    <w:rPr>
                      <w:szCs w:val="21"/>
                    </w:rPr>
                  </w:pPr>
                  <w:r>
                    <w:rPr>
                      <w:szCs w:val="21"/>
                    </w:rPr>
                    <w:t>CO</w:t>
                  </w:r>
                </w:p>
              </w:tc>
              <w:tc>
                <w:tcPr>
                  <w:tcW w:w="1133" w:type="pct"/>
                  <w:tcMar>
                    <w:left w:w="0" w:type="dxa"/>
                    <w:right w:w="0" w:type="dxa"/>
                  </w:tcMar>
                  <w:vAlign w:val="center"/>
                </w:tcPr>
                <w:p>
                  <w:pPr>
                    <w:widowControl/>
                    <w:snapToGrid w:val="0"/>
                    <w:jc w:val="center"/>
                    <w:rPr>
                      <w:szCs w:val="21"/>
                    </w:rPr>
                  </w:pPr>
                  <w:r>
                    <w:rPr>
                      <w:szCs w:val="21"/>
                    </w:rPr>
                    <w:t>日均值百分位数值</w:t>
                  </w:r>
                </w:p>
              </w:tc>
              <w:tc>
                <w:tcPr>
                  <w:tcW w:w="936" w:type="pct"/>
                  <w:vAlign w:val="center"/>
                </w:tcPr>
                <w:p>
                  <w:pPr>
                    <w:widowControl/>
                    <w:snapToGrid w:val="0"/>
                    <w:jc w:val="center"/>
                    <w:rPr>
                      <w:szCs w:val="21"/>
                    </w:rPr>
                  </w:pPr>
                  <w:r>
                    <w:rPr>
                      <w:szCs w:val="21"/>
                    </w:rPr>
                    <w:t>4mg/m</w:t>
                  </w:r>
                  <w:r>
                    <w:rPr>
                      <w:szCs w:val="21"/>
                      <w:vertAlign w:val="superscript"/>
                    </w:rPr>
                    <w:t>3</w:t>
                  </w:r>
                </w:p>
              </w:tc>
              <w:tc>
                <w:tcPr>
                  <w:tcW w:w="936" w:type="pct"/>
                  <w:vAlign w:val="center"/>
                </w:tcPr>
                <w:p>
                  <w:pPr>
                    <w:widowControl/>
                    <w:snapToGrid w:val="0"/>
                    <w:jc w:val="center"/>
                    <w:rPr>
                      <w:szCs w:val="21"/>
                    </w:rPr>
                  </w:pPr>
                  <w:r>
                    <w:rPr>
                      <w:szCs w:val="21"/>
                    </w:rPr>
                    <w:t>1.4mg/m</w:t>
                  </w:r>
                  <w:r>
                    <w:rPr>
                      <w:szCs w:val="21"/>
                      <w:vertAlign w:val="superscript"/>
                    </w:rPr>
                    <w:t>3</w:t>
                  </w:r>
                </w:p>
              </w:tc>
              <w:tc>
                <w:tcPr>
                  <w:tcW w:w="509" w:type="pct"/>
                  <w:vAlign w:val="center"/>
                </w:tcPr>
                <w:p>
                  <w:pPr>
                    <w:jc w:val="center"/>
                    <w:rPr>
                      <w:szCs w:val="21"/>
                    </w:rPr>
                  </w:pPr>
                  <w:r>
                    <w:rPr>
                      <w:szCs w:val="21"/>
                    </w:rPr>
                    <w:t>35</w:t>
                  </w:r>
                </w:p>
              </w:tc>
              <w:tc>
                <w:tcPr>
                  <w:tcW w:w="454" w:type="pct"/>
                  <w:vAlign w:val="center"/>
                </w:tcPr>
                <w:p>
                  <w:pPr>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05" w:type="pct"/>
                  <w:vMerge w:val="continue"/>
                  <w:vAlign w:val="center"/>
                </w:tcPr>
                <w:p>
                  <w:pPr>
                    <w:widowControl/>
                    <w:snapToGrid w:val="0"/>
                    <w:jc w:val="center"/>
                    <w:rPr>
                      <w:szCs w:val="21"/>
                    </w:rPr>
                  </w:pPr>
                </w:p>
              </w:tc>
              <w:tc>
                <w:tcPr>
                  <w:tcW w:w="426" w:type="pct"/>
                  <w:vAlign w:val="center"/>
                </w:tcPr>
                <w:p>
                  <w:pPr>
                    <w:snapToGrid w:val="0"/>
                    <w:jc w:val="center"/>
                    <w:rPr>
                      <w:szCs w:val="21"/>
                    </w:rPr>
                  </w:pPr>
                  <w:r>
                    <w:rPr>
                      <w:szCs w:val="21"/>
                    </w:rPr>
                    <w:t>O</w:t>
                  </w:r>
                  <w:r>
                    <w:rPr>
                      <w:szCs w:val="21"/>
                      <w:vertAlign w:val="subscript"/>
                    </w:rPr>
                    <w:t>3</w:t>
                  </w:r>
                </w:p>
              </w:tc>
              <w:tc>
                <w:tcPr>
                  <w:tcW w:w="1133" w:type="pct"/>
                  <w:vAlign w:val="center"/>
                </w:tcPr>
                <w:p>
                  <w:pPr>
                    <w:widowControl/>
                    <w:snapToGrid w:val="0"/>
                    <w:jc w:val="center"/>
                    <w:rPr>
                      <w:szCs w:val="21"/>
                    </w:rPr>
                  </w:pPr>
                  <w:r>
                    <w:rPr>
                      <w:szCs w:val="21"/>
                    </w:rPr>
                    <w:t>日最大8小时均值百分位数值</w:t>
                  </w:r>
                </w:p>
              </w:tc>
              <w:tc>
                <w:tcPr>
                  <w:tcW w:w="936" w:type="pct"/>
                  <w:vAlign w:val="center"/>
                </w:tcPr>
                <w:p>
                  <w:pPr>
                    <w:widowControl/>
                    <w:snapToGrid w:val="0"/>
                    <w:jc w:val="center"/>
                    <w:rPr>
                      <w:szCs w:val="21"/>
                    </w:rPr>
                  </w:pPr>
                  <w:r>
                    <w:rPr>
                      <w:szCs w:val="21"/>
                    </w:rPr>
                    <w:t>160</w:t>
                  </w:r>
                </w:p>
              </w:tc>
              <w:tc>
                <w:tcPr>
                  <w:tcW w:w="936" w:type="pct"/>
                  <w:vAlign w:val="center"/>
                </w:tcPr>
                <w:p>
                  <w:pPr>
                    <w:widowControl/>
                    <w:snapToGrid w:val="0"/>
                    <w:jc w:val="center"/>
                    <w:rPr>
                      <w:szCs w:val="21"/>
                    </w:rPr>
                  </w:pPr>
                  <w:r>
                    <w:rPr>
                      <w:szCs w:val="21"/>
                    </w:rPr>
                    <w:t>148</w:t>
                  </w:r>
                </w:p>
              </w:tc>
              <w:tc>
                <w:tcPr>
                  <w:tcW w:w="509" w:type="pct"/>
                  <w:vAlign w:val="center"/>
                </w:tcPr>
                <w:p>
                  <w:pPr>
                    <w:jc w:val="center"/>
                    <w:rPr>
                      <w:szCs w:val="21"/>
                    </w:rPr>
                  </w:pPr>
                  <w:r>
                    <w:rPr>
                      <w:szCs w:val="21"/>
                    </w:rPr>
                    <w:t>92.5</w:t>
                  </w:r>
                </w:p>
              </w:tc>
              <w:tc>
                <w:tcPr>
                  <w:tcW w:w="454" w:type="pct"/>
                  <w:vAlign w:val="center"/>
                </w:tcPr>
                <w:p>
                  <w:pPr>
                    <w:snapToGrid w:val="0"/>
                    <w:jc w:val="center"/>
                    <w:rPr>
                      <w:szCs w:val="21"/>
                    </w:rPr>
                  </w:pPr>
                  <w:r>
                    <w:rPr>
                      <w:szCs w:val="21"/>
                    </w:rPr>
                    <w:t>达标</w:t>
                  </w:r>
                </w:p>
              </w:tc>
            </w:tr>
          </w:tbl>
          <w:p>
            <w:pPr>
              <w:pStyle w:val="361"/>
              <w:spacing w:before="60" w:beforeLines="25"/>
              <w:ind w:firstLine="476"/>
              <w:rPr>
                <w:kern w:val="2"/>
                <w:szCs w:val="20"/>
              </w:rPr>
            </w:pPr>
            <w:r>
              <w:rPr>
                <w:spacing w:val="-1"/>
              </w:rPr>
              <w:t>根据以上数据，项目所在地的2020年</w:t>
            </w:r>
            <w:r>
              <w:t>SO</w:t>
            </w:r>
            <w:r>
              <w:rPr>
                <w:vertAlign w:val="subscript"/>
              </w:rPr>
              <w:t>2</w:t>
            </w:r>
            <w:r>
              <w:t>、NO</w:t>
            </w:r>
            <w:r>
              <w:rPr>
                <w:vertAlign w:val="subscript"/>
              </w:rPr>
              <w:t>2</w:t>
            </w:r>
            <w:r>
              <w:t>、</w:t>
            </w:r>
            <w:r>
              <w:rPr>
                <w:bCs/>
              </w:rPr>
              <w:t>PM</w:t>
            </w:r>
            <w:r>
              <w:rPr>
                <w:bCs/>
                <w:vertAlign w:val="subscript"/>
              </w:rPr>
              <w:t>10</w:t>
            </w:r>
            <w:r>
              <w:rPr>
                <w:bCs/>
              </w:rPr>
              <w:t>、PM</w:t>
            </w:r>
            <w:r>
              <w:rPr>
                <w:bCs/>
                <w:vertAlign w:val="subscript"/>
              </w:rPr>
              <w:t>2.5</w:t>
            </w:r>
            <w:r>
              <w:rPr>
                <w:bCs/>
              </w:rPr>
              <w:t>、CO、</w:t>
            </w:r>
            <w:r>
              <w:rPr>
                <w:szCs w:val="20"/>
              </w:rPr>
              <w:t>O</w:t>
            </w:r>
            <w:r>
              <w:rPr>
                <w:szCs w:val="20"/>
                <w:vertAlign w:val="subscript"/>
              </w:rPr>
              <w:t>3</w:t>
            </w:r>
            <w:r>
              <w:rPr>
                <w:bCs/>
              </w:rPr>
              <w:t>年均值</w:t>
            </w:r>
            <w:r>
              <w:t>满足《环境空气质量标准》（GB3095-2012）及其修改单“生态环境部公告2018年第29号”二级标准</w:t>
            </w:r>
            <w:r>
              <w:rPr>
                <w:bCs/>
              </w:rPr>
              <w:t>。</w:t>
            </w:r>
            <w:r>
              <w:rPr>
                <w:kern w:val="2"/>
                <w:szCs w:val="20"/>
              </w:rPr>
              <w:t>因此，项目所在区域为环境空气质量达标区域。</w:t>
            </w:r>
          </w:p>
          <w:p>
            <w:pPr>
              <w:spacing w:line="360" w:lineRule="auto"/>
              <w:ind w:firstLine="482" w:firstLineChars="200"/>
              <w:jc w:val="left"/>
              <w:rPr>
                <w:b/>
                <w:sz w:val="24"/>
              </w:rPr>
            </w:pPr>
            <w:r>
              <w:rPr>
                <w:b/>
                <w:sz w:val="24"/>
              </w:rPr>
              <w:t>2、地表水环境质量</w:t>
            </w:r>
          </w:p>
          <w:p>
            <w:pPr>
              <w:spacing w:line="360" w:lineRule="auto"/>
              <w:ind w:firstLine="480" w:firstLineChars="200"/>
              <w:rPr>
                <w:sz w:val="24"/>
              </w:rPr>
            </w:pPr>
            <w:r>
              <w:rPr>
                <w:sz w:val="24"/>
              </w:rPr>
              <w:t>根据《环境影响评价技术导则-地表水环境》(HJ2.3-2018)，水环境质量现状调查应优先采用国务院生态环境保护主管部门统一发布的水环境状况信息。</w:t>
            </w:r>
          </w:p>
          <w:p>
            <w:pPr>
              <w:spacing w:line="360" w:lineRule="auto"/>
              <w:ind w:firstLine="480" w:firstLineChars="200"/>
              <w:rPr>
                <w:sz w:val="24"/>
              </w:rPr>
            </w:pPr>
            <w:r>
              <w:rPr>
                <w:sz w:val="24"/>
              </w:rPr>
              <w:t>根据南昌县环境监测站发布的2020年度南昌县环境质量报告书结论，清丰山溪6个断面所测项目年均值均符合《地表水环境质量标准》（GB3838-2002）Ⅲ类水质，其中谢埠桥断面氨氮略有超标，但达到Ⅳ类要求。</w:t>
            </w:r>
          </w:p>
          <w:p>
            <w:pPr>
              <w:jc w:val="center"/>
              <w:rPr>
                <w:b/>
                <w:kern w:val="0"/>
                <w:szCs w:val="21"/>
              </w:rPr>
            </w:pPr>
            <w:r>
              <w:rPr>
                <w:b/>
                <w:kern w:val="0"/>
                <w:szCs w:val="21"/>
              </w:rPr>
              <w:t>表3-2  2020年度清丰山溪水质定性评价情况</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994"/>
              <w:gridCol w:w="1827"/>
              <w:gridCol w:w="2261"/>
              <w:gridCol w:w="951"/>
              <w:gridCol w:w="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Align w:val="center"/>
                </w:tcPr>
                <w:p>
                  <w:pPr>
                    <w:adjustRightInd w:val="0"/>
                    <w:snapToGrid w:val="0"/>
                    <w:jc w:val="center"/>
                    <w:rPr>
                      <w:b/>
                      <w:szCs w:val="21"/>
                    </w:rPr>
                  </w:pPr>
                  <w:r>
                    <w:rPr>
                      <w:b/>
                      <w:szCs w:val="21"/>
                    </w:rPr>
                    <w:t>河流名称</w:t>
                  </w:r>
                </w:p>
              </w:tc>
              <w:tc>
                <w:tcPr>
                  <w:tcW w:w="1067" w:type="pct"/>
                  <w:vAlign w:val="center"/>
                </w:tcPr>
                <w:p>
                  <w:pPr>
                    <w:adjustRightInd w:val="0"/>
                    <w:snapToGrid w:val="0"/>
                    <w:jc w:val="center"/>
                    <w:rPr>
                      <w:b/>
                      <w:szCs w:val="21"/>
                    </w:rPr>
                  </w:pPr>
                  <w:r>
                    <w:rPr>
                      <w:b/>
                      <w:kern w:val="0"/>
                      <w:szCs w:val="21"/>
                      <w:lang w:bidi="ar"/>
                    </w:rPr>
                    <w:t>断面名称</w:t>
                  </w:r>
                </w:p>
              </w:tc>
              <w:tc>
                <w:tcPr>
                  <w:tcW w:w="978" w:type="pct"/>
                  <w:vAlign w:val="center"/>
                </w:tcPr>
                <w:p>
                  <w:pPr>
                    <w:adjustRightInd w:val="0"/>
                    <w:snapToGrid w:val="0"/>
                    <w:jc w:val="center"/>
                    <w:rPr>
                      <w:b/>
                      <w:szCs w:val="21"/>
                    </w:rPr>
                  </w:pPr>
                  <w:r>
                    <w:rPr>
                      <w:b/>
                      <w:kern w:val="0"/>
                      <w:szCs w:val="21"/>
                      <w:lang w:bidi="ar"/>
                    </w:rPr>
                    <w:t>断面水质类别</w:t>
                  </w:r>
                </w:p>
              </w:tc>
              <w:tc>
                <w:tcPr>
                  <w:tcW w:w="1210" w:type="pct"/>
                  <w:vAlign w:val="center"/>
                </w:tcPr>
                <w:p>
                  <w:pPr>
                    <w:adjustRightInd w:val="0"/>
                    <w:snapToGrid w:val="0"/>
                    <w:jc w:val="center"/>
                    <w:rPr>
                      <w:b/>
                      <w:szCs w:val="21"/>
                    </w:rPr>
                  </w:pPr>
                  <w:r>
                    <w:rPr>
                      <w:b/>
                      <w:szCs w:val="21"/>
                    </w:rPr>
                    <w:t>河流水质类别比例</w:t>
                  </w:r>
                </w:p>
              </w:tc>
              <w:tc>
                <w:tcPr>
                  <w:tcW w:w="509" w:type="pct"/>
                  <w:vAlign w:val="center"/>
                </w:tcPr>
                <w:p>
                  <w:pPr>
                    <w:adjustRightInd w:val="0"/>
                    <w:snapToGrid w:val="0"/>
                    <w:jc w:val="center"/>
                    <w:rPr>
                      <w:b/>
                      <w:szCs w:val="21"/>
                    </w:rPr>
                  </w:pPr>
                  <w:r>
                    <w:rPr>
                      <w:b/>
                      <w:szCs w:val="21"/>
                    </w:rPr>
                    <w:t>水质状况</w:t>
                  </w:r>
                </w:p>
              </w:tc>
              <w:tc>
                <w:tcPr>
                  <w:tcW w:w="509" w:type="pct"/>
                  <w:vAlign w:val="center"/>
                </w:tcPr>
                <w:p>
                  <w:pPr>
                    <w:adjustRightInd w:val="0"/>
                    <w:snapToGrid w:val="0"/>
                    <w:jc w:val="center"/>
                    <w:rPr>
                      <w:b/>
                      <w:szCs w:val="21"/>
                    </w:rPr>
                  </w:pPr>
                  <w:r>
                    <w:rPr>
                      <w:b/>
                      <w:szCs w:val="21"/>
                    </w:rPr>
                    <w:t>表征颜色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Merge w:val="restart"/>
                  <w:vAlign w:val="center"/>
                </w:tcPr>
                <w:p>
                  <w:pPr>
                    <w:adjustRightInd w:val="0"/>
                    <w:snapToGrid w:val="0"/>
                    <w:jc w:val="center"/>
                    <w:rPr>
                      <w:szCs w:val="21"/>
                    </w:rPr>
                  </w:pPr>
                  <w:r>
                    <w:rPr>
                      <w:szCs w:val="21"/>
                    </w:rPr>
                    <w:t>清丰山溪</w:t>
                  </w:r>
                </w:p>
              </w:tc>
              <w:tc>
                <w:tcPr>
                  <w:tcW w:w="1067" w:type="pct"/>
                  <w:vAlign w:val="center"/>
                </w:tcPr>
                <w:p>
                  <w:pPr>
                    <w:adjustRightInd w:val="0"/>
                    <w:snapToGrid w:val="0"/>
                    <w:jc w:val="center"/>
                    <w:rPr>
                      <w:szCs w:val="21"/>
                    </w:rPr>
                  </w:pPr>
                  <w:r>
                    <w:rPr>
                      <w:kern w:val="0"/>
                      <w:szCs w:val="21"/>
                      <w:lang w:bidi="ar"/>
                    </w:rPr>
                    <w:t>丰城朱罗村</w:t>
                  </w:r>
                </w:p>
              </w:tc>
              <w:tc>
                <w:tcPr>
                  <w:tcW w:w="978" w:type="pct"/>
                  <w:vAlign w:val="center"/>
                </w:tcPr>
                <w:p>
                  <w:pPr>
                    <w:adjustRightInd w:val="0"/>
                    <w:snapToGrid w:val="0"/>
                    <w:jc w:val="center"/>
                    <w:rPr>
                      <w:szCs w:val="21"/>
                    </w:rPr>
                  </w:pPr>
                  <w:r>
                    <w:rPr>
                      <w:kern w:val="0"/>
                      <w:szCs w:val="21"/>
                      <w:lang w:bidi="ar"/>
                    </w:rPr>
                    <w:t>Ⅲ</w:t>
                  </w:r>
                </w:p>
              </w:tc>
              <w:tc>
                <w:tcPr>
                  <w:tcW w:w="1210" w:type="pct"/>
                  <w:vMerge w:val="restart"/>
                  <w:vAlign w:val="center"/>
                </w:tcPr>
                <w:p>
                  <w:pPr>
                    <w:adjustRightInd w:val="0"/>
                    <w:snapToGrid w:val="0"/>
                    <w:jc w:val="center"/>
                    <w:rPr>
                      <w:szCs w:val="21"/>
                    </w:rPr>
                  </w:pPr>
                  <w:r>
                    <w:rPr>
                      <w:rFonts w:hint="eastAsia" w:ascii="宋体" w:hAnsi="宋体" w:cs="宋体"/>
                      <w:szCs w:val="21"/>
                    </w:rPr>
                    <w:t>Ⅰ</w:t>
                  </w:r>
                  <w:r>
                    <w:rPr>
                      <w:szCs w:val="21"/>
                    </w:rPr>
                    <w:t>～</w:t>
                  </w:r>
                  <w:r>
                    <w:rPr>
                      <w:rFonts w:hint="eastAsia" w:ascii="宋体" w:hAnsi="宋体" w:cs="宋体"/>
                      <w:szCs w:val="21"/>
                    </w:rPr>
                    <w:t>Ⅲ</w:t>
                  </w:r>
                  <w:r>
                    <w:rPr>
                      <w:szCs w:val="21"/>
                    </w:rPr>
                    <w:t>类水质比例为83.3%，</w:t>
                  </w:r>
                  <w:r>
                    <w:rPr>
                      <w:rFonts w:hint="eastAsia" w:ascii="宋体" w:hAnsi="宋体" w:cs="宋体"/>
                      <w:szCs w:val="21"/>
                    </w:rPr>
                    <w:t>Ⅴ</w:t>
                  </w:r>
                  <w:r>
                    <w:rPr>
                      <w:szCs w:val="21"/>
                    </w:rPr>
                    <w:t>类水质比例为16.7%</w:t>
                  </w:r>
                </w:p>
              </w:tc>
              <w:tc>
                <w:tcPr>
                  <w:tcW w:w="509" w:type="pct"/>
                  <w:vMerge w:val="restart"/>
                  <w:vAlign w:val="center"/>
                </w:tcPr>
                <w:p>
                  <w:pPr>
                    <w:adjustRightInd w:val="0"/>
                    <w:snapToGrid w:val="0"/>
                    <w:jc w:val="center"/>
                    <w:rPr>
                      <w:szCs w:val="21"/>
                    </w:rPr>
                  </w:pPr>
                  <w:r>
                    <w:rPr>
                      <w:szCs w:val="21"/>
                    </w:rPr>
                    <w:t>良好</w:t>
                  </w:r>
                </w:p>
              </w:tc>
              <w:tc>
                <w:tcPr>
                  <w:tcW w:w="509" w:type="pct"/>
                  <w:vMerge w:val="restart"/>
                  <w:vAlign w:val="center"/>
                </w:tcPr>
                <w:p>
                  <w:pPr>
                    <w:adjustRightInd w:val="0"/>
                    <w:snapToGrid w:val="0"/>
                    <w:jc w:val="center"/>
                    <w:rPr>
                      <w:szCs w:val="21"/>
                    </w:rPr>
                  </w:pPr>
                  <w:r>
                    <w:rPr>
                      <w:szCs w:val="21"/>
                    </w:rPr>
                    <w:t>绿色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Merge w:val="continue"/>
                  <w:vAlign w:val="center"/>
                </w:tcPr>
                <w:p>
                  <w:pPr>
                    <w:adjustRightInd w:val="0"/>
                    <w:snapToGrid w:val="0"/>
                    <w:ind w:firstLine="210"/>
                    <w:jc w:val="center"/>
                    <w:rPr>
                      <w:szCs w:val="21"/>
                    </w:rPr>
                  </w:pPr>
                </w:p>
              </w:tc>
              <w:tc>
                <w:tcPr>
                  <w:tcW w:w="1067" w:type="pct"/>
                  <w:vAlign w:val="center"/>
                </w:tcPr>
                <w:p>
                  <w:pPr>
                    <w:adjustRightInd w:val="0"/>
                    <w:snapToGrid w:val="0"/>
                    <w:jc w:val="center"/>
                    <w:rPr>
                      <w:szCs w:val="21"/>
                    </w:rPr>
                  </w:pPr>
                  <w:r>
                    <w:rPr>
                      <w:kern w:val="0"/>
                      <w:szCs w:val="21"/>
                      <w:lang w:bidi="ar"/>
                    </w:rPr>
                    <w:t>广福镇岗前村</w:t>
                  </w:r>
                </w:p>
              </w:tc>
              <w:tc>
                <w:tcPr>
                  <w:tcW w:w="978" w:type="pct"/>
                  <w:vAlign w:val="center"/>
                </w:tcPr>
                <w:p>
                  <w:pPr>
                    <w:adjustRightInd w:val="0"/>
                    <w:snapToGrid w:val="0"/>
                    <w:jc w:val="center"/>
                    <w:rPr>
                      <w:szCs w:val="21"/>
                    </w:rPr>
                  </w:pPr>
                  <w:r>
                    <w:rPr>
                      <w:kern w:val="0"/>
                      <w:szCs w:val="21"/>
                      <w:lang w:bidi="ar"/>
                    </w:rPr>
                    <w:t>Ⅲ</w:t>
                  </w:r>
                </w:p>
              </w:tc>
              <w:tc>
                <w:tcPr>
                  <w:tcW w:w="1210"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Merge w:val="continue"/>
                  <w:vAlign w:val="center"/>
                </w:tcPr>
                <w:p>
                  <w:pPr>
                    <w:adjustRightInd w:val="0"/>
                    <w:snapToGrid w:val="0"/>
                    <w:ind w:firstLine="210"/>
                    <w:jc w:val="center"/>
                    <w:rPr>
                      <w:szCs w:val="21"/>
                    </w:rPr>
                  </w:pPr>
                </w:p>
              </w:tc>
              <w:tc>
                <w:tcPr>
                  <w:tcW w:w="1067" w:type="pct"/>
                  <w:vAlign w:val="center"/>
                </w:tcPr>
                <w:p>
                  <w:pPr>
                    <w:adjustRightInd w:val="0"/>
                    <w:snapToGrid w:val="0"/>
                    <w:jc w:val="center"/>
                    <w:rPr>
                      <w:szCs w:val="21"/>
                    </w:rPr>
                  </w:pPr>
                  <w:r>
                    <w:rPr>
                      <w:kern w:val="0"/>
                      <w:szCs w:val="21"/>
                      <w:lang w:bidi="ar"/>
                    </w:rPr>
                    <w:t>向塘镇熊田村</w:t>
                  </w:r>
                </w:p>
              </w:tc>
              <w:tc>
                <w:tcPr>
                  <w:tcW w:w="978" w:type="pct"/>
                  <w:vAlign w:val="center"/>
                </w:tcPr>
                <w:p>
                  <w:pPr>
                    <w:adjustRightInd w:val="0"/>
                    <w:snapToGrid w:val="0"/>
                    <w:jc w:val="center"/>
                    <w:rPr>
                      <w:szCs w:val="21"/>
                    </w:rPr>
                  </w:pPr>
                  <w:r>
                    <w:rPr>
                      <w:kern w:val="0"/>
                      <w:szCs w:val="21"/>
                      <w:lang w:bidi="ar"/>
                    </w:rPr>
                    <w:t>Ⅱ</w:t>
                  </w:r>
                </w:p>
              </w:tc>
              <w:tc>
                <w:tcPr>
                  <w:tcW w:w="1210"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Merge w:val="continue"/>
                  <w:vAlign w:val="center"/>
                </w:tcPr>
                <w:p>
                  <w:pPr>
                    <w:adjustRightInd w:val="0"/>
                    <w:snapToGrid w:val="0"/>
                    <w:ind w:firstLine="210"/>
                    <w:jc w:val="center"/>
                    <w:rPr>
                      <w:szCs w:val="21"/>
                    </w:rPr>
                  </w:pPr>
                </w:p>
              </w:tc>
              <w:tc>
                <w:tcPr>
                  <w:tcW w:w="1067" w:type="pct"/>
                  <w:vAlign w:val="center"/>
                </w:tcPr>
                <w:p>
                  <w:pPr>
                    <w:adjustRightInd w:val="0"/>
                    <w:snapToGrid w:val="0"/>
                    <w:jc w:val="center"/>
                    <w:rPr>
                      <w:szCs w:val="21"/>
                    </w:rPr>
                  </w:pPr>
                  <w:r>
                    <w:rPr>
                      <w:kern w:val="0"/>
                      <w:szCs w:val="21"/>
                      <w:lang w:bidi="ar"/>
                    </w:rPr>
                    <w:t>向塘镇沙滩桥</w:t>
                  </w:r>
                </w:p>
              </w:tc>
              <w:tc>
                <w:tcPr>
                  <w:tcW w:w="978" w:type="pct"/>
                  <w:vAlign w:val="center"/>
                </w:tcPr>
                <w:p>
                  <w:pPr>
                    <w:adjustRightInd w:val="0"/>
                    <w:snapToGrid w:val="0"/>
                    <w:jc w:val="center"/>
                    <w:rPr>
                      <w:szCs w:val="21"/>
                    </w:rPr>
                  </w:pPr>
                  <w:r>
                    <w:rPr>
                      <w:kern w:val="0"/>
                      <w:szCs w:val="21"/>
                      <w:lang w:bidi="ar"/>
                    </w:rPr>
                    <w:t>Ⅲ</w:t>
                  </w:r>
                </w:p>
              </w:tc>
              <w:tc>
                <w:tcPr>
                  <w:tcW w:w="1210"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Merge w:val="continue"/>
                  <w:vAlign w:val="center"/>
                </w:tcPr>
                <w:p>
                  <w:pPr>
                    <w:adjustRightInd w:val="0"/>
                    <w:snapToGrid w:val="0"/>
                    <w:ind w:firstLine="210"/>
                    <w:jc w:val="center"/>
                    <w:rPr>
                      <w:szCs w:val="21"/>
                    </w:rPr>
                  </w:pPr>
                </w:p>
              </w:tc>
              <w:tc>
                <w:tcPr>
                  <w:tcW w:w="1067" w:type="pct"/>
                  <w:vAlign w:val="center"/>
                </w:tcPr>
                <w:p>
                  <w:pPr>
                    <w:adjustRightInd w:val="0"/>
                    <w:snapToGrid w:val="0"/>
                    <w:jc w:val="center"/>
                    <w:rPr>
                      <w:szCs w:val="21"/>
                    </w:rPr>
                  </w:pPr>
                  <w:r>
                    <w:rPr>
                      <w:kern w:val="0"/>
                      <w:szCs w:val="21"/>
                      <w:lang w:bidi="ar"/>
                    </w:rPr>
                    <w:t>武阳桥</w:t>
                  </w:r>
                </w:p>
              </w:tc>
              <w:tc>
                <w:tcPr>
                  <w:tcW w:w="978" w:type="pct"/>
                  <w:vAlign w:val="center"/>
                </w:tcPr>
                <w:p>
                  <w:pPr>
                    <w:adjustRightInd w:val="0"/>
                    <w:snapToGrid w:val="0"/>
                    <w:jc w:val="center"/>
                    <w:rPr>
                      <w:szCs w:val="21"/>
                    </w:rPr>
                  </w:pPr>
                  <w:r>
                    <w:rPr>
                      <w:kern w:val="0"/>
                      <w:szCs w:val="21"/>
                      <w:lang w:bidi="ar"/>
                    </w:rPr>
                    <w:t>Ⅲ</w:t>
                  </w:r>
                </w:p>
              </w:tc>
              <w:tc>
                <w:tcPr>
                  <w:tcW w:w="1210"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vMerge w:val="continue"/>
                  <w:vAlign w:val="center"/>
                </w:tcPr>
                <w:p>
                  <w:pPr>
                    <w:adjustRightInd w:val="0"/>
                    <w:snapToGrid w:val="0"/>
                    <w:ind w:firstLine="210"/>
                    <w:jc w:val="center"/>
                    <w:rPr>
                      <w:szCs w:val="21"/>
                    </w:rPr>
                  </w:pPr>
                </w:p>
              </w:tc>
              <w:tc>
                <w:tcPr>
                  <w:tcW w:w="1067" w:type="pct"/>
                  <w:vAlign w:val="center"/>
                </w:tcPr>
                <w:p>
                  <w:pPr>
                    <w:adjustRightInd w:val="0"/>
                    <w:snapToGrid w:val="0"/>
                    <w:jc w:val="center"/>
                    <w:rPr>
                      <w:szCs w:val="21"/>
                    </w:rPr>
                  </w:pPr>
                  <w:r>
                    <w:rPr>
                      <w:kern w:val="0"/>
                      <w:szCs w:val="21"/>
                      <w:lang w:bidi="ar"/>
                    </w:rPr>
                    <w:t>谢埠桥</w:t>
                  </w:r>
                </w:p>
              </w:tc>
              <w:tc>
                <w:tcPr>
                  <w:tcW w:w="978" w:type="pct"/>
                  <w:vAlign w:val="center"/>
                </w:tcPr>
                <w:p>
                  <w:pPr>
                    <w:adjustRightInd w:val="0"/>
                    <w:snapToGrid w:val="0"/>
                    <w:jc w:val="center"/>
                    <w:rPr>
                      <w:szCs w:val="21"/>
                    </w:rPr>
                  </w:pPr>
                  <w:r>
                    <w:rPr>
                      <w:kern w:val="0"/>
                      <w:szCs w:val="21"/>
                      <w:lang w:bidi="ar"/>
                    </w:rPr>
                    <w:t>Ⅳ</w:t>
                  </w:r>
                </w:p>
              </w:tc>
              <w:tc>
                <w:tcPr>
                  <w:tcW w:w="1210"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c>
                <w:tcPr>
                  <w:tcW w:w="509" w:type="pct"/>
                  <w:vMerge w:val="continue"/>
                  <w:vAlign w:val="center"/>
                </w:tcPr>
                <w:p>
                  <w:pPr>
                    <w:adjustRightInd w:val="0"/>
                    <w:snapToGrid w:val="0"/>
                    <w:ind w:firstLine="210"/>
                    <w:jc w:val="center"/>
                    <w:rPr>
                      <w:szCs w:val="21"/>
                    </w:rPr>
                  </w:pPr>
                </w:p>
              </w:tc>
            </w:tr>
          </w:tbl>
          <w:p>
            <w:pPr>
              <w:snapToGrid w:val="0"/>
              <w:spacing w:before="120" w:beforeLines="50" w:line="360" w:lineRule="auto"/>
              <w:ind w:firstLine="482" w:firstLineChars="200"/>
              <w:rPr>
                <w:b/>
                <w:sz w:val="24"/>
              </w:rPr>
            </w:pPr>
            <w:r>
              <w:rPr>
                <w:b/>
                <w:sz w:val="24"/>
              </w:rPr>
              <w:t>3、声环境质量现状</w:t>
            </w:r>
          </w:p>
          <w:p>
            <w:pPr>
              <w:spacing w:line="360" w:lineRule="auto"/>
              <w:ind w:firstLine="480" w:firstLineChars="200"/>
              <w:rPr>
                <w:color w:val="FF0000"/>
                <w:kern w:val="0"/>
                <w:sz w:val="24"/>
              </w:rPr>
            </w:pPr>
            <w:r>
              <w:rPr>
                <w:sz w:val="24"/>
              </w:rPr>
              <w:t>项目周边50m内不存在声环境保护目标。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79" w:type="dxa"/>
            <w:vAlign w:val="center"/>
          </w:tcPr>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保护</w:t>
            </w:r>
          </w:p>
          <w:p>
            <w:pPr>
              <w:adjustRightInd w:val="0"/>
              <w:snapToGrid w:val="0"/>
              <w:jc w:val="center"/>
              <w:rPr>
                <w:color w:val="FF0000"/>
                <w:kern w:val="0"/>
                <w:szCs w:val="21"/>
              </w:rPr>
            </w:pPr>
            <w:r>
              <w:rPr>
                <w:kern w:val="0"/>
                <w:sz w:val="24"/>
              </w:rPr>
              <w:t>目标</w:t>
            </w:r>
          </w:p>
        </w:tc>
        <w:tc>
          <w:tcPr>
            <w:tcW w:w="9559" w:type="dxa"/>
            <w:vAlign w:val="center"/>
          </w:tcPr>
          <w:p>
            <w:pPr>
              <w:pStyle w:val="333"/>
              <w:ind w:firstLine="480"/>
              <w:rPr>
                <w:rFonts w:ascii="Times New Roman" w:hAnsi="Times New Roman" w:eastAsia="宋体" w:cs="Times New Roman"/>
                <w:b/>
                <w:bCs/>
              </w:rPr>
            </w:pPr>
            <w:r>
              <w:rPr>
                <w:rFonts w:ascii="Times New Roman" w:hAnsi="Times New Roman" w:eastAsia="宋体" w:cs="Times New Roman"/>
              </w:rPr>
              <w:t>根据现场踏勘，本项目主要环境保护目标见表3-3。</w:t>
            </w:r>
          </w:p>
          <w:p>
            <w:pPr>
              <w:jc w:val="center"/>
              <w:rPr>
                <w:b/>
                <w:bCs/>
                <w:szCs w:val="21"/>
              </w:rPr>
            </w:pPr>
            <w:r>
              <w:rPr>
                <w:b/>
                <w:bCs/>
                <w:szCs w:val="21"/>
              </w:rPr>
              <w:t>表3-3  环境保护目标一览表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695"/>
              <w:gridCol w:w="601"/>
              <w:gridCol w:w="617"/>
              <w:gridCol w:w="697"/>
              <w:gridCol w:w="697"/>
              <w:gridCol w:w="985"/>
              <w:gridCol w:w="1145"/>
              <w:gridCol w:w="3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Merge w:val="restart"/>
                  <w:vAlign w:val="center"/>
                </w:tcPr>
                <w:p>
                  <w:pPr>
                    <w:adjustRightInd w:val="0"/>
                    <w:jc w:val="center"/>
                    <w:rPr>
                      <w:b/>
                      <w:szCs w:val="21"/>
                    </w:rPr>
                  </w:pPr>
                  <w:r>
                    <w:rPr>
                      <w:b/>
                      <w:szCs w:val="21"/>
                    </w:rPr>
                    <w:t>环境要素</w:t>
                  </w:r>
                </w:p>
              </w:tc>
              <w:tc>
                <w:tcPr>
                  <w:tcW w:w="377" w:type="pct"/>
                  <w:vMerge w:val="restart"/>
                  <w:vAlign w:val="center"/>
                </w:tcPr>
                <w:p>
                  <w:pPr>
                    <w:wordWrap w:val="0"/>
                    <w:adjustRightInd w:val="0"/>
                    <w:jc w:val="center"/>
                    <w:rPr>
                      <w:b/>
                      <w:szCs w:val="21"/>
                    </w:rPr>
                  </w:pPr>
                  <w:r>
                    <w:rPr>
                      <w:b/>
                      <w:szCs w:val="21"/>
                    </w:rPr>
                    <w:t>名称</w:t>
                  </w:r>
                </w:p>
              </w:tc>
              <w:tc>
                <w:tcPr>
                  <w:tcW w:w="619" w:type="pct"/>
                  <w:gridSpan w:val="2"/>
                  <w:vAlign w:val="center"/>
                </w:tcPr>
                <w:p>
                  <w:pPr>
                    <w:wordWrap w:val="0"/>
                    <w:adjustRightInd w:val="0"/>
                    <w:jc w:val="center"/>
                    <w:rPr>
                      <w:b/>
                      <w:szCs w:val="21"/>
                    </w:rPr>
                  </w:pPr>
                  <w:r>
                    <w:rPr>
                      <w:b/>
                      <w:szCs w:val="21"/>
                    </w:rPr>
                    <w:t>相对坐标/m</w:t>
                  </w:r>
                </w:p>
              </w:tc>
              <w:tc>
                <w:tcPr>
                  <w:tcW w:w="378" w:type="pct"/>
                  <w:vMerge w:val="restart"/>
                  <w:vAlign w:val="center"/>
                </w:tcPr>
                <w:p>
                  <w:pPr>
                    <w:wordWrap w:val="0"/>
                    <w:adjustRightInd w:val="0"/>
                    <w:jc w:val="center"/>
                    <w:rPr>
                      <w:b/>
                      <w:szCs w:val="21"/>
                    </w:rPr>
                  </w:pPr>
                  <w:r>
                    <w:rPr>
                      <w:b/>
                      <w:szCs w:val="21"/>
                    </w:rPr>
                    <w:t>保护对象</w:t>
                  </w:r>
                </w:p>
              </w:tc>
              <w:tc>
                <w:tcPr>
                  <w:tcW w:w="378" w:type="pct"/>
                  <w:vMerge w:val="restart"/>
                  <w:vAlign w:val="center"/>
                </w:tcPr>
                <w:p>
                  <w:pPr>
                    <w:wordWrap w:val="0"/>
                    <w:adjustRightInd w:val="0"/>
                    <w:jc w:val="center"/>
                    <w:rPr>
                      <w:b/>
                      <w:szCs w:val="21"/>
                    </w:rPr>
                  </w:pPr>
                  <w:r>
                    <w:rPr>
                      <w:b/>
                      <w:szCs w:val="21"/>
                    </w:rPr>
                    <w:t>相对方位</w:t>
                  </w:r>
                </w:p>
              </w:tc>
              <w:tc>
                <w:tcPr>
                  <w:tcW w:w="532" w:type="pct"/>
                  <w:vMerge w:val="restart"/>
                  <w:vAlign w:val="center"/>
                </w:tcPr>
                <w:p>
                  <w:pPr>
                    <w:wordWrap w:val="0"/>
                    <w:adjustRightInd w:val="0"/>
                    <w:jc w:val="center"/>
                    <w:rPr>
                      <w:b/>
                      <w:szCs w:val="21"/>
                    </w:rPr>
                  </w:pPr>
                  <w:r>
                    <w:rPr>
                      <w:b/>
                      <w:szCs w:val="21"/>
                    </w:rPr>
                    <w:t>距离（m）</w:t>
                  </w:r>
                </w:p>
              </w:tc>
              <w:tc>
                <w:tcPr>
                  <w:tcW w:w="617" w:type="pct"/>
                  <w:vMerge w:val="restart"/>
                  <w:vAlign w:val="center"/>
                </w:tcPr>
                <w:p>
                  <w:pPr>
                    <w:wordWrap w:val="0"/>
                    <w:adjustRightInd w:val="0"/>
                    <w:jc w:val="center"/>
                    <w:rPr>
                      <w:b/>
                      <w:szCs w:val="21"/>
                    </w:rPr>
                  </w:pPr>
                  <w:r>
                    <w:rPr>
                      <w:b/>
                      <w:szCs w:val="21"/>
                    </w:rPr>
                    <w:t>规模（人）</w:t>
                  </w:r>
                </w:p>
              </w:tc>
              <w:tc>
                <w:tcPr>
                  <w:tcW w:w="1723" w:type="pct"/>
                  <w:vMerge w:val="restart"/>
                  <w:vAlign w:val="center"/>
                </w:tcPr>
                <w:p>
                  <w:pPr>
                    <w:wordWrap w:val="0"/>
                    <w:adjustRightInd w:val="0"/>
                    <w:jc w:val="center"/>
                    <w:rPr>
                      <w:b/>
                      <w:szCs w:val="21"/>
                    </w:rPr>
                  </w:pPr>
                  <w:r>
                    <w:rPr>
                      <w:b/>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Merge w:val="continue"/>
                  <w:vAlign w:val="center"/>
                </w:tcPr>
                <w:p>
                  <w:pPr>
                    <w:wordWrap w:val="0"/>
                    <w:adjustRightInd w:val="0"/>
                    <w:jc w:val="center"/>
                    <w:rPr>
                      <w:color w:val="FF0000"/>
                      <w:szCs w:val="21"/>
                    </w:rPr>
                  </w:pPr>
                </w:p>
              </w:tc>
              <w:tc>
                <w:tcPr>
                  <w:tcW w:w="377" w:type="pct"/>
                  <w:vMerge w:val="continue"/>
                  <w:vAlign w:val="center"/>
                </w:tcPr>
                <w:p>
                  <w:pPr>
                    <w:wordWrap w:val="0"/>
                    <w:adjustRightInd w:val="0"/>
                    <w:jc w:val="center"/>
                    <w:rPr>
                      <w:color w:val="FF0000"/>
                      <w:szCs w:val="21"/>
                    </w:rPr>
                  </w:pPr>
                </w:p>
              </w:tc>
              <w:tc>
                <w:tcPr>
                  <w:tcW w:w="284" w:type="pct"/>
                  <w:vAlign w:val="center"/>
                </w:tcPr>
                <w:p>
                  <w:pPr>
                    <w:wordWrap w:val="0"/>
                    <w:adjustRightInd w:val="0"/>
                    <w:jc w:val="center"/>
                    <w:rPr>
                      <w:b/>
                      <w:szCs w:val="21"/>
                    </w:rPr>
                  </w:pPr>
                  <w:r>
                    <w:rPr>
                      <w:b/>
                      <w:szCs w:val="21"/>
                    </w:rPr>
                    <w:t>X</w:t>
                  </w:r>
                </w:p>
              </w:tc>
              <w:tc>
                <w:tcPr>
                  <w:tcW w:w="335" w:type="pct"/>
                  <w:vAlign w:val="center"/>
                </w:tcPr>
                <w:p>
                  <w:pPr>
                    <w:wordWrap w:val="0"/>
                    <w:adjustRightInd w:val="0"/>
                    <w:jc w:val="center"/>
                    <w:rPr>
                      <w:b/>
                      <w:szCs w:val="21"/>
                    </w:rPr>
                  </w:pPr>
                  <w:r>
                    <w:rPr>
                      <w:b/>
                      <w:szCs w:val="21"/>
                    </w:rPr>
                    <w:t>Y</w:t>
                  </w:r>
                </w:p>
              </w:tc>
              <w:tc>
                <w:tcPr>
                  <w:tcW w:w="378" w:type="pct"/>
                  <w:vMerge w:val="continue"/>
                  <w:vAlign w:val="center"/>
                </w:tcPr>
                <w:p>
                  <w:pPr>
                    <w:wordWrap w:val="0"/>
                    <w:adjustRightInd w:val="0"/>
                    <w:jc w:val="center"/>
                    <w:rPr>
                      <w:color w:val="FF0000"/>
                      <w:szCs w:val="21"/>
                    </w:rPr>
                  </w:pPr>
                </w:p>
              </w:tc>
              <w:tc>
                <w:tcPr>
                  <w:tcW w:w="378" w:type="pct"/>
                  <w:vMerge w:val="continue"/>
                  <w:vAlign w:val="center"/>
                </w:tcPr>
                <w:p>
                  <w:pPr>
                    <w:wordWrap w:val="0"/>
                    <w:adjustRightInd w:val="0"/>
                    <w:jc w:val="center"/>
                    <w:rPr>
                      <w:color w:val="FF0000"/>
                      <w:szCs w:val="21"/>
                    </w:rPr>
                  </w:pPr>
                </w:p>
              </w:tc>
              <w:tc>
                <w:tcPr>
                  <w:tcW w:w="532" w:type="pct"/>
                  <w:vMerge w:val="continue"/>
                  <w:vAlign w:val="center"/>
                </w:tcPr>
                <w:p>
                  <w:pPr>
                    <w:wordWrap w:val="0"/>
                    <w:adjustRightInd w:val="0"/>
                    <w:jc w:val="center"/>
                    <w:rPr>
                      <w:color w:val="FF0000"/>
                      <w:szCs w:val="21"/>
                    </w:rPr>
                  </w:pPr>
                </w:p>
              </w:tc>
              <w:tc>
                <w:tcPr>
                  <w:tcW w:w="617" w:type="pct"/>
                  <w:vMerge w:val="continue"/>
                  <w:vAlign w:val="center"/>
                </w:tcPr>
                <w:p>
                  <w:pPr>
                    <w:wordWrap w:val="0"/>
                    <w:adjustRightInd w:val="0"/>
                    <w:jc w:val="center"/>
                    <w:rPr>
                      <w:color w:val="FF0000"/>
                      <w:szCs w:val="21"/>
                    </w:rPr>
                  </w:pPr>
                </w:p>
              </w:tc>
              <w:tc>
                <w:tcPr>
                  <w:tcW w:w="1723" w:type="pct"/>
                  <w:vMerge w:val="continue"/>
                  <w:vAlign w:val="center"/>
                </w:tcPr>
                <w:p>
                  <w:pPr>
                    <w:wordWrap w:val="0"/>
                    <w:adjustRightInd w:val="0"/>
                    <w:jc w:val="center"/>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Merge w:val="restart"/>
                  <w:vAlign w:val="center"/>
                </w:tcPr>
                <w:p>
                  <w:pPr>
                    <w:adjustRightInd w:val="0"/>
                    <w:jc w:val="center"/>
                    <w:rPr>
                      <w:szCs w:val="21"/>
                    </w:rPr>
                  </w:pPr>
                  <w:r>
                    <w:rPr>
                      <w:szCs w:val="21"/>
                    </w:rPr>
                    <w:t>大气环境</w:t>
                  </w:r>
                </w:p>
              </w:tc>
              <w:tc>
                <w:tcPr>
                  <w:tcW w:w="377" w:type="pct"/>
                  <w:vAlign w:val="center"/>
                </w:tcPr>
                <w:p>
                  <w:pPr>
                    <w:adjustRightInd w:val="0"/>
                    <w:snapToGrid w:val="0"/>
                    <w:jc w:val="center"/>
                    <w:rPr>
                      <w:kern w:val="18"/>
                      <w:szCs w:val="21"/>
                    </w:rPr>
                  </w:pPr>
                  <w:r>
                    <w:rPr>
                      <w:rFonts w:hint="eastAsia"/>
                      <w:kern w:val="18"/>
                      <w:szCs w:val="21"/>
                    </w:rPr>
                    <w:t>东亘黄家</w:t>
                  </w:r>
                </w:p>
              </w:tc>
              <w:tc>
                <w:tcPr>
                  <w:tcW w:w="284" w:type="pct"/>
                  <w:vAlign w:val="center"/>
                </w:tcPr>
                <w:p>
                  <w:pPr>
                    <w:jc w:val="center"/>
                    <w:rPr>
                      <w:szCs w:val="21"/>
                    </w:rPr>
                  </w:pPr>
                  <w:r>
                    <w:rPr>
                      <w:rFonts w:hint="eastAsia"/>
                      <w:szCs w:val="21"/>
                    </w:rPr>
                    <w:t>137</w:t>
                  </w:r>
                </w:p>
              </w:tc>
              <w:tc>
                <w:tcPr>
                  <w:tcW w:w="335" w:type="pct"/>
                  <w:vAlign w:val="center"/>
                </w:tcPr>
                <w:p>
                  <w:pPr>
                    <w:jc w:val="center"/>
                    <w:rPr>
                      <w:szCs w:val="21"/>
                    </w:rPr>
                  </w:pPr>
                  <w:r>
                    <w:rPr>
                      <w:rFonts w:hint="eastAsia"/>
                      <w:szCs w:val="21"/>
                    </w:rPr>
                    <w:t>0</w:t>
                  </w:r>
                </w:p>
              </w:tc>
              <w:tc>
                <w:tcPr>
                  <w:tcW w:w="378" w:type="pct"/>
                  <w:vAlign w:val="center"/>
                </w:tcPr>
                <w:p>
                  <w:pPr>
                    <w:wordWrap w:val="0"/>
                    <w:adjustRightInd w:val="0"/>
                    <w:jc w:val="center"/>
                    <w:rPr>
                      <w:szCs w:val="21"/>
                    </w:rPr>
                  </w:pPr>
                  <w:r>
                    <w:rPr>
                      <w:rFonts w:hint="eastAsia"/>
                      <w:szCs w:val="21"/>
                    </w:rPr>
                    <w:t>居民区</w:t>
                  </w:r>
                </w:p>
              </w:tc>
              <w:tc>
                <w:tcPr>
                  <w:tcW w:w="378" w:type="pct"/>
                  <w:vAlign w:val="center"/>
                </w:tcPr>
                <w:p>
                  <w:pPr>
                    <w:jc w:val="center"/>
                    <w:rPr>
                      <w:szCs w:val="21"/>
                    </w:rPr>
                  </w:pPr>
                  <w:r>
                    <w:rPr>
                      <w:rFonts w:hint="eastAsia"/>
                      <w:szCs w:val="21"/>
                    </w:rPr>
                    <w:t>东</w:t>
                  </w:r>
                </w:p>
              </w:tc>
              <w:tc>
                <w:tcPr>
                  <w:tcW w:w="532" w:type="pct"/>
                  <w:vAlign w:val="center"/>
                </w:tcPr>
                <w:p>
                  <w:pPr>
                    <w:wordWrap w:val="0"/>
                    <w:adjustRightInd w:val="0"/>
                    <w:jc w:val="center"/>
                    <w:rPr>
                      <w:szCs w:val="21"/>
                    </w:rPr>
                  </w:pPr>
                  <w:r>
                    <w:rPr>
                      <w:rFonts w:hint="eastAsia"/>
                      <w:szCs w:val="21"/>
                    </w:rPr>
                    <w:t>137</w:t>
                  </w:r>
                </w:p>
              </w:tc>
              <w:tc>
                <w:tcPr>
                  <w:tcW w:w="617" w:type="pct"/>
                  <w:vAlign w:val="center"/>
                </w:tcPr>
                <w:p>
                  <w:pPr>
                    <w:jc w:val="center"/>
                    <w:rPr>
                      <w:szCs w:val="21"/>
                    </w:rPr>
                  </w:pPr>
                  <w:r>
                    <w:rPr>
                      <w:szCs w:val="21"/>
                    </w:rPr>
                    <w:t>400户1200人</w:t>
                  </w:r>
                </w:p>
              </w:tc>
              <w:tc>
                <w:tcPr>
                  <w:tcW w:w="1723" w:type="pct"/>
                  <w:vMerge w:val="restart"/>
                  <w:vAlign w:val="center"/>
                </w:tcPr>
                <w:p>
                  <w:pPr>
                    <w:adjustRightInd w:val="0"/>
                    <w:jc w:val="center"/>
                    <w:rPr>
                      <w:szCs w:val="21"/>
                    </w:rPr>
                  </w:pPr>
                  <w:r>
                    <w:rPr>
                      <w:szCs w:val="21"/>
                    </w:rPr>
                    <w:t>《环境空气</w:t>
                  </w:r>
                  <w:r>
                    <w:rPr>
                      <w:rFonts w:hint="eastAsia"/>
                      <w:szCs w:val="21"/>
                    </w:rPr>
                    <w:t>质量</w:t>
                  </w:r>
                  <w:r>
                    <w:rPr>
                      <w:szCs w:val="21"/>
                    </w:rPr>
                    <w:t>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Merge w:val="continue"/>
                  <w:vAlign w:val="center"/>
                </w:tcPr>
                <w:p>
                  <w:pPr>
                    <w:adjustRightInd w:val="0"/>
                    <w:jc w:val="center"/>
                    <w:rPr>
                      <w:szCs w:val="21"/>
                    </w:rPr>
                  </w:pPr>
                </w:p>
              </w:tc>
              <w:tc>
                <w:tcPr>
                  <w:tcW w:w="377" w:type="pct"/>
                  <w:vAlign w:val="center"/>
                </w:tcPr>
                <w:p>
                  <w:pPr>
                    <w:adjustRightInd w:val="0"/>
                    <w:snapToGrid w:val="0"/>
                    <w:jc w:val="center"/>
                    <w:rPr>
                      <w:kern w:val="18"/>
                      <w:szCs w:val="21"/>
                    </w:rPr>
                  </w:pPr>
                  <w:r>
                    <w:rPr>
                      <w:kern w:val="18"/>
                      <w:szCs w:val="21"/>
                    </w:rPr>
                    <w:t>东亘村</w:t>
                  </w:r>
                </w:p>
              </w:tc>
              <w:tc>
                <w:tcPr>
                  <w:tcW w:w="284" w:type="pct"/>
                  <w:vAlign w:val="center"/>
                </w:tcPr>
                <w:p>
                  <w:pPr>
                    <w:jc w:val="center"/>
                    <w:rPr>
                      <w:szCs w:val="21"/>
                    </w:rPr>
                  </w:pPr>
                  <w:r>
                    <w:rPr>
                      <w:rFonts w:hint="eastAsia"/>
                      <w:szCs w:val="21"/>
                    </w:rPr>
                    <w:t>0</w:t>
                  </w:r>
                </w:p>
              </w:tc>
              <w:tc>
                <w:tcPr>
                  <w:tcW w:w="335" w:type="pct"/>
                  <w:vAlign w:val="center"/>
                </w:tcPr>
                <w:p>
                  <w:pPr>
                    <w:jc w:val="center"/>
                    <w:rPr>
                      <w:szCs w:val="21"/>
                    </w:rPr>
                  </w:pPr>
                  <w:r>
                    <w:rPr>
                      <w:rFonts w:hint="eastAsia"/>
                      <w:szCs w:val="21"/>
                    </w:rPr>
                    <w:t>-150</w:t>
                  </w:r>
                </w:p>
              </w:tc>
              <w:tc>
                <w:tcPr>
                  <w:tcW w:w="378" w:type="pct"/>
                  <w:vAlign w:val="center"/>
                </w:tcPr>
                <w:p>
                  <w:pPr>
                    <w:wordWrap w:val="0"/>
                    <w:adjustRightInd w:val="0"/>
                    <w:jc w:val="center"/>
                    <w:rPr>
                      <w:szCs w:val="21"/>
                    </w:rPr>
                  </w:pPr>
                  <w:r>
                    <w:rPr>
                      <w:rFonts w:hint="eastAsia"/>
                      <w:szCs w:val="21"/>
                    </w:rPr>
                    <w:t>居民区</w:t>
                  </w:r>
                </w:p>
              </w:tc>
              <w:tc>
                <w:tcPr>
                  <w:tcW w:w="378" w:type="pct"/>
                  <w:vAlign w:val="center"/>
                </w:tcPr>
                <w:p>
                  <w:pPr>
                    <w:jc w:val="center"/>
                    <w:rPr>
                      <w:szCs w:val="21"/>
                    </w:rPr>
                  </w:pPr>
                  <w:r>
                    <w:rPr>
                      <w:szCs w:val="21"/>
                    </w:rPr>
                    <w:t>南</w:t>
                  </w:r>
                </w:p>
              </w:tc>
              <w:tc>
                <w:tcPr>
                  <w:tcW w:w="532" w:type="pct"/>
                  <w:vAlign w:val="center"/>
                </w:tcPr>
                <w:p>
                  <w:pPr>
                    <w:wordWrap w:val="0"/>
                    <w:adjustRightInd w:val="0"/>
                    <w:jc w:val="center"/>
                    <w:rPr>
                      <w:szCs w:val="21"/>
                    </w:rPr>
                  </w:pPr>
                  <w:r>
                    <w:rPr>
                      <w:rFonts w:hint="eastAsia"/>
                      <w:szCs w:val="21"/>
                    </w:rPr>
                    <w:t>150</w:t>
                  </w:r>
                </w:p>
              </w:tc>
              <w:tc>
                <w:tcPr>
                  <w:tcW w:w="617" w:type="pct"/>
                  <w:vAlign w:val="center"/>
                </w:tcPr>
                <w:p>
                  <w:pPr>
                    <w:jc w:val="center"/>
                    <w:rPr>
                      <w:szCs w:val="21"/>
                    </w:rPr>
                  </w:pPr>
                  <w:r>
                    <w:rPr>
                      <w:rFonts w:hint="eastAsia"/>
                      <w:szCs w:val="21"/>
                    </w:rPr>
                    <w:t>3</w:t>
                  </w:r>
                  <w:r>
                    <w:rPr>
                      <w:szCs w:val="21"/>
                    </w:rPr>
                    <w:t>00户</w:t>
                  </w:r>
                  <w:r>
                    <w:rPr>
                      <w:rFonts w:hint="eastAsia"/>
                      <w:szCs w:val="21"/>
                    </w:rPr>
                    <w:t>9</w:t>
                  </w:r>
                  <w:r>
                    <w:rPr>
                      <w:szCs w:val="21"/>
                    </w:rPr>
                    <w:t>00人</w:t>
                  </w:r>
                </w:p>
              </w:tc>
              <w:tc>
                <w:tcPr>
                  <w:tcW w:w="1723"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Merge w:val="continue"/>
                  <w:vAlign w:val="center"/>
                </w:tcPr>
                <w:p>
                  <w:pPr>
                    <w:adjustRightInd w:val="0"/>
                    <w:jc w:val="center"/>
                    <w:rPr>
                      <w:szCs w:val="21"/>
                    </w:rPr>
                  </w:pPr>
                </w:p>
              </w:tc>
              <w:tc>
                <w:tcPr>
                  <w:tcW w:w="377" w:type="pct"/>
                  <w:vAlign w:val="center"/>
                </w:tcPr>
                <w:p>
                  <w:pPr>
                    <w:adjustRightInd w:val="0"/>
                    <w:snapToGrid w:val="0"/>
                    <w:jc w:val="center"/>
                    <w:rPr>
                      <w:kern w:val="18"/>
                      <w:szCs w:val="21"/>
                    </w:rPr>
                  </w:pPr>
                  <w:r>
                    <w:rPr>
                      <w:kern w:val="18"/>
                      <w:szCs w:val="21"/>
                    </w:rPr>
                    <w:t>石里村</w:t>
                  </w:r>
                </w:p>
              </w:tc>
              <w:tc>
                <w:tcPr>
                  <w:tcW w:w="284" w:type="pct"/>
                  <w:vAlign w:val="center"/>
                </w:tcPr>
                <w:p>
                  <w:pPr>
                    <w:jc w:val="center"/>
                    <w:rPr>
                      <w:szCs w:val="21"/>
                    </w:rPr>
                  </w:pPr>
                  <w:r>
                    <w:rPr>
                      <w:rFonts w:hint="eastAsia"/>
                      <w:szCs w:val="21"/>
                    </w:rPr>
                    <w:t>-422</w:t>
                  </w:r>
                </w:p>
              </w:tc>
              <w:tc>
                <w:tcPr>
                  <w:tcW w:w="335" w:type="pct"/>
                  <w:vAlign w:val="center"/>
                </w:tcPr>
                <w:p>
                  <w:pPr>
                    <w:jc w:val="center"/>
                    <w:rPr>
                      <w:szCs w:val="21"/>
                    </w:rPr>
                  </w:pPr>
                  <w:r>
                    <w:rPr>
                      <w:rFonts w:hint="eastAsia"/>
                      <w:szCs w:val="21"/>
                    </w:rPr>
                    <w:t>0</w:t>
                  </w:r>
                </w:p>
              </w:tc>
              <w:tc>
                <w:tcPr>
                  <w:tcW w:w="378" w:type="pct"/>
                  <w:vAlign w:val="center"/>
                </w:tcPr>
                <w:p>
                  <w:pPr>
                    <w:wordWrap w:val="0"/>
                    <w:adjustRightInd w:val="0"/>
                    <w:jc w:val="center"/>
                    <w:rPr>
                      <w:szCs w:val="21"/>
                    </w:rPr>
                  </w:pPr>
                  <w:r>
                    <w:rPr>
                      <w:rFonts w:hint="eastAsia"/>
                      <w:szCs w:val="21"/>
                    </w:rPr>
                    <w:t>居民区</w:t>
                  </w:r>
                </w:p>
              </w:tc>
              <w:tc>
                <w:tcPr>
                  <w:tcW w:w="378" w:type="pct"/>
                  <w:vAlign w:val="center"/>
                </w:tcPr>
                <w:p>
                  <w:pPr>
                    <w:jc w:val="center"/>
                    <w:rPr>
                      <w:szCs w:val="21"/>
                    </w:rPr>
                  </w:pPr>
                  <w:r>
                    <w:rPr>
                      <w:szCs w:val="21"/>
                    </w:rPr>
                    <w:t>西</w:t>
                  </w:r>
                </w:p>
              </w:tc>
              <w:tc>
                <w:tcPr>
                  <w:tcW w:w="532" w:type="pct"/>
                  <w:vAlign w:val="center"/>
                </w:tcPr>
                <w:p>
                  <w:pPr>
                    <w:wordWrap w:val="0"/>
                    <w:adjustRightInd w:val="0"/>
                    <w:jc w:val="center"/>
                    <w:rPr>
                      <w:szCs w:val="21"/>
                    </w:rPr>
                  </w:pPr>
                  <w:r>
                    <w:rPr>
                      <w:rFonts w:hint="eastAsia"/>
                      <w:szCs w:val="21"/>
                    </w:rPr>
                    <w:t>422</w:t>
                  </w:r>
                </w:p>
              </w:tc>
              <w:tc>
                <w:tcPr>
                  <w:tcW w:w="617" w:type="pct"/>
                  <w:vAlign w:val="center"/>
                </w:tcPr>
                <w:p>
                  <w:pPr>
                    <w:jc w:val="center"/>
                    <w:rPr>
                      <w:szCs w:val="21"/>
                    </w:rPr>
                  </w:pPr>
                  <w:r>
                    <w:rPr>
                      <w:rFonts w:hint="eastAsia"/>
                      <w:szCs w:val="21"/>
                    </w:rPr>
                    <w:t>200户700人</w:t>
                  </w:r>
                </w:p>
              </w:tc>
              <w:tc>
                <w:tcPr>
                  <w:tcW w:w="1723"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Align w:val="center"/>
                </w:tcPr>
                <w:p>
                  <w:pPr>
                    <w:wordWrap w:val="0"/>
                    <w:adjustRightInd w:val="0"/>
                    <w:jc w:val="center"/>
                    <w:rPr>
                      <w:szCs w:val="21"/>
                    </w:rPr>
                  </w:pPr>
                  <w:r>
                    <w:rPr>
                      <w:szCs w:val="21"/>
                    </w:rPr>
                    <w:t>水环境</w:t>
                  </w:r>
                </w:p>
              </w:tc>
              <w:tc>
                <w:tcPr>
                  <w:tcW w:w="377" w:type="pct"/>
                  <w:vAlign w:val="center"/>
                </w:tcPr>
                <w:p>
                  <w:pPr>
                    <w:wordWrap w:val="0"/>
                    <w:adjustRightInd w:val="0"/>
                    <w:jc w:val="center"/>
                    <w:rPr>
                      <w:szCs w:val="21"/>
                    </w:rPr>
                  </w:pPr>
                  <w:r>
                    <w:rPr>
                      <w:szCs w:val="21"/>
                    </w:rPr>
                    <w:t>抚河故道</w:t>
                  </w:r>
                </w:p>
              </w:tc>
              <w:tc>
                <w:tcPr>
                  <w:tcW w:w="2524" w:type="pct"/>
                  <w:gridSpan w:val="6"/>
                  <w:vAlign w:val="center"/>
                </w:tcPr>
                <w:p>
                  <w:pPr>
                    <w:wordWrap w:val="0"/>
                    <w:adjustRightInd w:val="0"/>
                    <w:jc w:val="center"/>
                    <w:rPr>
                      <w:szCs w:val="21"/>
                    </w:rPr>
                  </w:pPr>
                  <w:r>
                    <w:rPr>
                      <w:szCs w:val="21"/>
                    </w:rPr>
                    <w:t>西南面，</w:t>
                  </w:r>
                  <w:r>
                    <w:rPr>
                      <w:rFonts w:hint="eastAsia"/>
                      <w:szCs w:val="21"/>
                    </w:rPr>
                    <w:t>110</w:t>
                  </w:r>
                  <w:r>
                    <w:rPr>
                      <w:szCs w:val="21"/>
                    </w:rPr>
                    <w:t>0m，大河</w:t>
                  </w:r>
                </w:p>
              </w:tc>
              <w:tc>
                <w:tcPr>
                  <w:tcW w:w="1723" w:type="pct"/>
                  <w:vAlign w:val="center"/>
                </w:tcPr>
                <w:p>
                  <w:pPr>
                    <w:wordWrap w:val="0"/>
                    <w:adjustRightInd w:val="0"/>
                    <w:snapToGrid w:val="0"/>
                    <w:ind w:left="-53" w:leftChars="-25" w:right="-53" w:rightChars="-25"/>
                    <w:jc w:val="center"/>
                    <w:rPr>
                      <w:szCs w:val="21"/>
                    </w:rPr>
                  </w:pPr>
                  <w:r>
                    <w:rPr>
                      <w:szCs w:val="21"/>
                    </w:rPr>
                    <w:t>《地表水环境质量标准》（GB3838-2002）III类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6" w:type="pct"/>
                  <w:vAlign w:val="center"/>
                </w:tcPr>
                <w:p>
                  <w:pPr>
                    <w:wordWrap w:val="0"/>
                    <w:adjustRightInd w:val="0"/>
                    <w:jc w:val="center"/>
                    <w:rPr>
                      <w:szCs w:val="21"/>
                    </w:rPr>
                  </w:pPr>
                  <w:r>
                    <w:rPr>
                      <w:szCs w:val="21"/>
                    </w:rPr>
                    <w:t>声环境</w:t>
                  </w:r>
                </w:p>
              </w:tc>
              <w:tc>
                <w:tcPr>
                  <w:tcW w:w="377" w:type="pct"/>
                  <w:vAlign w:val="center"/>
                </w:tcPr>
                <w:p>
                  <w:pPr>
                    <w:jc w:val="center"/>
                    <w:rPr>
                      <w:szCs w:val="21"/>
                    </w:rPr>
                  </w:pPr>
                  <w:r>
                    <w:rPr>
                      <w:szCs w:val="21"/>
                    </w:rPr>
                    <w:t>/</w:t>
                  </w:r>
                </w:p>
              </w:tc>
              <w:tc>
                <w:tcPr>
                  <w:tcW w:w="2524" w:type="pct"/>
                  <w:gridSpan w:val="6"/>
                  <w:vAlign w:val="center"/>
                </w:tcPr>
                <w:p>
                  <w:pPr>
                    <w:wordWrap w:val="0"/>
                    <w:adjustRightInd w:val="0"/>
                    <w:jc w:val="center"/>
                    <w:rPr>
                      <w:szCs w:val="21"/>
                    </w:rPr>
                  </w:pPr>
                  <w:r>
                    <w:rPr>
                      <w:szCs w:val="21"/>
                    </w:rPr>
                    <w:t>厂界外50m范围内</w:t>
                  </w:r>
                </w:p>
              </w:tc>
              <w:tc>
                <w:tcPr>
                  <w:tcW w:w="1723" w:type="pct"/>
                  <w:vAlign w:val="center"/>
                </w:tcPr>
                <w:p>
                  <w:pPr>
                    <w:wordWrap w:val="0"/>
                    <w:adjustRightInd w:val="0"/>
                    <w:jc w:val="center"/>
                    <w:rPr>
                      <w:szCs w:val="21"/>
                    </w:rPr>
                  </w:pPr>
                  <w:r>
                    <w:rPr>
                      <w:szCs w:val="21"/>
                    </w:rPr>
                    <w:t>《声环境质量标准》（GB3096-2008）3类</w:t>
                  </w:r>
                </w:p>
              </w:tc>
            </w:tr>
          </w:tbl>
          <w:p>
            <w:pPr>
              <w:adjustRightInd w:val="0"/>
              <w:snapToGrid w:val="0"/>
              <w:jc w:val="right"/>
              <w:rPr>
                <w:color w:val="FF0000"/>
                <w:kern w:val="0"/>
                <w:szCs w:val="21"/>
              </w:rPr>
            </w:pPr>
            <w:r>
              <w:rPr>
                <w:szCs w:val="21"/>
              </w:rPr>
              <w:t>注：厂区中心点为坐标原点。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779" w:type="dxa"/>
            <w:tcMar>
              <w:left w:w="28" w:type="dxa"/>
              <w:right w:w="28" w:type="dxa"/>
            </w:tcMar>
            <w:vAlign w:val="center"/>
          </w:tcPr>
          <w:p>
            <w:pPr>
              <w:adjustRightInd w:val="0"/>
              <w:snapToGrid w:val="0"/>
              <w:jc w:val="center"/>
              <w:rPr>
                <w:kern w:val="0"/>
                <w:sz w:val="24"/>
              </w:rPr>
            </w:pPr>
            <w:r>
              <w:rPr>
                <w:kern w:val="0"/>
                <w:sz w:val="24"/>
              </w:rPr>
              <w:t>污染</w:t>
            </w:r>
          </w:p>
          <w:p>
            <w:pPr>
              <w:adjustRightInd w:val="0"/>
              <w:snapToGrid w:val="0"/>
              <w:jc w:val="center"/>
              <w:rPr>
                <w:kern w:val="0"/>
                <w:sz w:val="24"/>
              </w:rPr>
            </w:pPr>
            <w:r>
              <w:rPr>
                <w:kern w:val="0"/>
                <w:sz w:val="24"/>
              </w:rPr>
              <w:t>物排</w:t>
            </w:r>
          </w:p>
          <w:p>
            <w:pPr>
              <w:adjustRightInd w:val="0"/>
              <w:snapToGrid w:val="0"/>
              <w:jc w:val="center"/>
              <w:rPr>
                <w:kern w:val="0"/>
                <w:sz w:val="24"/>
              </w:rPr>
            </w:pPr>
            <w:r>
              <w:rPr>
                <w:kern w:val="0"/>
                <w:sz w:val="24"/>
              </w:rPr>
              <w:t>放控</w:t>
            </w:r>
          </w:p>
          <w:p>
            <w:pPr>
              <w:adjustRightInd w:val="0"/>
              <w:snapToGrid w:val="0"/>
              <w:jc w:val="center"/>
              <w:rPr>
                <w:kern w:val="0"/>
                <w:sz w:val="24"/>
              </w:rPr>
            </w:pPr>
            <w:r>
              <w:rPr>
                <w:kern w:val="0"/>
                <w:sz w:val="24"/>
              </w:rPr>
              <w:t>制标</w:t>
            </w:r>
          </w:p>
          <w:p>
            <w:pPr>
              <w:adjustRightInd w:val="0"/>
              <w:snapToGrid w:val="0"/>
              <w:jc w:val="center"/>
              <w:rPr>
                <w:kern w:val="0"/>
                <w:szCs w:val="21"/>
              </w:rPr>
            </w:pPr>
            <w:r>
              <w:rPr>
                <w:kern w:val="0"/>
                <w:sz w:val="24"/>
              </w:rPr>
              <w:t>准</w:t>
            </w:r>
          </w:p>
        </w:tc>
        <w:tc>
          <w:tcPr>
            <w:tcW w:w="9559" w:type="dxa"/>
            <w:vAlign w:val="center"/>
          </w:tcPr>
          <w:p>
            <w:pPr>
              <w:snapToGrid w:val="0"/>
              <w:spacing w:before="120" w:beforeLines="50" w:line="360" w:lineRule="auto"/>
              <w:ind w:firstLine="480" w:firstLineChars="200"/>
              <w:rPr>
                <w:sz w:val="24"/>
                <w:szCs w:val="28"/>
              </w:rPr>
            </w:pPr>
            <w:r>
              <w:rPr>
                <w:sz w:val="24"/>
                <w:szCs w:val="28"/>
              </w:rPr>
              <w:t>1、废气</w:t>
            </w:r>
          </w:p>
          <w:p>
            <w:pPr>
              <w:snapToGrid w:val="0"/>
              <w:spacing w:before="120" w:beforeLines="50" w:line="360" w:lineRule="auto"/>
              <w:ind w:firstLine="480" w:firstLineChars="200"/>
              <w:rPr>
                <w:color w:val="FF0000"/>
                <w:sz w:val="24"/>
                <w:szCs w:val="28"/>
              </w:rPr>
            </w:pPr>
            <w:r>
              <w:rPr>
                <w:rFonts w:hint="eastAsia"/>
                <w:color w:val="FF0000"/>
                <w:sz w:val="24"/>
              </w:rPr>
              <w:t>施工期粉尘</w:t>
            </w:r>
            <w:r>
              <w:rPr>
                <w:color w:val="FF0000"/>
                <w:sz w:val="24"/>
              </w:rPr>
              <w:t>执行</w:t>
            </w:r>
            <w:r>
              <w:rPr>
                <w:rFonts w:hint="eastAsia"/>
                <w:color w:val="FF0000"/>
                <w:sz w:val="24"/>
              </w:rPr>
              <w:t>《大气污染物综合排放标准》（GB16297-1996）无组织</w:t>
            </w:r>
            <w:r>
              <w:rPr>
                <w:color w:val="FF0000"/>
                <w:sz w:val="24"/>
              </w:rPr>
              <w:t>排放监控浓度</w:t>
            </w:r>
            <w:r>
              <w:rPr>
                <w:rFonts w:hint="eastAsia"/>
                <w:color w:val="FF0000"/>
                <w:sz w:val="24"/>
              </w:rPr>
              <w:t>限值，</w:t>
            </w:r>
            <w:r>
              <w:rPr>
                <w:color w:val="FF0000"/>
                <w:sz w:val="24"/>
              </w:rPr>
              <w:t>营运期焊接烟尘</w:t>
            </w:r>
            <w:r>
              <w:rPr>
                <w:rFonts w:hint="eastAsia"/>
                <w:color w:val="FF0000"/>
                <w:sz w:val="24"/>
              </w:rPr>
              <w:t>、打磨抛光粉尘</w:t>
            </w:r>
            <w:r>
              <w:rPr>
                <w:color w:val="FF0000"/>
                <w:sz w:val="24"/>
              </w:rPr>
              <w:t>排放执行《大气污染物综合排放标准》（GB16297-1996）表2</w:t>
            </w:r>
            <w:r>
              <w:rPr>
                <w:rFonts w:hint="eastAsia"/>
                <w:color w:val="FF0000"/>
                <w:sz w:val="24"/>
              </w:rPr>
              <w:t>中</w:t>
            </w:r>
            <w:r>
              <w:rPr>
                <w:color w:val="FF0000"/>
                <w:sz w:val="24"/>
              </w:rPr>
              <w:t>二级标准</w:t>
            </w:r>
            <w:r>
              <w:rPr>
                <w:rFonts w:hint="eastAsia"/>
                <w:color w:val="FF0000"/>
                <w:sz w:val="24"/>
              </w:rPr>
              <w:t>。</w:t>
            </w:r>
          </w:p>
          <w:p>
            <w:pPr>
              <w:jc w:val="center"/>
              <w:rPr>
                <w:b/>
                <w:bCs/>
                <w:szCs w:val="21"/>
              </w:rPr>
            </w:pPr>
            <w:r>
              <w:rPr>
                <w:b/>
                <w:bCs/>
                <w:szCs w:val="21"/>
              </w:rPr>
              <w:t>表3-4  废气排放标准</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968"/>
              <w:gridCol w:w="381"/>
              <w:gridCol w:w="1431"/>
              <w:gridCol w:w="1400"/>
              <w:gridCol w:w="934"/>
              <w:gridCol w:w="1581"/>
              <w:gridCol w:w="2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454" w:hRule="exact"/>
              </w:trPr>
              <w:tc>
                <w:tcPr>
                  <w:tcW w:w="518" w:type="pct"/>
                  <w:vMerge w:val="restart"/>
                  <w:vAlign w:val="center"/>
                </w:tcPr>
                <w:p>
                  <w:pPr>
                    <w:snapToGrid w:val="0"/>
                    <w:jc w:val="center"/>
                    <w:rPr>
                      <w:b/>
                      <w:szCs w:val="21"/>
                    </w:rPr>
                  </w:pPr>
                  <w:r>
                    <w:rPr>
                      <w:b/>
                      <w:szCs w:val="21"/>
                    </w:rPr>
                    <w:t>废气源</w:t>
                  </w:r>
                </w:p>
              </w:tc>
              <w:tc>
                <w:tcPr>
                  <w:tcW w:w="204" w:type="pct"/>
                  <w:vMerge w:val="restart"/>
                  <w:vAlign w:val="center"/>
                </w:tcPr>
                <w:p>
                  <w:pPr>
                    <w:snapToGrid w:val="0"/>
                    <w:jc w:val="center"/>
                    <w:rPr>
                      <w:b/>
                      <w:szCs w:val="21"/>
                    </w:rPr>
                  </w:pPr>
                  <w:r>
                    <w:rPr>
                      <w:b/>
                      <w:szCs w:val="21"/>
                    </w:rPr>
                    <w:t>污染物</w:t>
                  </w:r>
                </w:p>
              </w:tc>
              <w:tc>
                <w:tcPr>
                  <w:tcW w:w="766" w:type="pct"/>
                  <w:vMerge w:val="restart"/>
                  <w:tcMar>
                    <w:left w:w="28" w:type="dxa"/>
                    <w:right w:w="28" w:type="dxa"/>
                  </w:tcMar>
                  <w:vAlign w:val="center"/>
                </w:tcPr>
                <w:p>
                  <w:pPr>
                    <w:snapToGrid w:val="0"/>
                    <w:jc w:val="center"/>
                    <w:rPr>
                      <w:b/>
                      <w:szCs w:val="21"/>
                    </w:rPr>
                  </w:pPr>
                  <w:r>
                    <w:rPr>
                      <w:b/>
                      <w:szCs w:val="21"/>
                    </w:rPr>
                    <w:t>最高允许排放浓度（mg/m</w:t>
                  </w:r>
                  <w:r>
                    <w:rPr>
                      <w:b/>
                      <w:szCs w:val="21"/>
                      <w:vertAlign w:val="superscript"/>
                    </w:rPr>
                    <w:t>3</w:t>
                  </w:r>
                  <w:r>
                    <w:rPr>
                      <w:b/>
                      <w:szCs w:val="21"/>
                    </w:rPr>
                    <w:t>）</w:t>
                  </w:r>
                </w:p>
              </w:tc>
              <w:tc>
                <w:tcPr>
                  <w:tcW w:w="1249" w:type="pct"/>
                  <w:gridSpan w:val="2"/>
                  <w:vAlign w:val="center"/>
                </w:tcPr>
                <w:p>
                  <w:pPr>
                    <w:snapToGrid w:val="0"/>
                    <w:jc w:val="center"/>
                    <w:rPr>
                      <w:b/>
                      <w:szCs w:val="21"/>
                    </w:rPr>
                  </w:pPr>
                  <w:r>
                    <w:rPr>
                      <w:b/>
                      <w:szCs w:val="21"/>
                    </w:rPr>
                    <w:t>最高允许排放速率</w:t>
                  </w:r>
                </w:p>
              </w:tc>
              <w:tc>
                <w:tcPr>
                  <w:tcW w:w="846" w:type="pct"/>
                  <w:vMerge w:val="restart"/>
                  <w:tcMar>
                    <w:left w:w="0" w:type="dxa"/>
                    <w:right w:w="0" w:type="dxa"/>
                  </w:tcMar>
                  <w:vAlign w:val="center"/>
                </w:tcPr>
                <w:p>
                  <w:pPr>
                    <w:snapToGrid w:val="0"/>
                    <w:jc w:val="center"/>
                    <w:rPr>
                      <w:b/>
                      <w:szCs w:val="21"/>
                    </w:rPr>
                  </w:pPr>
                  <w:r>
                    <w:rPr>
                      <w:b/>
                      <w:szCs w:val="21"/>
                    </w:rPr>
                    <w:t>无组织排放监控浓度限值（mg/m</w:t>
                  </w:r>
                  <w:r>
                    <w:rPr>
                      <w:b/>
                      <w:szCs w:val="21"/>
                      <w:vertAlign w:val="superscript"/>
                    </w:rPr>
                    <w:t>3</w:t>
                  </w:r>
                  <w:r>
                    <w:rPr>
                      <w:b/>
                      <w:szCs w:val="21"/>
                    </w:rPr>
                    <w:t>）</w:t>
                  </w:r>
                </w:p>
              </w:tc>
              <w:tc>
                <w:tcPr>
                  <w:tcW w:w="1417" w:type="pct"/>
                  <w:vMerge w:val="restart"/>
                  <w:vAlign w:val="center"/>
                </w:tcPr>
                <w:p>
                  <w:pPr>
                    <w:snapToGrid w:val="0"/>
                    <w:jc w:val="center"/>
                    <w:rPr>
                      <w:b/>
                      <w:szCs w:val="21"/>
                    </w:rPr>
                  </w:pPr>
                  <w:r>
                    <w:rPr>
                      <w:b/>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321" w:hRule="exact"/>
              </w:trPr>
              <w:tc>
                <w:tcPr>
                  <w:tcW w:w="518" w:type="pct"/>
                  <w:vMerge w:val="continue"/>
                  <w:vAlign w:val="center"/>
                </w:tcPr>
                <w:p>
                  <w:pPr>
                    <w:snapToGrid w:val="0"/>
                    <w:jc w:val="center"/>
                    <w:rPr>
                      <w:b/>
                      <w:szCs w:val="21"/>
                    </w:rPr>
                  </w:pPr>
                </w:p>
              </w:tc>
              <w:tc>
                <w:tcPr>
                  <w:tcW w:w="204" w:type="pct"/>
                  <w:vMerge w:val="continue"/>
                  <w:vAlign w:val="center"/>
                </w:tcPr>
                <w:p>
                  <w:pPr>
                    <w:snapToGrid w:val="0"/>
                    <w:jc w:val="center"/>
                    <w:rPr>
                      <w:b/>
                      <w:szCs w:val="21"/>
                    </w:rPr>
                  </w:pPr>
                </w:p>
              </w:tc>
              <w:tc>
                <w:tcPr>
                  <w:tcW w:w="766" w:type="pct"/>
                  <w:vMerge w:val="continue"/>
                  <w:vAlign w:val="center"/>
                </w:tcPr>
                <w:p>
                  <w:pPr>
                    <w:snapToGrid w:val="0"/>
                    <w:jc w:val="center"/>
                    <w:rPr>
                      <w:b/>
                      <w:szCs w:val="21"/>
                    </w:rPr>
                  </w:pPr>
                </w:p>
              </w:tc>
              <w:tc>
                <w:tcPr>
                  <w:tcW w:w="749" w:type="pct"/>
                  <w:tcMar>
                    <w:left w:w="57" w:type="dxa"/>
                    <w:right w:w="57" w:type="dxa"/>
                  </w:tcMar>
                  <w:vAlign w:val="center"/>
                </w:tcPr>
                <w:p>
                  <w:pPr>
                    <w:snapToGrid w:val="0"/>
                    <w:jc w:val="center"/>
                    <w:rPr>
                      <w:b/>
                      <w:szCs w:val="21"/>
                    </w:rPr>
                  </w:pPr>
                  <w:r>
                    <w:rPr>
                      <w:b/>
                      <w:szCs w:val="21"/>
                    </w:rPr>
                    <w:t>排气筒高度</w:t>
                  </w:r>
                </w:p>
              </w:tc>
              <w:tc>
                <w:tcPr>
                  <w:tcW w:w="499" w:type="pct"/>
                  <w:tcMar>
                    <w:left w:w="57" w:type="dxa"/>
                    <w:right w:w="57" w:type="dxa"/>
                  </w:tcMar>
                  <w:vAlign w:val="center"/>
                </w:tcPr>
                <w:p>
                  <w:pPr>
                    <w:snapToGrid w:val="0"/>
                    <w:jc w:val="center"/>
                    <w:rPr>
                      <w:b/>
                      <w:szCs w:val="21"/>
                    </w:rPr>
                  </w:pPr>
                  <w:r>
                    <w:rPr>
                      <w:b/>
                      <w:szCs w:val="21"/>
                    </w:rPr>
                    <w:t>二级（kg/h）</w:t>
                  </w:r>
                </w:p>
              </w:tc>
              <w:tc>
                <w:tcPr>
                  <w:tcW w:w="846" w:type="pct"/>
                  <w:vMerge w:val="continue"/>
                  <w:vAlign w:val="center"/>
                </w:tcPr>
                <w:p>
                  <w:pPr>
                    <w:snapToGrid w:val="0"/>
                    <w:jc w:val="center"/>
                    <w:rPr>
                      <w:szCs w:val="21"/>
                    </w:rPr>
                  </w:pPr>
                </w:p>
              </w:tc>
              <w:tc>
                <w:tcPr>
                  <w:tcW w:w="1417" w:type="pct"/>
                  <w:vMerge w:val="continue"/>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831" w:hRule="atLeast"/>
              </w:trPr>
              <w:tc>
                <w:tcPr>
                  <w:tcW w:w="518" w:type="pct"/>
                  <w:tcMar>
                    <w:left w:w="57" w:type="dxa"/>
                    <w:right w:w="57" w:type="dxa"/>
                  </w:tcMar>
                  <w:vAlign w:val="center"/>
                </w:tcPr>
                <w:p>
                  <w:pPr>
                    <w:snapToGrid w:val="0"/>
                    <w:jc w:val="center"/>
                    <w:rPr>
                      <w:szCs w:val="21"/>
                    </w:rPr>
                  </w:pPr>
                  <w:r>
                    <w:rPr>
                      <w:rFonts w:hint="eastAsia"/>
                      <w:szCs w:val="21"/>
                    </w:rPr>
                    <w:t>焊接烟尘、打磨抛光粉尘</w:t>
                  </w:r>
                </w:p>
              </w:tc>
              <w:tc>
                <w:tcPr>
                  <w:tcW w:w="204" w:type="pct"/>
                  <w:vAlign w:val="center"/>
                </w:tcPr>
                <w:p>
                  <w:pPr>
                    <w:snapToGrid w:val="0"/>
                    <w:jc w:val="center"/>
                    <w:rPr>
                      <w:szCs w:val="21"/>
                    </w:rPr>
                  </w:pPr>
                  <w:r>
                    <w:rPr>
                      <w:szCs w:val="21"/>
                    </w:rPr>
                    <w:t>颗粒物</w:t>
                  </w:r>
                </w:p>
              </w:tc>
              <w:tc>
                <w:tcPr>
                  <w:tcW w:w="766" w:type="pct"/>
                  <w:vAlign w:val="center"/>
                </w:tcPr>
                <w:p>
                  <w:pPr>
                    <w:snapToGrid w:val="0"/>
                    <w:jc w:val="center"/>
                    <w:rPr>
                      <w:szCs w:val="21"/>
                    </w:rPr>
                  </w:pPr>
                  <w:r>
                    <w:rPr>
                      <w:rFonts w:hint="eastAsia"/>
                      <w:szCs w:val="21"/>
                    </w:rPr>
                    <w:t>120</w:t>
                  </w:r>
                </w:p>
              </w:tc>
              <w:tc>
                <w:tcPr>
                  <w:tcW w:w="749" w:type="pct"/>
                  <w:vAlign w:val="center"/>
                </w:tcPr>
                <w:p>
                  <w:pPr>
                    <w:snapToGrid w:val="0"/>
                    <w:jc w:val="center"/>
                    <w:rPr>
                      <w:szCs w:val="21"/>
                    </w:rPr>
                  </w:pPr>
                  <w:r>
                    <w:rPr>
                      <w:rFonts w:hint="eastAsia"/>
                      <w:szCs w:val="21"/>
                    </w:rPr>
                    <w:t>15m</w:t>
                  </w:r>
                </w:p>
              </w:tc>
              <w:tc>
                <w:tcPr>
                  <w:tcW w:w="499" w:type="pct"/>
                  <w:vAlign w:val="center"/>
                </w:tcPr>
                <w:p>
                  <w:pPr>
                    <w:snapToGrid w:val="0"/>
                    <w:jc w:val="center"/>
                    <w:rPr>
                      <w:szCs w:val="21"/>
                    </w:rPr>
                  </w:pPr>
                  <w:r>
                    <w:rPr>
                      <w:rFonts w:hint="eastAsia"/>
                      <w:szCs w:val="21"/>
                    </w:rPr>
                    <w:t>3.5</w:t>
                  </w:r>
                </w:p>
              </w:tc>
              <w:tc>
                <w:tcPr>
                  <w:tcW w:w="846" w:type="pct"/>
                  <w:tcMar>
                    <w:left w:w="28" w:type="dxa"/>
                    <w:right w:w="28" w:type="dxa"/>
                  </w:tcMar>
                  <w:vAlign w:val="center"/>
                </w:tcPr>
                <w:p>
                  <w:pPr>
                    <w:snapToGrid w:val="0"/>
                    <w:jc w:val="center"/>
                    <w:rPr>
                      <w:szCs w:val="21"/>
                    </w:rPr>
                  </w:pPr>
                  <w:r>
                    <w:rPr>
                      <w:rFonts w:hint="eastAsia"/>
                      <w:szCs w:val="21"/>
                    </w:rPr>
                    <w:t>1.0</w:t>
                  </w:r>
                </w:p>
              </w:tc>
              <w:tc>
                <w:tcPr>
                  <w:tcW w:w="1417" w:type="pct"/>
                  <w:vAlign w:val="center"/>
                </w:tcPr>
                <w:p>
                  <w:pPr>
                    <w:snapToGrid w:val="0"/>
                    <w:jc w:val="center"/>
                    <w:rPr>
                      <w:szCs w:val="21"/>
                    </w:rPr>
                  </w:pPr>
                  <w:r>
                    <w:rPr>
                      <w:rFonts w:hint="eastAsia"/>
                      <w:szCs w:val="21"/>
                    </w:rPr>
                    <w:t>《大气污染物综合排放标准》（GB16297-1996）</w:t>
                  </w:r>
                </w:p>
              </w:tc>
            </w:tr>
          </w:tbl>
          <w:p>
            <w:pPr>
              <w:snapToGrid w:val="0"/>
              <w:spacing w:line="360" w:lineRule="auto"/>
              <w:ind w:firstLine="480" w:firstLineChars="200"/>
              <w:rPr>
                <w:sz w:val="24"/>
                <w:szCs w:val="28"/>
              </w:rPr>
            </w:pPr>
            <w:r>
              <w:rPr>
                <w:sz w:val="24"/>
                <w:szCs w:val="28"/>
              </w:rPr>
              <w:t>2、废水</w:t>
            </w:r>
          </w:p>
          <w:p>
            <w:pPr>
              <w:pStyle w:val="362"/>
              <w:ind w:firstLine="464" w:firstLineChars="200"/>
              <w:rPr>
                <w:spacing w:val="-4"/>
                <w:highlight w:val="yellow"/>
              </w:rPr>
            </w:pPr>
            <w:r>
              <w:rPr>
                <w:b w:val="0"/>
                <w:spacing w:val="-4"/>
                <w:szCs w:val="24"/>
              </w:rPr>
              <w:t>项目</w:t>
            </w:r>
            <w:r>
              <w:rPr>
                <w:rFonts w:hint="eastAsia"/>
                <w:b w:val="0"/>
                <w:spacing w:val="-4"/>
                <w:szCs w:val="24"/>
              </w:rPr>
              <w:t>无</w:t>
            </w:r>
            <w:r>
              <w:rPr>
                <w:b w:val="0"/>
                <w:spacing w:val="-4"/>
                <w:szCs w:val="24"/>
              </w:rPr>
              <w:t>生产废水</w:t>
            </w:r>
            <w:r>
              <w:rPr>
                <w:rFonts w:hint="eastAsia"/>
                <w:b w:val="0"/>
                <w:spacing w:val="-4"/>
                <w:szCs w:val="24"/>
              </w:rPr>
              <w:t>产生</w:t>
            </w:r>
            <w:r>
              <w:rPr>
                <w:b w:val="0"/>
                <w:spacing w:val="-4"/>
                <w:szCs w:val="24"/>
              </w:rPr>
              <w:t>；生活污水经化粪池处理达到</w:t>
            </w:r>
            <w:r>
              <w:rPr>
                <w:rFonts w:hint="eastAsia"/>
                <w:b w:val="0"/>
                <w:spacing w:val="-4"/>
                <w:szCs w:val="24"/>
              </w:rPr>
              <w:t>《污水综合排放标准》(GB8978-1996)中三级标准，氨氮执行《污水排入城镇下水道水质标准》(GB/T31962-2015)中B级标准</w:t>
            </w:r>
            <w:r>
              <w:rPr>
                <w:b w:val="0"/>
                <w:spacing w:val="-4"/>
                <w:szCs w:val="24"/>
              </w:rPr>
              <w:t>要求后排入市政污水管网，最终经小蓝污水处理厂处理达标后尾水排入雄溪河尾段，经莲塘河入抚河支流（清丰山溪）。项目的污水排放执行小蓝污水处理厂接管标准要求，污水处理厂尾水排放执行《城镇污水处理厂污染物排放标准》（GB18918-2002）表1中一级A标准，具体见表3-5。</w:t>
            </w:r>
          </w:p>
          <w:p>
            <w:pPr>
              <w:autoSpaceDE w:val="0"/>
              <w:autoSpaceDN w:val="0"/>
              <w:jc w:val="center"/>
              <w:rPr>
                <w:b/>
                <w:bCs/>
                <w:szCs w:val="21"/>
                <w:lang w:val="zh-CN"/>
              </w:rPr>
            </w:pPr>
            <w:r>
              <w:rPr>
                <w:b/>
                <w:bCs/>
                <w:szCs w:val="21"/>
              </w:rPr>
              <w:t>表3-5  废水排放标准</w:t>
            </w:r>
            <w:r>
              <w:rPr>
                <w:rFonts w:hint="eastAsia"/>
                <w:b/>
                <w:bCs/>
                <w:szCs w:val="21"/>
              </w:rPr>
              <w:t xml:space="preserve">  </w:t>
            </w:r>
            <w:r>
              <w:rPr>
                <w:b/>
                <w:bCs/>
                <w:szCs w:val="21"/>
                <w:lang w:val="zh-CN"/>
              </w:rPr>
              <w:t>单位：除pH外均为mg/L</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16"/>
              <w:gridCol w:w="1046"/>
              <w:gridCol w:w="1005"/>
              <w:gridCol w:w="6022"/>
              <w:gridCol w:w="7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Align w:val="center"/>
                </w:tcPr>
                <w:p>
                  <w:pPr>
                    <w:snapToGrid w:val="0"/>
                    <w:spacing w:before="60" w:beforeLines="25" w:after="60" w:afterLines="25"/>
                    <w:jc w:val="center"/>
                    <w:rPr>
                      <w:b/>
                      <w:bCs/>
                    </w:rPr>
                  </w:pPr>
                  <w:r>
                    <w:rPr>
                      <w:b/>
                      <w:bCs/>
                    </w:rPr>
                    <w:t>序号</w:t>
                  </w:r>
                </w:p>
              </w:tc>
              <w:tc>
                <w:tcPr>
                  <w:tcW w:w="560" w:type="pct"/>
                  <w:vAlign w:val="center"/>
                </w:tcPr>
                <w:p>
                  <w:pPr>
                    <w:snapToGrid w:val="0"/>
                    <w:spacing w:before="60" w:beforeLines="25" w:after="60" w:afterLines="25"/>
                    <w:jc w:val="center"/>
                    <w:rPr>
                      <w:b/>
                      <w:bCs/>
                    </w:rPr>
                  </w:pPr>
                  <w:r>
                    <w:rPr>
                      <w:b/>
                      <w:bCs/>
                    </w:rPr>
                    <w:t>排放口编号</w:t>
                  </w:r>
                </w:p>
              </w:tc>
              <w:tc>
                <w:tcPr>
                  <w:tcW w:w="538" w:type="pct"/>
                  <w:vAlign w:val="center"/>
                </w:tcPr>
                <w:p>
                  <w:pPr>
                    <w:snapToGrid w:val="0"/>
                    <w:spacing w:before="60" w:beforeLines="25" w:after="60" w:afterLines="25"/>
                    <w:jc w:val="center"/>
                    <w:rPr>
                      <w:b/>
                      <w:bCs/>
                    </w:rPr>
                  </w:pPr>
                  <w:r>
                    <w:rPr>
                      <w:b/>
                      <w:bCs/>
                    </w:rPr>
                    <w:t>污染物种类</w:t>
                  </w:r>
                </w:p>
              </w:tc>
              <w:tc>
                <w:tcPr>
                  <w:tcW w:w="3223" w:type="pct"/>
                  <w:vAlign w:val="center"/>
                </w:tcPr>
                <w:p>
                  <w:pPr>
                    <w:snapToGrid w:val="0"/>
                    <w:spacing w:before="60" w:beforeLines="25" w:after="60" w:afterLines="25"/>
                    <w:jc w:val="center"/>
                    <w:rPr>
                      <w:b/>
                      <w:bCs/>
                    </w:rPr>
                  </w:pPr>
                  <w:r>
                    <w:rPr>
                      <w:b/>
                      <w:bCs/>
                    </w:rPr>
                    <w:t>标准名称</w:t>
                  </w:r>
                </w:p>
              </w:tc>
              <w:tc>
                <w:tcPr>
                  <w:tcW w:w="404" w:type="pct"/>
                  <w:vAlign w:val="center"/>
                </w:tcPr>
                <w:p>
                  <w:pPr>
                    <w:snapToGrid w:val="0"/>
                    <w:spacing w:before="60" w:beforeLines="25" w:after="60" w:afterLines="25"/>
                    <w:jc w:val="center"/>
                    <w:rPr>
                      <w:b/>
                      <w:bCs/>
                    </w:rPr>
                  </w:pPr>
                  <w:r>
                    <w:rPr>
                      <w:b/>
                      <w:bCs/>
                    </w:rPr>
                    <w:t>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restart"/>
                  <w:vAlign w:val="center"/>
                </w:tcPr>
                <w:p>
                  <w:pPr>
                    <w:snapToGrid w:val="0"/>
                    <w:spacing w:before="60" w:beforeLines="25" w:after="60" w:afterLines="25"/>
                    <w:jc w:val="center"/>
                  </w:pPr>
                  <w:r>
                    <w:t>1</w:t>
                  </w:r>
                </w:p>
              </w:tc>
              <w:tc>
                <w:tcPr>
                  <w:tcW w:w="560" w:type="pct"/>
                  <w:vMerge w:val="restart"/>
                  <w:vAlign w:val="center"/>
                </w:tcPr>
                <w:p>
                  <w:pPr>
                    <w:snapToGrid w:val="0"/>
                    <w:spacing w:before="60" w:beforeLines="25" w:after="60" w:afterLines="25"/>
                    <w:jc w:val="center"/>
                  </w:pPr>
                  <w:r>
                    <w:rPr>
                      <w:szCs w:val="21"/>
                    </w:rPr>
                    <w:t>企业总排口</w:t>
                  </w:r>
                </w:p>
              </w:tc>
              <w:tc>
                <w:tcPr>
                  <w:tcW w:w="538" w:type="pct"/>
                  <w:vAlign w:val="center"/>
                </w:tcPr>
                <w:p>
                  <w:pPr>
                    <w:snapToGrid w:val="0"/>
                    <w:spacing w:before="60" w:beforeLines="25" w:after="60" w:afterLines="25"/>
                    <w:jc w:val="center"/>
                  </w:pPr>
                  <w:r>
                    <w:t>COD</w:t>
                  </w:r>
                  <w:r>
                    <w:rPr>
                      <w:vertAlign w:val="subscript"/>
                    </w:rPr>
                    <w:t>Cr</w:t>
                  </w:r>
                </w:p>
              </w:tc>
              <w:tc>
                <w:tcPr>
                  <w:tcW w:w="3223" w:type="pct"/>
                  <w:vMerge w:val="restart"/>
                  <w:vAlign w:val="center"/>
                </w:tcPr>
                <w:p>
                  <w:pPr>
                    <w:snapToGrid w:val="0"/>
                    <w:spacing w:before="60" w:beforeLines="25" w:after="60" w:afterLines="25"/>
                    <w:jc w:val="center"/>
                    <w:rPr>
                      <w:szCs w:val="21"/>
                    </w:rPr>
                  </w:pPr>
                  <w:r>
                    <w:rPr>
                      <w:rFonts w:hint="eastAsia"/>
                      <w:szCs w:val="21"/>
                    </w:rPr>
                    <w:t>《污水综合排放标准》(GB8978-1996)中三级标准，氨氮执行《污水排入城镇下水道水质标准》(GB/T31962-2015)中B级标准</w:t>
                  </w:r>
                </w:p>
              </w:tc>
              <w:tc>
                <w:tcPr>
                  <w:tcW w:w="404" w:type="pct"/>
                  <w:vAlign w:val="center"/>
                </w:tcPr>
                <w:p>
                  <w:pPr>
                    <w:snapToGrid w:val="0"/>
                    <w:spacing w:before="60" w:beforeLines="25" w:after="60" w:afterLines="25"/>
                    <w:jc w:val="center"/>
                  </w:pPr>
                  <w:r>
                    <w:t>500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BOD</w:t>
                  </w:r>
                  <w:r>
                    <w:rPr>
                      <w:vertAlign w:val="subscript"/>
                    </w:rPr>
                    <w:t>5</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SS</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NH</w:t>
                  </w:r>
                  <w:r>
                    <w:rPr>
                      <w:vertAlign w:val="subscript"/>
                    </w:rPr>
                    <w:t>3</w:t>
                  </w:r>
                  <w:r>
                    <w:t>-N</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1"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pH</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restart"/>
                  <w:vAlign w:val="center"/>
                </w:tcPr>
                <w:p>
                  <w:pPr>
                    <w:snapToGrid w:val="0"/>
                    <w:spacing w:before="60" w:beforeLines="25" w:after="60" w:afterLines="25"/>
                    <w:jc w:val="center"/>
                  </w:pPr>
                  <w:r>
                    <w:t>2</w:t>
                  </w:r>
                </w:p>
              </w:tc>
              <w:tc>
                <w:tcPr>
                  <w:tcW w:w="560" w:type="pct"/>
                  <w:vMerge w:val="restart"/>
                  <w:vAlign w:val="center"/>
                </w:tcPr>
                <w:p>
                  <w:pPr>
                    <w:snapToGrid w:val="0"/>
                    <w:spacing w:before="60" w:beforeLines="25" w:after="60" w:afterLines="25"/>
                    <w:jc w:val="center"/>
                  </w:pPr>
                  <w:r>
                    <w:t>污水处理厂排放口</w:t>
                  </w:r>
                </w:p>
              </w:tc>
              <w:tc>
                <w:tcPr>
                  <w:tcW w:w="538" w:type="pct"/>
                  <w:vAlign w:val="center"/>
                </w:tcPr>
                <w:p>
                  <w:pPr>
                    <w:snapToGrid w:val="0"/>
                    <w:spacing w:before="60" w:beforeLines="25" w:after="60" w:afterLines="25"/>
                    <w:jc w:val="center"/>
                  </w:pPr>
                  <w:r>
                    <w:t>COD</w:t>
                  </w:r>
                  <w:r>
                    <w:rPr>
                      <w:vertAlign w:val="subscript"/>
                    </w:rPr>
                    <w:t>Cr</w:t>
                  </w:r>
                </w:p>
              </w:tc>
              <w:tc>
                <w:tcPr>
                  <w:tcW w:w="3223" w:type="pct"/>
                  <w:vMerge w:val="restart"/>
                  <w:vAlign w:val="center"/>
                </w:tcPr>
                <w:p>
                  <w:pPr>
                    <w:snapToGrid w:val="0"/>
                    <w:spacing w:before="60" w:beforeLines="25" w:after="60" w:afterLines="25"/>
                    <w:jc w:val="center"/>
                  </w:pPr>
                  <w:r>
                    <w:t>《城镇污水处理厂污染物排放标准》（GB18918-2002）表1中一级A标准</w:t>
                  </w:r>
                </w:p>
              </w:tc>
              <w:tc>
                <w:tcPr>
                  <w:tcW w:w="404" w:type="pct"/>
                  <w:vAlign w:val="center"/>
                </w:tcPr>
                <w:p>
                  <w:pPr>
                    <w:snapToGrid w:val="0"/>
                    <w:spacing w:before="60" w:beforeLines="25" w:after="60" w:afterLines="25"/>
                    <w:jc w:val="center"/>
                  </w:pPr>
                  <w: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BOD</w:t>
                  </w:r>
                  <w:r>
                    <w:rPr>
                      <w:vertAlign w:val="subscript"/>
                    </w:rPr>
                    <w:t>5</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SS</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NH</w:t>
                  </w:r>
                  <w:r>
                    <w:rPr>
                      <w:vertAlign w:val="subscript"/>
                    </w:rPr>
                    <w:t>3</w:t>
                  </w:r>
                  <w:r>
                    <w:t>-N</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44" w:hRule="atLeast"/>
                <w:tblHeader/>
                <w:jc w:val="center"/>
              </w:trPr>
              <w:tc>
                <w:tcPr>
                  <w:tcW w:w="276" w:type="pct"/>
                  <w:vMerge w:val="continue"/>
                  <w:vAlign w:val="center"/>
                </w:tcPr>
                <w:p>
                  <w:pPr>
                    <w:snapToGrid w:val="0"/>
                    <w:spacing w:before="60" w:beforeLines="25" w:after="60" w:afterLines="25"/>
                    <w:jc w:val="center"/>
                  </w:pPr>
                </w:p>
              </w:tc>
              <w:tc>
                <w:tcPr>
                  <w:tcW w:w="560" w:type="pct"/>
                  <w:vMerge w:val="continue"/>
                  <w:vAlign w:val="center"/>
                </w:tcPr>
                <w:p>
                  <w:pPr>
                    <w:snapToGrid w:val="0"/>
                    <w:spacing w:before="60" w:beforeLines="25" w:after="60" w:afterLines="25"/>
                    <w:jc w:val="center"/>
                  </w:pPr>
                </w:p>
              </w:tc>
              <w:tc>
                <w:tcPr>
                  <w:tcW w:w="538" w:type="pct"/>
                  <w:vAlign w:val="center"/>
                </w:tcPr>
                <w:p>
                  <w:pPr>
                    <w:snapToGrid w:val="0"/>
                    <w:spacing w:before="60" w:beforeLines="25" w:after="60" w:afterLines="25"/>
                    <w:jc w:val="center"/>
                  </w:pPr>
                  <w:r>
                    <w:t>pH</w:t>
                  </w:r>
                </w:p>
              </w:tc>
              <w:tc>
                <w:tcPr>
                  <w:tcW w:w="3223" w:type="pct"/>
                  <w:vMerge w:val="continue"/>
                  <w:vAlign w:val="center"/>
                </w:tcPr>
                <w:p>
                  <w:pPr>
                    <w:snapToGrid w:val="0"/>
                    <w:spacing w:before="60" w:beforeLines="25" w:after="60" w:afterLines="25"/>
                    <w:jc w:val="center"/>
                  </w:pPr>
                </w:p>
              </w:tc>
              <w:tc>
                <w:tcPr>
                  <w:tcW w:w="404" w:type="pct"/>
                  <w:vAlign w:val="center"/>
                </w:tcPr>
                <w:p>
                  <w:pPr>
                    <w:snapToGrid w:val="0"/>
                    <w:spacing w:before="60" w:beforeLines="25" w:after="60" w:afterLines="25"/>
                    <w:jc w:val="center"/>
                  </w:pPr>
                  <w:r>
                    <w:t>6-9</w:t>
                  </w:r>
                </w:p>
              </w:tc>
            </w:tr>
          </w:tbl>
          <w:p>
            <w:pPr>
              <w:snapToGrid w:val="0"/>
              <w:spacing w:line="360" w:lineRule="auto"/>
              <w:ind w:firstLine="480" w:firstLineChars="200"/>
              <w:rPr>
                <w:sz w:val="24"/>
                <w:szCs w:val="28"/>
              </w:rPr>
            </w:pPr>
            <w:r>
              <w:rPr>
                <w:sz w:val="24"/>
                <w:szCs w:val="28"/>
              </w:rPr>
              <w:t>3、噪声</w:t>
            </w:r>
          </w:p>
          <w:p>
            <w:pPr>
              <w:snapToGrid w:val="0"/>
              <w:spacing w:line="360" w:lineRule="auto"/>
              <w:ind w:firstLine="480" w:firstLineChars="200"/>
              <w:rPr>
                <w:bCs/>
                <w:sz w:val="24"/>
              </w:rPr>
            </w:pPr>
            <w:r>
              <w:rPr>
                <w:bCs/>
                <w:color w:val="FF0000"/>
                <w:sz w:val="24"/>
              </w:rPr>
              <w:t>施工期噪声执行《建筑施工场界环境噪声排放标准》（GB12523-2011）；</w:t>
            </w:r>
            <w:r>
              <w:rPr>
                <w:bCs/>
                <w:sz w:val="24"/>
              </w:rPr>
              <w:t>营运期噪声执行《工业企业厂界环境噪声排放标准》（GB12348-2008）</w:t>
            </w:r>
            <w:r>
              <w:rPr>
                <w:rFonts w:hint="eastAsia"/>
                <w:bCs/>
                <w:sz w:val="24"/>
              </w:rPr>
              <w:t>3</w:t>
            </w:r>
            <w:r>
              <w:rPr>
                <w:bCs/>
                <w:sz w:val="24"/>
              </w:rPr>
              <w:t>类标准，详见表3-6。</w:t>
            </w:r>
          </w:p>
          <w:p>
            <w:pPr>
              <w:jc w:val="center"/>
              <w:rPr>
                <w:b/>
                <w:szCs w:val="21"/>
              </w:rPr>
            </w:pPr>
            <w:r>
              <w:rPr>
                <w:b/>
                <w:szCs w:val="21"/>
              </w:rPr>
              <w:t>表3-6  噪声排放标准等效声级Leq[dB(A)]</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02"/>
              <w:gridCol w:w="820"/>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21" w:type="pct"/>
                  <w:vAlign w:val="center"/>
                </w:tcPr>
                <w:p>
                  <w:pPr>
                    <w:jc w:val="center"/>
                    <w:rPr>
                      <w:b/>
                      <w:bCs/>
                      <w:szCs w:val="21"/>
                    </w:rPr>
                  </w:pPr>
                  <w:r>
                    <w:rPr>
                      <w:b/>
                      <w:bCs/>
                      <w:szCs w:val="21"/>
                    </w:rPr>
                    <w:t>标准</w:t>
                  </w:r>
                </w:p>
              </w:tc>
              <w:tc>
                <w:tcPr>
                  <w:tcW w:w="439" w:type="pct"/>
                  <w:vAlign w:val="center"/>
                </w:tcPr>
                <w:p>
                  <w:pPr>
                    <w:jc w:val="center"/>
                    <w:rPr>
                      <w:b/>
                      <w:bCs/>
                      <w:szCs w:val="21"/>
                    </w:rPr>
                  </w:pPr>
                  <w:r>
                    <w:rPr>
                      <w:b/>
                      <w:bCs/>
                      <w:szCs w:val="21"/>
                    </w:rPr>
                    <w:t>昼间</w:t>
                  </w:r>
                </w:p>
              </w:tc>
              <w:tc>
                <w:tcPr>
                  <w:tcW w:w="439" w:type="pct"/>
                  <w:vAlign w:val="center"/>
                </w:tcPr>
                <w:p>
                  <w:pPr>
                    <w:jc w:val="center"/>
                    <w:rPr>
                      <w:b/>
                      <w:bCs/>
                      <w:szCs w:val="21"/>
                    </w:rPr>
                  </w:pPr>
                  <w:r>
                    <w:rPr>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1" w:type="pct"/>
                  <w:vAlign w:val="center"/>
                </w:tcPr>
                <w:p>
                  <w:pPr>
                    <w:jc w:val="center"/>
                    <w:rPr>
                      <w:bCs/>
                      <w:szCs w:val="21"/>
                    </w:rPr>
                  </w:pPr>
                  <w:r>
                    <w:rPr>
                      <w:bCs/>
                      <w:szCs w:val="21"/>
                    </w:rPr>
                    <w:t>《建筑施工场界环境噪声排放标准》（GB12523-2011）</w:t>
                  </w:r>
                </w:p>
              </w:tc>
              <w:tc>
                <w:tcPr>
                  <w:tcW w:w="439" w:type="pct"/>
                  <w:vAlign w:val="center"/>
                </w:tcPr>
                <w:p>
                  <w:pPr>
                    <w:jc w:val="center"/>
                    <w:rPr>
                      <w:bCs/>
                      <w:szCs w:val="21"/>
                    </w:rPr>
                  </w:pPr>
                  <w:r>
                    <w:rPr>
                      <w:bCs/>
                      <w:szCs w:val="21"/>
                    </w:rPr>
                    <w:t>70</w:t>
                  </w:r>
                </w:p>
              </w:tc>
              <w:tc>
                <w:tcPr>
                  <w:tcW w:w="439" w:type="pct"/>
                  <w:vAlign w:val="center"/>
                </w:tcPr>
                <w:p>
                  <w:pPr>
                    <w:jc w:val="center"/>
                    <w:rPr>
                      <w:bCs/>
                      <w:szCs w:val="21"/>
                    </w:rPr>
                  </w:pPr>
                  <w:r>
                    <w:rPr>
                      <w:bCs/>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1" w:type="pct"/>
                  <w:vAlign w:val="center"/>
                </w:tcPr>
                <w:p>
                  <w:pPr>
                    <w:jc w:val="center"/>
                    <w:rPr>
                      <w:bCs/>
                      <w:szCs w:val="21"/>
                    </w:rPr>
                  </w:pPr>
                  <w:r>
                    <w:rPr>
                      <w:szCs w:val="21"/>
                    </w:rPr>
                    <w:t>《工业企业厂界环境噪声排放标准》（GB12348-2008）</w:t>
                  </w:r>
                  <w:r>
                    <w:rPr>
                      <w:rFonts w:hint="eastAsia"/>
                      <w:szCs w:val="21"/>
                    </w:rPr>
                    <w:t>3</w:t>
                  </w:r>
                  <w:r>
                    <w:rPr>
                      <w:szCs w:val="21"/>
                    </w:rPr>
                    <w:t>类标准</w:t>
                  </w:r>
                </w:p>
              </w:tc>
              <w:tc>
                <w:tcPr>
                  <w:tcW w:w="439" w:type="pct"/>
                  <w:vAlign w:val="center"/>
                </w:tcPr>
                <w:p>
                  <w:pPr>
                    <w:jc w:val="center"/>
                    <w:rPr>
                      <w:bCs/>
                      <w:szCs w:val="21"/>
                    </w:rPr>
                  </w:pPr>
                  <w:r>
                    <w:rPr>
                      <w:rFonts w:hint="eastAsia"/>
                      <w:bCs/>
                      <w:szCs w:val="21"/>
                    </w:rPr>
                    <w:t>65</w:t>
                  </w:r>
                </w:p>
              </w:tc>
              <w:tc>
                <w:tcPr>
                  <w:tcW w:w="439" w:type="pct"/>
                  <w:vAlign w:val="center"/>
                </w:tcPr>
                <w:p>
                  <w:pPr>
                    <w:jc w:val="center"/>
                    <w:rPr>
                      <w:bCs/>
                      <w:szCs w:val="21"/>
                    </w:rPr>
                  </w:pPr>
                  <w:r>
                    <w:rPr>
                      <w:rFonts w:hint="eastAsia"/>
                      <w:bCs/>
                      <w:szCs w:val="21"/>
                    </w:rPr>
                    <w:t>55</w:t>
                  </w:r>
                </w:p>
              </w:tc>
            </w:tr>
          </w:tbl>
          <w:p>
            <w:pPr>
              <w:spacing w:line="360" w:lineRule="auto"/>
              <w:ind w:firstLine="480" w:firstLineChars="200"/>
              <w:rPr>
                <w:sz w:val="24"/>
              </w:rPr>
            </w:pPr>
            <w:r>
              <w:rPr>
                <w:sz w:val="24"/>
              </w:rPr>
              <w:t>4、固废</w:t>
            </w:r>
          </w:p>
          <w:p>
            <w:pPr>
              <w:snapToGrid w:val="0"/>
              <w:spacing w:line="360" w:lineRule="auto"/>
              <w:ind w:firstLine="480" w:firstLineChars="200"/>
              <w:rPr>
                <w:color w:val="FF0000"/>
                <w:sz w:val="24"/>
              </w:rPr>
            </w:pPr>
            <w:r>
              <w:rPr>
                <w:bCs/>
                <w:sz w:val="24"/>
              </w:rPr>
              <w:t>一般固废贮存场所应防渗漏、防雨淋、防扬尘，危险废物执行《危险废物贮存污染控制标准》（GB18597-2001）及其修改单。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6" w:hRule="atLeast"/>
          <w:jc w:val="center"/>
        </w:trPr>
        <w:tc>
          <w:tcPr>
            <w:tcW w:w="779" w:type="dxa"/>
            <w:vAlign w:val="center"/>
          </w:tcPr>
          <w:p>
            <w:pPr>
              <w:adjustRightInd w:val="0"/>
              <w:snapToGrid w:val="0"/>
              <w:jc w:val="center"/>
              <w:rPr>
                <w:kern w:val="0"/>
                <w:sz w:val="24"/>
              </w:rPr>
            </w:pPr>
            <w:r>
              <w:rPr>
                <w:kern w:val="0"/>
                <w:sz w:val="24"/>
              </w:rPr>
              <w:t>总量</w:t>
            </w:r>
          </w:p>
          <w:p>
            <w:pPr>
              <w:adjustRightInd w:val="0"/>
              <w:snapToGrid w:val="0"/>
              <w:jc w:val="center"/>
              <w:rPr>
                <w:kern w:val="0"/>
                <w:sz w:val="24"/>
              </w:rPr>
            </w:pPr>
            <w:r>
              <w:rPr>
                <w:kern w:val="0"/>
                <w:sz w:val="24"/>
              </w:rPr>
              <w:t>控制</w:t>
            </w:r>
          </w:p>
          <w:p>
            <w:pPr>
              <w:adjustRightInd w:val="0"/>
              <w:snapToGrid w:val="0"/>
              <w:jc w:val="center"/>
              <w:rPr>
                <w:color w:val="FF0000"/>
                <w:kern w:val="0"/>
                <w:szCs w:val="21"/>
              </w:rPr>
            </w:pPr>
            <w:r>
              <w:rPr>
                <w:kern w:val="0"/>
                <w:sz w:val="24"/>
              </w:rPr>
              <w:t>指标</w:t>
            </w:r>
          </w:p>
        </w:tc>
        <w:tc>
          <w:tcPr>
            <w:tcW w:w="9559" w:type="dxa"/>
            <w:vAlign w:val="center"/>
          </w:tcPr>
          <w:p>
            <w:pPr>
              <w:autoSpaceDE w:val="0"/>
              <w:autoSpaceDN w:val="0"/>
              <w:spacing w:line="360" w:lineRule="auto"/>
              <w:ind w:firstLine="480" w:firstLineChars="200"/>
              <w:jc w:val="left"/>
              <w:rPr>
                <w:b/>
                <w:bCs/>
                <w:szCs w:val="21"/>
                <w:lang w:val="zh-CN"/>
              </w:rPr>
            </w:pPr>
            <w:r>
              <w:rPr>
                <w:sz w:val="24"/>
              </w:rPr>
              <w:t>根据国家有关政策及</w:t>
            </w:r>
            <w:r>
              <w:rPr>
                <w:kern w:val="21"/>
                <w:sz w:val="24"/>
              </w:rPr>
              <w:t>本项目排污特征，</w:t>
            </w:r>
            <w:r>
              <w:rPr>
                <w:kern w:val="0"/>
                <w:sz w:val="24"/>
              </w:rPr>
              <w:t>要求将废水中COD</w:t>
            </w:r>
            <w:r>
              <w:rPr>
                <w:kern w:val="0"/>
                <w:sz w:val="24"/>
                <w:vertAlign w:val="subscript"/>
              </w:rPr>
              <w:t>Cr</w:t>
            </w:r>
            <w:r>
              <w:rPr>
                <w:kern w:val="0"/>
                <w:sz w:val="24"/>
              </w:rPr>
              <w:t>、NH</w:t>
            </w:r>
            <w:r>
              <w:rPr>
                <w:kern w:val="0"/>
                <w:sz w:val="24"/>
                <w:vertAlign w:val="subscript"/>
              </w:rPr>
              <w:t>3</w:t>
            </w:r>
            <w:r>
              <w:rPr>
                <w:kern w:val="0"/>
                <w:sz w:val="24"/>
              </w:rPr>
              <w:t>-N作为总量控制因子。</w:t>
            </w:r>
          </w:p>
          <w:p>
            <w:pPr>
              <w:spacing w:line="360" w:lineRule="auto"/>
              <w:ind w:firstLine="1680" w:firstLineChars="700"/>
              <w:rPr>
                <w:sz w:val="24"/>
              </w:rPr>
            </w:pPr>
            <w:r>
              <w:rPr>
                <w:sz w:val="24"/>
              </w:rPr>
              <w:t>COD</w:t>
            </w:r>
            <w:r>
              <w:rPr>
                <w:sz w:val="24"/>
                <w:vertAlign w:val="subscript"/>
              </w:rPr>
              <w:t>Cr</w:t>
            </w:r>
            <w:r>
              <w:rPr>
                <w:sz w:val="24"/>
              </w:rPr>
              <w:t>：</w:t>
            </w:r>
            <w:r>
              <w:rPr>
                <w:rFonts w:hint="eastAsia"/>
                <w:sz w:val="24"/>
              </w:rPr>
              <w:t>2112</w:t>
            </w:r>
            <w:r>
              <w:rPr>
                <w:sz w:val="24"/>
              </w:rPr>
              <w:t>m</w:t>
            </w:r>
            <w:r>
              <w:rPr>
                <w:sz w:val="24"/>
                <w:vertAlign w:val="superscript"/>
              </w:rPr>
              <w:t>3</w:t>
            </w:r>
            <w:r>
              <w:rPr>
                <w:sz w:val="24"/>
              </w:rPr>
              <w:t>/a×50mg/m</w:t>
            </w:r>
            <w:r>
              <w:rPr>
                <w:sz w:val="24"/>
                <w:vertAlign w:val="superscript"/>
              </w:rPr>
              <w:t>3</w:t>
            </w:r>
            <w:r>
              <w:rPr>
                <w:sz w:val="24"/>
              </w:rPr>
              <w:t>=</w:t>
            </w:r>
            <w:r>
              <w:rPr>
                <w:rFonts w:hint="eastAsia"/>
                <w:sz w:val="24"/>
              </w:rPr>
              <w:t>0.1056</w:t>
            </w:r>
            <w:r>
              <w:rPr>
                <w:sz w:val="24"/>
              </w:rPr>
              <w:t>t/a；</w:t>
            </w:r>
          </w:p>
          <w:p>
            <w:pPr>
              <w:spacing w:line="360" w:lineRule="auto"/>
              <w:ind w:firstLine="1689" w:firstLineChars="704"/>
              <w:rPr>
                <w:sz w:val="24"/>
              </w:rPr>
            </w:pPr>
            <w:r>
              <w:rPr>
                <w:sz w:val="24"/>
              </w:rPr>
              <w:t>NH</w:t>
            </w:r>
            <w:r>
              <w:rPr>
                <w:sz w:val="24"/>
                <w:vertAlign w:val="subscript"/>
              </w:rPr>
              <w:t>3</w:t>
            </w:r>
            <w:r>
              <w:rPr>
                <w:sz w:val="24"/>
              </w:rPr>
              <w:t>-N：</w:t>
            </w:r>
            <w:r>
              <w:rPr>
                <w:rFonts w:hint="eastAsia"/>
                <w:sz w:val="24"/>
              </w:rPr>
              <w:t>2112</w:t>
            </w:r>
            <w:r>
              <w:rPr>
                <w:sz w:val="24"/>
              </w:rPr>
              <w:t>m</w:t>
            </w:r>
            <w:r>
              <w:rPr>
                <w:sz w:val="24"/>
                <w:vertAlign w:val="superscript"/>
              </w:rPr>
              <w:t>3</w:t>
            </w:r>
            <w:r>
              <w:rPr>
                <w:sz w:val="24"/>
              </w:rPr>
              <w:t>/a×5mg/m</w:t>
            </w:r>
            <w:r>
              <w:rPr>
                <w:sz w:val="24"/>
                <w:vertAlign w:val="superscript"/>
              </w:rPr>
              <w:t>3</w:t>
            </w:r>
            <w:r>
              <w:rPr>
                <w:sz w:val="24"/>
              </w:rPr>
              <w:t>=0.01</w:t>
            </w:r>
            <w:r>
              <w:rPr>
                <w:rFonts w:hint="eastAsia"/>
                <w:sz w:val="24"/>
              </w:rPr>
              <w:t>06</w:t>
            </w:r>
            <w:r>
              <w:rPr>
                <w:sz w:val="24"/>
              </w:rPr>
              <w:t>t/a。</w:t>
            </w:r>
          </w:p>
          <w:p>
            <w:pPr>
              <w:adjustRightInd w:val="0"/>
              <w:snapToGrid w:val="0"/>
              <w:spacing w:line="360" w:lineRule="auto"/>
              <w:ind w:firstLine="480" w:firstLineChars="200"/>
              <w:jc w:val="left"/>
              <w:rPr>
                <w:color w:val="FF0000"/>
                <w:kern w:val="0"/>
                <w:sz w:val="24"/>
              </w:rPr>
            </w:pPr>
            <w:r>
              <w:rPr>
                <w:sz w:val="24"/>
              </w:rPr>
              <w:t>根据国家有关政策及</w:t>
            </w:r>
            <w:r>
              <w:rPr>
                <w:kern w:val="21"/>
                <w:sz w:val="24"/>
              </w:rPr>
              <w:t>本项目排污特征，项目排放的</w:t>
            </w:r>
            <w:r>
              <w:rPr>
                <w:kern w:val="0"/>
                <w:sz w:val="24"/>
              </w:rPr>
              <w:t>COD</w:t>
            </w:r>
            <w:r>
              <w:rPr>
                <w:kern w:val="0"/>
                <w:sz w:val="24"/>
                <w:vertAlign w:val="subscript"/>
              </w:rPr>
              <w:t>Cr</w:t>
            </w:r>
            <w:r>
              <w:rPr>
                <w:kern w:val="0"/>
                <w:sz w:val="24"/>
              </w:rPr>
              <w:t>、NH</w:t>
            </w:r>
            <w:r>
              <w:rPr>
                <w:kern w:val="0"/>
                <w:sz w:val="24"/>
                <w:vertAlign w:val="subscript"/>
              </w:rPr>
              <w:t>3</w:t>
            </w:r>
            <w:r>
              <w:rPr>
                <w:kern w:val="0"/>
                <w:sz w:val="24"/>
              </w:rPr>
              <w:t>-N纳入到小蓝污水处理厂的总量控制范围内，由小蓝污水处理厂</w:t>
            </w:r>
            <w:r>
              <w:rPr>
                <w:sz w:val="24"/>
              </w:rPr>
              <w:t>进行分配</w:t>
            </w:r>
            <w:r>
              <w:rPr>
                <w:kern w:val="0"/>
                <w:sz w:val="24"/>
              </w:rPr>
              <w:t>，不需另行申请。</w:t>
            </w:r>
          </w:p>
          <w:p>
            <w:pPr>
              <w:adjustRightInd w:val="0"/>
              <w:snapToGrid w:val="0"/>
              <w:spacing w:line="360" w:lineRule="auto"/>
              <w:ind w:firstLine="480" w:firstLineChars="200"/>
              <w:jc w:val="left"/>
              <w:rPr>
                <w:color w:val="FF0000"/>
                <w:kern w:val="0"/>
                <w:sz w:val="24"/>
              </w:rPr>
            </w:pPr>
          </w:p>
          <w:p>
            <w:pPr>
              <w:adjustRightInd w:val="0"/>
              <w:snapToGrid w:val="0"/>
              <w:spacing w:line="360" w:lineRule="auto"/>
              <w:ind w:firstLine="480" w:firstLineChars="200"/>
              <w:jc w:val="left"/>
              <w:rPr>
                <w:color w:val="FF0000"/>
                <w:kern w:val="0"/>
                <w:sz w:val="24"/>
              </w:rPr>
            </w:pPr>
          </w:p>
          <w:p>
            <w:pPr>
              <w:adjustRightInd w:val="0"/>
              <w:snapToGrid w:val="0"/>
              <w:spacing w:line="360" w:lineRule="auto"/>
              <w:ind w:firstLine="480" w:firstLineChars="200"/>
              <w:jc w:val="left"/>
              <w:rPr>
                <w:color w:val="FF0000"/>
                <w:kern w:val="0"/>
                <w:sz w:val="24"/>
              </w:rPr>
            </w:pPr>
          </w:p>
          <w:p>
            <w:pPr>
              <w:adjustRightInd w:val="0"/>
              <w:snapToGrid w:val="0"/>
              <w:spacing w:line="360" w:lineRule="auto"/>
              <w:ind w:firstLine="480" w:firstLineChars="200"/>
              <w:jc w:val="left"/>
              <w:rPr>
                <w:color w:val="FF0000"/>
                <w:kern w:val="0"/>
                <w:sz w:val="24"/>
              </w:rPr>
            </w:pPr>
          </w:p>
        </w:tc>
      </w:tr>
    </w:tbl>
    <w:p>
      <w:pPr>
        <w:pStyle w:val="35"/>
        <w:jc w:val="center"/>
        <w:outlineLvl w:val="0"/>
        <w:rPr>
          <w:rFonts w:ascii="Times New Roman" w:hAnsi="Times New Roman"/>
          <w:snapToGrid w:val="0"/>
          <w:sz w:val="30"/>
          <w:szCs w:val="30"/>
        </w:rPr>
      </w:pPr>
      <w:r>
        <w:rPr>
          <w:rFonts w:ascii="Times New Roman" w:hAnsi="Times New Roman"/>
          <w:snapToGrid w:val="0"/>
          <w:sz w:val="36"/>
          <w:szCs w:val="36"/>
        </w:rPr>
        <w:br w:type="page"/>
      </w:r>
      <w:r>
        <w:rPr>
          <w:rFonts w:ascii="Times New Roman" w:hAnsi="Times New Roman"/>
          <w:snapToGrid w:val="0"/>
          <w:sz w:val="30"/>
          <w:szCs w:val="30"/>
        </w:rPr>
        <w:t>四、主要环境影响和保护措施</w:t>
      </w:r>
    </w:p>
    <w:tbl>
      <w:tblPr>
        <w:tblStyle w:val="40"/>
        <w:tblW w:w="10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9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96" w:type="dxa"/>
            <w:tcMar>
              <w:left w:w="28" w:type="dxa"/>
              <w:right w:w="28" w:type="dxa"/>
            </w:tcMar>
            <w:vAlign w:val="center"/>
          </w:tcPr>
          <w:p>
            <w:pPr>
              <w:pStyle w:val="35"/>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pPr>
              <w:pStyle w:val="35"/>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35"/>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pPr>
              <w:pStyle w:val="35"/>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pPr>
              <w:pStyle w:val="35"/>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9900" w:type="dxa"/>
            <w:vAlign w:val="center"/>
          </w:tcPr>
          <w:p>
            <w:pPr>
              <w:numPr>
                <w:ilvl w:val="0"/>
                <w:numId w:val="6"/>
              </w:numPr>
              <w:snapToGrid w:val="0"/>
              <w:spacing w:before="60" w:beforeLines="25" w:after="60" w:afterLines="25"/>
              <w:jc w:val="center"/>
              <w:rPr>
                <w:b/>
                <w:szCs w:val="21"/>
              </w:rPr>
            </w:pPr>
            <w:r>
              <w:rPr>
                <w:b/>
                <w:szCs w:val="21"/>
              </w:rPr>
              <w:t>本项目施工期污染防治措施汇总</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433"/>
              <w:gridCol w:w="644"/>
              <w:gridCol w:w="8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5" w:hRule="atLeast"/>
                <w:jc w:val="center"/>
              </w:trPr>
              <w:tc>
                <w:tcPr>
                  <w:tcW w:w="224" w:type="pct"/>
                  <w:vAlign w:val="center"/>
                </w:tcPr>
                <w:p>
                  <w:pPr>
                    <w:adjustRightInd w:val="0"/>
                    <w:snapToGrid w:val="0"/>
                    <w:spacing w:line="280" w:lineRule="exact"/>
                    <w:jc w:val="center"/>
                    <w:rPr>
                      <w:szCs w:val="21"/>
                    </w:rPr>
                  </w:pPr>
                  <w:r>
                    <w:rPr>
                      <w:szCs w:val="21"/>
                    </w:rPr>
                    <w:t>项目</w:t>
                  </w:r>
                </w:p>
              </w:tc>
              <w:tc>
                <w:tcPr>
                  <w:tcW w:w="333" w:type="pct"/>
                  <w:vAlign w:val="center"/>
                </w:tcPr>
                <w:p>
                  <w:pPr>
                    <w:adjustRightInd w:val="0"/>
                    <w:snapToGrid w:val="0"/>
                    <w:spacing w:line="280" w:lineRule="exact"/>
                    <w:jc w:val="center"/>
                    <w:rPr>
                      <w:szCs w:val="21"/>
                    </w:rPr>
                  </w:pPr>
                  <w:r>
                    <w:rPr>
                      <w:szCs w:val="21"/>
                    </w:rPr>
                    <w:t>污染源</w:t>
                  </w:r>
                </w:p>
              </w:tc>
              <w:tc>
                <w:tcPr>
                  <w:tcW w:w="4443" w:type="pct"/>
                  <w:vAlign w:val="center"/>
                </w:tcPr>
                <w:p>
                  <w:pPr>
                    <w:adjustRightInd w:val="0"/>
                    <w:snapToGrid w:val="0"/>
                    <w:spacing w:line="280" w:lineRule="exact"/>
                    <w:jc w:val="center"/>
                    <w:rPr>
                      <w:szCs w:val="21"/>
                    </w:rPr>
                  </w:pPr>
                  <w:r>
                    <w:rPr>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236" w:hRule="atLeast"/>
                <w:jc w:val="center"/>
              </w:trPr>
              <w:tc>
                <w:tcPr>
                  <w:tcW w:w="224" w:type="pct"/>
                  <w:vMerge w:val="restart"/>
                  <w:vAlign w:val="center"/>
                </w:tcPr>
                <w:p>
                  <w:pPr>
                    <w:adjustRightInd w:val="0"/>
                    <w:snapToGrid w:val="0"/>
                    <w:spacing w:line="280" w:lineRule="exact"/>
                    <w:jc w:val="center"/>
                    <w:rPr>
                      <w:szCs w:val="21"/>
                    </w:rPr>
                  </w:pPr>
                  <w:r>
                    <w:rPr>
                      <w:szCs w:val="21"/>
                    </w:rPr>
                    <w:t>废气</w:t>
                  </w:r>
                </w:p>
              </w:tc>
              <w:tc>
                <w:tcPr>
                  <w:tcW w:w="333" w:type="pct"/>
                  <w:vAlign w:val="center"/>
                </w:tcPr>
                <w:p>
                  <w:pPr>
                    <w:adjustRightInd w:val="0"/>
                    <w:snapToGrid w:val="0"/>
                    <w:spacing w:line="280" w:lineRule="exact"/>
                    <w:jc w:val="center"/>
                    <w:rPr>
                      <w:szCs w:val="21"/>
                    </w:rPr>
                  </w:pPr>
                  <w:r>
                    <w:rPr>
                      <w:szCs w:val="21"/>
                    </w:rPr>
                    <w:t>扬尘</w:t>
                  </w:r>
                </w:p>
              </w:tc>
              <w:tc>
                <w:tcPr>
                  <w:tcW w:w="4443" w:type="pct"/>
                  <w:vAlign w:val="center"/>
                </w:tcPr>
                <w:p>
                  <w:pPr>
                    <w:adjustRightInd w:val="0"/>
                    <w:snapToGrid w:val="0"/>
                    <w:spacing w:line="280" w:lineRule="exact"/>
                    <w:textAlignment w:val="baseline"/>
                    <w:rPr>
                      <w:kern w:val="0"/>
                      <w:szCs w:val="21"/>
                    </w:rPr>
                  </w:pPr>
                  <w:r>
                    <w:rPr>
                      <w:kern w:val="0"/>
                      <w:szCs w:val="21"/>
                    </w:rPr>
                    <w:fldChar w:fldCharType="begin"/>
                  </w:r>
                  <w:r>
                    <w:rPr>
                      <w:kern w:val="0"/>
                      <w:szCs w:val="21"/>
                    </w:rPr>
                    <w:instrText xml:space="preserve"> = 1 \* GB2 </w:instrText>
                  </w:r>
                  <w:r>
                    <w:rPr>
                      <w:kern w:val="0"/>
                      <w:szCs w:val="21"/>
                    </w:rPr>
                    <w:fldChar w:fldCharType="separate"/>
                  </w:r>
                  <w:r>
                    <w:rPr>
                      <w:rFonts w:hint="eastAsia" w:ascii="宋体" w:hAnsi="宋体" w:cs="宋体"/>
                      <w:kern w:val="0"/>
                      <w:szCs w:val="21"/>
                    </w:rPr>
                    <w:t>⑴</w:t>
                  </w:r>
                  <w:r>
                    <w:rPr>
                      <w:kern w:val="0"/>
                      <w:szCs w:val="21"/>
                    </w:rPr>
                    <w:fldChar w:fldCharType="end"/>
                  </w:r>
                  <w:r>
                    <w:rPr>
                      <w:kern w:val="0"/>
                      <w:szCs w:val="21"/>
                    </w:rPr>
                    <w:t>厂地清理、基础开挖扬尘控制：在施工场地干燥区域定时洒水，多风季节可增加洒水次数（一般天气状况应不少于3次/日，大风日应加大洒水频率），减少起尘量，同时作业处覆盖防尘网。</w:t>
                  </w:r>
                </w:p>
                <w:p>
                  <w:pPr>
                    <w:adjustRightInd w:val="0"/>
                    <w:snapToGrid w:val="0"/>
                    <w:spacing w:line="260" w:lineRule="exact"/>
                    <w:textAlignment w:val="baseline"/>
                    <w:rPr>
                      <w:kern w:val="0"/>
                      <w:szCs w:val="21"/>
                    </w:rPr>
                  </w:pPr>
                  <w:r>
                    <w:rPr>
                      <w:kern w:val="0"/>
                      <w:szCs w:val="21"/>
                    </w:rPr>
                    <w:fldChar w:fldCharType="begin"/>
                  </w:r>
                  <w:r>
                    <w:rPr>
                      <w:kern w:val="0"/>
                      <w:szCs w:val="21"/>
                    </w:rPr>
                    <w:instrText xml:space="preserve"> = 2 \* GB2 </w:instrText>
                  </w:r>
                  <w:r>
                    <w:rPr>
                      <w:kern w:val="0"/>
                      <w:szCs w:val="21"/>
                    </w:rPr>
                    <w:fldChar w:fldCharType="separate"/>
                  </w:r>
                  <w:r>
                    <w:rPr>
                      <w:rFonts w:hint="eastAsia" w:ascii="宋体" w:hAnsi="宋体" w:cs="宋体"/>
                      <w:kern w:val="0"/>
                      <w:szCs w:val="21"/>
                    </w:rPr>
                    <w:t>⑵</w:t>
                  </w:r>
                  <w:r>
                    <w:rPr>
                      <w:kern w:val="0"/>
                      <w:szCs w:val="21"/>
                    </w:rPr>
                    <w:fldChar w:fldCharType="end"/>
                  </w:r>
                  <w:r>
                    <w:rPr>
                      <w:kern w:val="0"/>
                      <w:szCs w:val="21"/>
                    </w:rPr>
                    <w:t>材料运输扬尘控制：运输通过土路时，实施车辆速度限制，防止车速过快产生大量扬尘污染环境。施工阶段对汽车行驶路面勤洒水，每天3～4次，在干燥大风天气情况洒水频率加密。凡运送土石方等材料的车辆，都应用蓬布覆盖，避免扬尘。对进入施工区域内的车流量进行合理规划，防止施工现场车流量过大。在施工场地设置洗车平台，完善排水设施，防止泥土粘带，车辆轮胎进出场都要进行清洗。</w:t>
                  </w:r>
                </w:p>
                <w:p>
                  <w:pPr>
                    <w:adjustRightInd w:val="0"/>
                    <w:snapToGrid w:val="0"/>
                    <w:spacing w:line="280" w:lineRule="exact"/>
                    <w:textAlignment w:val="baseline"/>
                    <w:rPr>
                      <w:kern w:val="0"/>
                      <w:szCs w:val="21"/>
                    </w:rPr>
                  </w:pPr>
                  <w:r>
                    <w:rPr>
                      <w:kern w:val="0"/>
                      <w:szCs w:val="21"/>
                    </w:rPr>
                    <w:fldChar w:fldCharType="begin"/>
                  </w:r>
                  <w:r>
                    <w:rPr>
                      <w:kern w:val="0"/>
                      <w:szCs w:val="21"/>
                    </w:rPr>
                    <w:instrText xml:space="preserve"> = 3 \* GB2 </w:instrText>
                  </w:r>
                  <w:r>
                    <w:rPr>
                      <w:kern w:val="0"/>
                      <w:szCs w:val="21"/>
                    </w:rPr>
                    <w:fldChar w:fldCharType="separate"/>
                  </w:r>
                  <w:r>
                    <w:rPr>
                      <w:rFonts w:hint="eastAsia" w:ascii="宋体" w:hAnsi="宋体" w:cs="宋体"/>
                      <w:kern w:val="0"/>
                      <w:szCs w:val="21"/>
                    </w:rPr>
                    <w:t>⑶</w:t>
                  </w:r>
                  <w:r>
                    <w:rPr>
                      <w:kern w:val="0"/>
                      <w:szCs w:val="21"/>
                    </w:rPr>
                    <w:fldChar w:fldCharType="end"/>
                  </w:r>
                  <w:r>
                    <w:rPr>
                      <w:kern w:val="0"/>
                      <w:szCs w:val="21"/>
                    </w:rPr>
                    <w:t>场地风蚀扬尘控制：对于施工时的土方暂存场，在大风天气极易产生扬尘，要求对土方暂存场进行洒水抑尘，同时对物料进行覆盖，采取防尘布苫盖。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74" w:hRule="atLeast"/>
                <w:jc w:val="center"/>
              </w:trPr>
              <w:tc>
                <w:tcPr>
                  <w:tcW w:w="224" w:type="pct"/>
                  <w:vMerge w:val="continue"/>
                  <w:vAlign w:val="center"/>
                </w:tcPr>
                <w:p>
                  <w:pPr>
                    <w:adjustRightInd w:val="0"/>
                    <w:snapToGrid w:val="0"/>
                    <w:spacing w:line="280" w:lineRule="exact"/>
                    <w:jc w:val="center"/>
                    <w:rPr>
                      <w:szCs w:val="21"/>
                    </w:rPr>
                  </w:pPr>
                </w:p>
              </w:tc>
              <w:tc>
                <w:tcPr>
                  <w:tcW w:w="333" w:type="pct"/>
                  <w:vAlign w:val="center"/>
                </w:tcPr>
                <w:p>
                  <w:pPr>
                    <w:adjustRightInd w:val="0"/>
                    <w:snapToGrid w:val="0"/>
                    <w:spacing w:line="280" w:lineRule="exact"/>
                    <w:jc w:val="center"/>
                    <w:rPr>
                      <w:szCs w:val="21"/>
                    </w:rPr>
                  </w:pPr>
                  <w:r>
                    <w:rPr>
                      <w:szCs w:val="21"/>
                    </w:rPr>
                    <w:t>运输车</w:t>
                  </w:r>
                </w:p>
                <w:p>
                  <w:pPr>
                    <w:adjustRightInd w:val="0"/>
                    <w:snapToGrid w:val="0"/>
                    <w:spacing w:line="280" w:lineRule="exact"/>
                    <w:jc w:val="center"/>
                    <w:rPr>
                      <w:szCs w:val="21"/>
                    </w:rPr>
                  </w:pPr>
                  <w:r>
                    <w:rPr>
                      <w:szCs w:val="21"/>
                    </w:rPr>
                    <w:t>辆尾气</w:t>
                  </w:r>
                </w:p>
              </w:tc>
              <w:tc>
                <w:tcPr>
                  <w:tcW w:w="4443" w:type="pct"/>
                  <w:vAlign w:val="center"/>
                </w:tcPr>
                <w:p>
                  <w:pPr>
                    <w:adjustRightInd w:val="0"/>
                    <w:snapToGrid w:val="0"/>
                    <w:spacing w:line="280" w:lineRule="exact"/>
                    <w:textAlignment w:val="baseline"/>
                    <w:rPr>
                      <w:kern w:val="0"/>
                      <w:szCs w:val="21"/>
                    </w:rPr>
                  </w:pPr>
                  <w:r>
                    <w:rPr>
                      <w:kern w:val="0"/>
                      <w:szCs w:val="21"/>
                    </w:rPr>
                    <w:t>要求施工现场的机械及运输车辆使用国家规定的标准燃油，尤其是大型运输车辆尾气应达标排放。要求施工单位对施工车辆加强检修和维护，严禁使用超期服役和尾气超标的车辆，对于发动机耗油多、效率低、排放尾气超标的老、旧车辆，及时更新。机械及运输车辆要定时保养，调整到最佳状态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224" w:type="pct"/>
                  <w:vMerge w:val="continue"/>
                  <w:vAlign w:val="center"/>
                </w:tcPr>
                <w:p>
                  <w:pPr>
                    <w:adjustRightInd w:val="0"/>
                    <w:snapToGrid w:val="0"/>
                    <w:spacing w:line="280" w:lineRule="exact"/>
                    <w:jc w:val="center"/>
                    <w:rPr>
                      <w:szCs w:val="21"/>
                    </w:rPr>
                  </w:pPr>
                </w:p>
              </w:tc>
              <w:tc>
                <w:tcPr>
                  <w:tcW w:w="333" w:type="pct"/>
                  <w:vAlign w:val="center"/>
                </w:tcPr>
                <w:p>
                  <w:pPr>
                    <w:adjustRightInd w:val="0"/>
                    <w:snapToGrid w:val="0"/>
                    <w:spacing w:line="280" w:lineRule="exact"/>
                    <w:jc w:val="center"/>
                    <w:rPr>
                      <w:szCs w:val="21"/>
                    </w:rPr>
                  </w:pPr>
                  <w:r>
                    <w:rPr>
                      <w:szCs w:val="21"/>
                    </w:rPr>
                    <w:t>装修</w:t>
                  </w:r>
                </w:p>
                <w:p>
                  <w:pPr>
                    <w:adjustRightInd w:val="0"/>
                    <w:snapToGrid w:val="0"/>
                    <w:spacing w:line="280" w:lineRule="exact"/>
                    <w:jc w:val="center"/>
                    <w:rPr>
                      <w:szCs w:val="21"/>
                    </w:rPr>
                  </w:pPr>
                  <w:r>
                    <w:rPr>
                      <w:szCs w:val="21"/>
                    </w:rPr>
                    <w:t>废气</w:t>
                  </w:r>
                </w:p>
              </w:tc>
              <w:tc>
                <w:tcPr>
                  <w:tcW w:w="4443" w:type="pct"/>
                  <w:vAlign w:val="center"/>
                </w:tcPr>
                <w:p>
                  <w:pPr>
                    <w:adjustRightInd w:val="0"/>
                    <w:snapToGrid w:val="0"/>
                    <w:spacing w:line="260" w:lineRule="exact"/>
                    <w:rPr>
                      <w:szCs w:val="21"/>
                    </w:rPr>
                  </w:pPr>
                  <w:r>
                    <w:rPr>
                      <w:szCs w:val="21"/>
                    </w:rPr>
                    <w:t>监督项目建筑方采用符合国家标准的A级产品，减少建材对室内空气的污染；设计良好的通风设备。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07" w:hRule="exact"/>
                <w:jc w:val="center"/>
              </w:trPr>
              <w:tc>
                <w:tcPr>
                  <w:tcW w:w="224" w:type="pct"/>
                  <w:vMerge w:val="restart"/>
                  <w:vAlign w:val="center"/>
                </w:tcPr>
                <w:p>
                  <w:pPr>
                    <w:adjustRightInd w:val="0"/>
                    <w:snapToGrid w:val="0"/>
                    <w:spacing w:line="280" w:lineRule="exact"/>
                    <w:jc w:val="center"/>
                    <w:rPr>
                      <w:szCs w:val="21"/>
                    </w:rPr>
                  </w:pPr>
                  <w:r>
                    <w:rPr>
                      <w:szCs w:val="21"/>
                    </w:rPr>
                    <w:t>废水</w:t>
                  </w:r>
                </w:p>
              </w:tc>
              <w:tc>
                <w:tcPr>
                  <w:tcW w:w="333" w:type="pct"/>
                  <w:vAlign w:val="center"/>
                </w:tcPr>
                <w:p>
                  <w:pPr>
                    <w:adjustRightInd w:val="0"/>
                    <w:snapToGrid w:val="0"/>
                    <w:spacing w:line="280" w:lineRule="exact"/>
                    <w:jc w:val="center"/>
                    <w:rPr>
                      <w:szCs w:val="21"/>
                    </w:rPr>
                  </w:pPr>
                  <w:r>
                    <w:rPr>
                      <w:szCs w:val="21"/>
                    </w:rPr>
                    <w:t>施工</w:t>
                  </w:r>
                </w:p>
                <w:p>
                  <w:pPr>
                    <w:adjustRightInd w:val="0"/>
                    <w:snapToGrid w:val="0"/>
                    <w:spacing w:line="280" w:lineRule="exact"/>
                    <w:jc w:val="center"/>
                    <w:rPr>
                      <w:szCs w:val="21"/>
                    </w:rPr>
                  </w:pPr>
                  <w:r>
                    <w:rPr>
                      <w:szCs w:val="21"/>
                    </w:rPr>
                    <w:t>废水</w:t>
                  </w:r>
                </w:p>
              </w:tc>
              <w:tc>
                <w:tcPr>
                  <w:tcW w:w="4443" w:type="pct"/>
                  <w:vAlign w:val="center"/>
                </w:tcPr>
                <w:p>
                  <w:pPr>
                    <w:adjustRightInd w:val="0"/>
                    <w:snapToGrid w:val="0"/>
                    <w:spacing w:line="260" w:lineRule="exact"/>
                    <w:textAlignment w:val="baseline"/>
                    <w:rPr>
                      <w:kern w:val="0"/>
                      <w:szCs w:val="21"/>
                    </w:rPr>
                  </w:pPr>
                  <w:r>
                    <w:rPr>
                      <w:kern w:val="0"/>
                      <w:szCs w:val="21"/>
                    </w:rPr>
                    <w:fldChar w:fldCharType="begin"/>
                  </w:r>
                  <w:r>
                    <w:rPr>
                      <w:kern w:val="0"/>
                      <w:szCs w:val="21"/>
                    </w:rPr>
                    <w:instrText xml:space="preserve"> = 1 \* GB2 </w:instrText>
                  </w:r>
                  <w:r>
                    <w:rPr>
                      <w:kern w:val="0"/>
                      <w:szCs w:val="21"/>
                    </w:rPr>
                    <w:fldChar w:fldCharType="separate"/>
                  </w:r>
                  <w:r>
                    <w:rPr>
                      <w:rFonts w:hint="eastAsia" w:ascii="宋体" w:hAnsi="宋体" w:cs="宋体"/>
                      <w:kern w:val="0"/>
                      <w:szCs w:val="21"/>
                    </w:rPr>
                    <w:t>⑴</w:t>
                  </w:r>
                  <w:r>
                    <w:rPr>
                      <w:kern w:val="0"/>
                      <w:szCs w:val="21"/>
                    </w:rPr>
                    <w:fldChar w:fldCharType="end"/>
                  </w:r>
                  <w:r>
                    <w:rPr>
                      <w:kern w:val="0"/>
                      <w:szCs w:val="21"/>
                    </w:rPr>
                    <w:t>设置沉淀池，砂石料搅拌废水、机械和车辆冲洗废水经沉淀后用于施工物料拌合用水或地面洒水，禁止废水乱排。</w:t>
                  </w:r>
                </w:p>
                <w:p>
                  <w:pPr>
                    <w:adjustRightInd w:val="0"/>
                    <w:snapToGrid w:val="0"/>
                    <w:spacing w:line="260" w:lineRule="exact"/>
                    <w:textAlignment w:val="baseline"/>
                    <w:rPr>
                      <w:kern w:val="0"/>
                      <w:sz w:val="24"/>
                      <w:szCs w:val="21"/>
                    </w:rPr>
                  </w:pPr>
                  <w:r>
                    <w:rPr>
                      <w:kern w:val="0"/>
                      <w:szCs w:val="21"/>
                    </w:rPr>
                    <w:fldChar w:fldCharType="begin"/>
                  </w:r>
                  <w:r>
                    <w:rPr>
                      <w:kern w:val="0"/>
                      <w:szCs w:val="21"/>
                    </w:rPr>
                    <w:instrText xml:space="preserve"> = 2 \* GB2 </w:instrText>
                  </w:r>
                  <w:r>
                    <w:rPr>
                      <w:kern w:val="0"/>
                      <w:szCs w:val="21"/>
                    </w:rPr>
                    <w:fldChar w:fldCharType="separate"/>
                  </w:r>
                  <w:r>
                    <w:rPr>
                      <w:rFonts w:hint="eastAsia" w:ascii="宋体" w:hAnsi="宋体" w:cs="宋体"/>
                      <w:kern w:val="0"/>
                      <w:szCs w:val="21"/>
                    </w:rPr>
                    <w:t>⑵</w:t>
                  </w:r>
                  <w:r>
                    <w:rPr>
                      <w:kern w:val="0"/>
                      <w:szCs w:val="21"/>
                    </w:rPr>
                    <w:fldChar w:fldCharType="end"/>
                  </w:r>
                  <w:r>
                    <w:rPr>
                      <w:kern w:val="0"/>
                      <w:szCs w:val="21"/>
                    </w:rPr>
                    <w:t>施工区内增设必要的排水沟道，有利于雨水排放。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224" w:type="pct"/>
                  <w:vMerge w:val="continue"/>
                  <w:vAlign w:val="center"/>
                </w:tcPr>
                <w:p>
                  <w:pPr>
                    <w:adjustRightInd w:val="0"/>
                    <w:snapToGrid w:val="0"/>
                    <w:spacing w:line="280" w:lineRule="exact"/>
                    <w:jc w:val="center"/>
                    <w:rPr>
                      <w:szCs w:val="21"/>
                    </w:rPr>
                  </w:pPr>
                </w:p>
              </w:tc>
              <w:tc>
                <w:tcPr>
                  <w:tcW w:w="333" w:type="pct"/>
                  <w:vAlign w:val="center"/>
                </w:tcPr>
                <w:p>
                  <w:pPr>
                    <w:adjustRightInd w:val="0"/>
                    <w:snapToGrid w:val="0"/>
                    <w:spacing w:line="280" w:lineRule="exact"/>
                    <w:jc w:val="center"/>
                    <w:rPr>
                      <w:szCs w:val="21"/>
                    </w:rPr>
                  </w:pPr>
                  <w:r>
                    <w:rPr>
                      <w:szCs w:val="21"/>
                    </w:rPr>
                    <w:t>施工生活污水</w:t>
                  </w:r>
                </w:p>
              </w:tc>
              <w:tc>
                <w:tcPr>
                  <w:tcW w:w="4443" w:type="pct"/>
                  <w:vAlign w:val="center"/>
                </w:tcPr>
                <w:p>
                  <w:pPr>
                    <w:adjustRightInd w:val="0"/>
                    <w:snapToGrid w:val="0"/>
                    <w:spacing w:line="260" w:lineRule="exact"/>
                    <w:textAlignment w:val="baseline"/>
                    <w:rPr>
                      <w:kern w:val="0"/>
                      <w:szCs w:val="21"/>
                    </w:rPr>
                  </w:pPr>
                  <w:r>
                    <w:rPr>
                      <w:kern w:val="0"/>
                      <w:szCs w:val="21"/>
                    </w:rPr>
                    <w:t>采取集中收集设施，经化粪池处理后用于周边农田灌溉。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96" w:hRule="atLeast"/>
                <w:jc w:val="center"/>
              </w:trPr>
              <w:tc>
                <w:tcPr>
                  <w:tcW w:w="224" w:type="pct"/>
                  <w:vAlign w:val="center"/>
                </w:tcPr>
                <w:p>
                  <w:pPr>
                    <w:adjustRightInd w:val="0"/>
                    <w:snapToGrid w:val="0"/>
                    <w:spacing w:line="280" w:lineRule="exact"/>
                    <w:rPr>
                      <w:szCs w:val="21"/>
                    </w:rPr>
                  </w:pPr>
                  <w:r>
                    <w:rPr>
                      <w:szCs w:val="21"/>
                    </w:rPr>
                    <w:t>噪声</w:t>
                  </w:r>
                </w:p>
              </w:tc>
              <w:tc>
                <w:tcPr>
                  <w:tcW w:w="333" w:type="pct"/>
                  <w:vAlign w:val="center"/>
                </w:tcPr>
                <w:p>
                  <w:pPr>
                    <w:adjustRightInd w:val="0"/>
                    <w:snapToGrid w:val="0"/>
                    <w:spacing w:line="280" w:lineRule="exact"/>
                    <w:jc w:val="center"/>
                    <w:textAlignment w:val="baseline"/>
                    <w:rPr>
                      <w:szCs w:val="21"/>
                    </w:rPr>
                  </w:pPr>
                  <w:r>
                    <w:rPr>
                      <w:szCs w:val="21"/>
                    </w:rPr>
                    <w:t>施工场</w:t>
                  </w:r>
                </w:p>
                <w:p>
                  <w:pPr>
                    <w:adjustRightInd w:val="0"/>
                    <w:snapToGrid w:val="0"/>
                    <w:spacing w:line="280" w:lineRule="exact"/>
                    <w:jc w:val="center"/>
                    <w:textAlignment w:val="baseline"/>
                    <w:rPr>
                      <w:szCs w:val="21"/>
                    </w:rPr>
                  </w:pPr>
                  <w:r>
                    <w:rPr>
                      <w:szCs w:val="21"/>
                    </w:rPr>
                    <w:t>地噪声</w:t>
                  </w:r>
                </w:p>
              </w:tc>
              <w:tc>
                <w:tcPr>
                  <w:tcW w:w="4443" w:type="pct"/>
                  <w:tcMar>
                    <w:left w:w="85" w:type="dxa"/>
                    <w:right w:w="85" w:type="dxa"/>
                  </w:tcMar>
                  <w:vAlign w:val="center"/>
                </w:tcPr>
                <w:p>
                  <w:pPr>
                    <w:adjustRightInd w:val="0"/>
                    <w:snapToGrid w:val="0"/>
                    <w:spacing w:line="280" w:lineRule="exact"/>
                    <w:textAlignment w:val="baseline"/>
                    <w:rPr>
                      <w:kern w:val="0"/>
                      <w:szCs w:val="21"/>
                    </w:rPr>
                  </w:pPr>
                  <w:r>
                    <w:rPr>
                      <w:kern w:val="0"/>
                      <w:sz w:val="24"/>
                      <w:szCs w:val="21"/>
                    </w:rPr>
                    <w:fldChar w:fldCharType="begin"/>
                  </w:r>
                  <w:r>
                    <w:rPr>
                      <w:kern w:val="0"/>
                      <w:sz w:val="24"/>
                      <w:szCs w:val="21"/>
                    </w:rPr>
                    <w:instrText xml:space="preserve"> = 1 \* GB2 </w:instrText>
                  </w:r>
                  <w:r>
                    <w:rPr>
                      <w:kern w:val="0"/>
                      <w:sz w:val="24"/>
                      <w:szCs w:val="21"/>
                    </w:rPr>
                    <w:fldChar w:fldCharType="separate"/>
                  </w:r>
                  <w:r>
                    <w:rPr>
                      <w:rFonts w:hint="eastAsia" w:ascii="宋体" w:hAnsi="宋体" w:cs="宋体"/>
                      <w:kern w:val="0"/>
                      <w:sz w:val="24"/>
                      <w:szCs w:val="21"/>
                    </w:rPr>
                    <w:t>⑴</w:t>
                  </w:r>
                  <w:r>
                    <w:rPr>
                      <w:kern w:val="0"/>
                      <w:sz w:val="24"/>
                      <w:szCs w:val="21"/>
                    </w:rPr>
                    <w:fldChar w:fldCharType="end"/>
                  </w:r>
                  <w:r>
                    <w:rPr>
                      <w:kern w:val="0"/>
                      <w:szCs w:val="21"/>
                    </w:rPr>
                    <w:t>合理安排施工时间与布局：应尽可能避免大量高噪声设备同时施工，高噪声施工时间尽量安排在日间，减少夜间施工量，打桩机等禁止在夜间施工。</w:t>
                  </w:r>
                </w:p>
                <w:p>
                  <w:pPr>
                    <w:adjustRightInd w:val="0"/>
                    <w:snapToGrid w:val="0"/>
                    <w:spacing w:line="280" w:lineRule="exact"/>
                    <w:jc w:val="left"/>
                    <w:textAlignment w:val="baseline"/>
                    <w:rPr>
                      <w:kern w:val="0"/>
                      <w:szCs w:val="21"/>
                    </w:rPr>
                  </w:pPr>
                  <w:r>
                    <w:rPr>
                      <w:kern w:val="0"/>
                      <w:sz w:val="24"/>
                      <w:szCs w:val="21"/>
                    </w:rPr>
                    <w:fldChar w:fldCharType="begin"/>
                  </w:r>
                  <w:r>
                    <w:rPr>
                      <w:kern w:val="0"/>
                      <w:sz w:val="24"/>
                      <w:szCs w:val="21"/>
                    </w:rPr>
                    <w:instrText xml:space="preserve"> = 2 \* GB2 </w:instrText>
                  </w:r>
                  <w:r>
                    <w:rPr>
                      <w:kern w:val="0"/>
                      <w:sz w:val="24"/>
                      <w:szCs w:val="21"/>
                    </w:rPr>
                    <w:fldChar w:fldCharType="separate"/>
                  </w:r>
                  <w:r>
                    <w:rPr>
                      <w:rFonts w:hint="eastAsia" w:ascii="宋体" w:hAnsi="宋体" w:cs="宋体"/>
                      <w:kern w:val="0"/>
                      <w:sz w:val="24"/>
                      <w:szCs w:val="21"/>
                    </w:rPr>
                    <w:t>⑵</w:t>
                  </w:r>
                  <w:r>
                    <w:rPr>
                      <w:kern w:val="0"/>
                      <w:sz w:val="24"/>
                      <w:szCs w:val="21"/>
                    </w:rPr>
                    <w:fldChar w:fldCharType="end"/>
                  </w:r>
                  <w:r>
                    <w:rPr>
                      <w:kern w:val="0"/>
                      <w:szCs w:val="21"/>
                    </w:rPr>
                    <w:t>降低设备声级：尽量采用低噪声设备，如以液压机械代替燃油机械，振捣器采用高频振捣器等；固定机械设备与挖土、运土机械，如挖土机、推土机等，可通过排气管消音器和隔离发动机振动部件的方法降低噪声；对动力机械设备进行定期的维修、养护、维修不良的设备常因构动部件的振动或消声器的损坏而增加其工作时声级；闲置不用的设备应立即关闭，运输车辆进入现场应减速，并禁止鸣笛。</w:t>
                  </w:r>
                </w:p>
                <w:p>
                  <w:pPr>
                    <w:adjustRightInd w:val="0"/>
                    <w:snapToGrid w:val="0"/>
                    <w:spacing w:line="280" w:lineRule="exact"/>
                    <w:textAlignment w:val="baseline"/>
                    <w:rPr>
                      <w:kern w:val="0"/>
                      <w:szCs w:val="21"/>
                    </w:rPr>
                  </w:pPr>
                  <w:r>
                    <w:rPr>
                      <w:kern w:val="0"/>
                      <w:szCs w:val="21"/>
                    </w:rPr>
                    <w:fldChar w:fldCharType="begin"/>
                  </w:r>
                  <w:r>
                    <w:rPr>
                      <w:kern w:val="0"/>
                      <w:szCs w:val="21"/>
                    </w:rPr>
                    <w:instrText xml:space="preserve"> = 3 \* GB2 </w:instrText>
                  </w:r>
                  <w:r>
                    <w:rPr>
                      <w:kern w:val="0"/>
                      <w:szCs w:val="21"/>
                    </w:rPr>
                    <w:fldChar w:fldCharType="separate"/>
                  </w:r>
                  <w:r>
                    <w:rPr>
                      <w:rFonts w:hint="eastAsia" w:ascii="宋体" w:hAnsi="宋体" w:cs="宋体"/>
                      <w:kern w:val="0"/>
                      <w:szCs w:val="21"/>
                    </w:rPr>
                    <w:t>⑶</w:t>
                  </w:r>
                  <w:r>
                    <w:rPr>
                      <w:kern w:val="0"/>
                      <w:szCs w:val="21"/>
                    </w:rPr>
                    <w:fldChar w:fldCharType="end"/>
                  </w:r>
                  <w:r>
                    <w:rPr>
                      <w:kern w:val="0"/>
                      <w:szCs w:val="21"/>
                    </w:rPr>
                    <w:t>降低人为噪音：按规定操作机械设备，遵守作业规定，减少碰撞噪声；尽量少用哨子、钟、笛等指挥作业。</w:t>
                  </w:r>
                </w:p>
                <w:p>
                  <w:pPr>
                    <w:adjustRightInd w:val="0"/>
                    <w:snapToGrid w:val="0"/>
                    <w:spacing w:line="280" w:lineRule="exact"/>
                    <w:textAlignment w:val="baseline"/>
                    <w:rPr>
                      <w:kern w:val="0"/>
                      <w:szCs w:val="21"/>
                    </w:rPr>
                  </w:pPr>
                  <w:r>
                    <w:rPr>
                      <w:kern w:val="0"/>
                      <w:szCs w:val="21"/>
                    </w:rPr>
                    <w:fldChar w:fldCharType="begin"/>
                  </w:r>
                  <w:r>
                    <w:rPr>
                      <w:kern w:val="0"/>
                      <w:szCs w:val="21"/>
                    </w:rPr>
                    <w:instrText xml:space="preserve"> = 4 \* GB2 </w:instrText>
                  </w:r>
                  <w:r>
                    <w:rPr>
                      <w:kern w:val="0"/>
                      <w:szCs w:val="21"/>
                    </w:rPr>
                    <w:fldChar w:fldCharType="separate"/>
                  </w:r>
                  <w:r>
                    <w:rPr>
                      <w:rFonts w:hint="eastAsia" w:ascii="宋体" w:hAnsi="宋体" w:cs="宋体"/>
                      <w:kern w:val="0"/>
                      <w:szCs w:val="21"/>
                    </w:rPr>
                    <w:t>⑷</w:t>
                  </w:r>
                  <w:r>
                    <w:rPr>
                      <w:kern w:val="0"/>
                      <w:szCs w:val="21"/>
                    </w:rPr>
                    <w:fldChar w:fldCharType="end"/>
                  </w:r>
                  <w:r>
                    <w:rPr>
                      <w:kern w:val="0"/>
                      <w:szCs w:val="21"/>
                    </w:rPr>
                    <w:t>建立施工挡墙：</w:t>
                  </w:r>
                  <w:r>
                    <w:rPr>
                      <w:bCs/>
                      <w:kern w:val="0"/>
                      <w:szCs w:val="21"/>
                    </w:rPr>
                    <w:t>高噪声设备置于施工棚内，将施工作业区置于室内，既可防尘又可降噪</w:t>
                  </w:r>
                  <w:r>
                    <w:rPr>
                      <w:kern w:val="0"/>
                      <w:szCs w:val="21"/>
                    </w:rPr>
                    <w:t>。</w:t>
                  </w:r>
                </w:p>
                <w:p>
                  <w:pPr>
                    <w:adjustRightInd w:val="0"/>
                    <w:snapToGrid w:val="0"/>
                    <w:spacing w:line="280" w:lineRule="exact"/>
                    <w:textAlignment w:val="baseline"/>
                    <w:rPr>
                      <w:spacing w:val="-4"/>
                      <w:szCs w:val="21"/>
                    </w:rPr>
                  </w:pPr>
                  <w:r>
                    <w:rPr>
                      <w:spacing w:val="-4"/>
                      <w:kern w:val="0"/>
                      <w:szCs w:val="21"/>
                    </w:rPr>
                    <w:fldChar w:fldCharType="begin"/>
                  </w:r>
                  <w:r>
                    <w:rPr>
                      <w:spacing w:val="-4"/>
                      <w:kern w:val="0"/>
                      <w:szCs w:val="21"/>
                    </w:rPr>
                    <w:instrText xml:space="preserve"> = 5 \* GB2 </w:instrText>
                  </w:r>
                  <w:r>
                    <w:rPr>
                      <w:spacing w:val="-4"/>
                      <w:kern w:val="0"/>
                      <w:szCs w:val="21"/>
                    </w:rPr>
                    <w:fldChar w:fldCharType="separate"/>
                  </w:r>
                  <w:r>
                    <w:rPr>
                      <w:rFonts w:hint="eastAsia" w:ascii="宋体" w:hAnsi="宋体" w:cs="宋体"/>
                      <w:spacing w:val="-4"/>
                      <w:kern w:val="0"/>
                      <w:szCs w:val="21"/>
                    </w:rPr>
                    <w:t>⑸</w:t>
                  </w:r>
                  <w:r>
                    <w:rPr>
                      <w:spacing w:val="-4"/>
                      <w:kern w:val="0"/>
                      <w:szCs w:val="21"/>
                    </w:rPr>
                    <w:fldChar w:fldCharType="end"/>
                  </w:r>
                  <w:r>
                    <w:rPr>
                      <w:spacing w:val="-4"/>
                      <w:kern w:val="0"/>
                      <w:szCs w:val="21"/>
                    </w:rPr>
                    <w:t>应与周围单位、居民建立联系，对受施工干扰的单位和居民应在作业前予以通知，求得大家的共同理解；施工期间应设热线投诉电话，接受噪音扰民投诉，并对投诉情况进行积极治理或严格地限制作业时间。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9" w:hRule="atLeast"/>
                <w:jc w:val="center"/>
              </w:trPr>
              <w:tc>
                <w:tcPr>
                  <w:tcW w:w="224" w:type="pct"/>
                  <w:vMerge w:val="restart"/>
                  <w:vAlign w:val="center"/>
                </w:tcPr>
                <w:p>
                  <w:pPr>
                    <w:adjustRightInd w:val="0"/>
                    <w:snapToGrid w:val="0"/>
                    <w:spacing w:line="280" w:lineRule="exact"/>
                    <w:jc w:val="center"/>
                    <w:rPr>
                      <w:szCs w:val="21"/>
                    </w:rPr>
                  </w:pPr>
                  <w:r>
                    <w:rPr>
                      <w:szCs w:val="21"/>
                    </w:rPr>
                    <w:t>固废</w:t>
                  </w:r>
                </w:p>
              </w:tc>
              <w:tc>
                <w:tcPr>
                  <w:tcW w:w="333" w:type="pct"/>
                  <w:tcMar>
                    <w:left w:w="0" w:type="dxa"/>
                    <w:right w:w="0" w:type="dxa"/>
                  </w:tcMar>
                  <w:vAlign w:val="center"/>
                </w:tcPr>
                <w:p>
                  <w:pPr>
                    <w:adjustRightInd w:val="0"/>
                    <w:snapToGrid w:val="0"/>
                    <w:spacing w:line="280" w:lineRule="exact"/>
                    <w:jc w:val="center"/>
                    <w:textAlignment w:val="baseline"/>
                    <w:rPr>
                      <w:szCs w:val="21"/>
                    </w:rPr>
                  </w:pPr>
                  <w:r>
                    <w:rPr>
                      <w:szCs w:val="21"/>
                    </w:rPr>
                    <w:t>建筑垃圾</w:t>
                  </w:r>
                </w:p>
              </w:tc>
              <w:tc>
                <w:tcPr>
                  <w:tcW w:w="4443" w:type="pct"/>
                  <w:tcMar>
                    <w:left w:w="85" w:type="dxa"/>
                    <w:right w:w="85" w:type="dxa"/>
                  </w:tcMar>
                  <w:vAlign w:val="center"/>
                </w:tcPr>
                <w:p>
                  <w:pPr>
                    <w:adjustRightInd w:val="0"/>
                    <w:snapToGrid w:val="0"/>
                    <w:spacing w:line="260" w:lineRule="exact"/>
                    <w:textAlignment w:val="baseline"/>
                    <w:rPr>
                      <w:kern w:val="0"/>
                      <w:sz w:val="24"/>
                      <w:szCs w:val="21"/>
                    </w:rPr>
                  </w:pPr>
                  <w:r>
                    <w:rPr>
                      <w:bCs/>
                      <w:kern w:val="0"/>
                      <w:szCs w:val="21"/>
                    </w:rPr>
                    <w:t>首先应考虑废料的回收利用。对钢筋、钢板、木材等下角料可分类回收利用；对如混凝土废料、含砖、石、砂的杂土等建筑垃圾，及时清运到环卫部门指定的建筑垃圾填埋场</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25" w:hRule="atLeast"/>
                <w:jc w:val="center"/>
              </w:trPr>
              <w:tc>
                <w:tcPr>
                  <w:tcW w:w="224" w:type="pct"/>
                  <w:vMerge w:val="continue"/>
                  <w:vAlign w:val="center"/>
                </w:tcPr>
                <w:p>
                  <w:pPr>
                    <w:adjustRightInd w:val="0"/>
                    <w:snapToGrid w:val="0"/>
                    <w:spacing w:line="280" w:lineRule="exact"/>
                    <w:jc w:val="center"/>
                    <w:rPr>
                      <w:szCs w:val="21"/>
                    </w:rPr>
                  </w:pPr>
                </w:p>
              </w:tc>
              <w:tc>
                <w:tcPr>
                  <w:tcW w:w="333" w:type="pct"/>
                  <w:tcMar>
                    <w:left w:w="0" w:type="dxa"/>
                    <w:right w:w="0" w:type="dxa"/>
                  </w:tcMar>
                  <w:vAlign w:val="center"/>
                </w:tcPr>
                <w:p>
                  <w:pPr>
                    <w:adjustRightInd w:val="0"/>
                    <w:snapToGrid w:val="0"/>
                    <w:spacing w:line="260" w:lineRule="exact"/>
                    <w:jc w:val="center"/>
                    <w:textAlignment w:val="baseline"/>
                    <w:rPr>
                      <w:szCs w:val="21"/>
                    </w:rPr>
                  </w:pPr>
                  <w:r>
                    <w:rPr>
                      <w:kern w:val="0"/>
                      <w:szCs w:val="21"/>
                    </w:rPr>
                    <w:t>生活垃圾</w:t>
                  </w:r>
                </w:p>
              </w:tc>
              <w:tc>
                <w:tcPr>
                  <w:tcW w:w="4443" w:type="pct"/>
                  <w:tcMar>
                    <w:left w:w="85" w:type="dxa"/>
                    <w:right w:w="85" w:type="dxa"/>
                  </w:tcMar>
                  <w:vAlign w:val="center"/>
                </w:tcPr>
                <w:p>
                  <w:pPr>
                    <w:adjustRightInd w:val="0"/>
                    <w:snapToGrid w:val="0"/>
                    <w:spacing w:line="260" w:lineRule="exact"/>
                    <w:textAlignment w:val="baseline"/>
                    <w:rPr>
                      <w:bCs/>
                      <w:kern w:val="0"/>
                      <w:szCs w:val="21"/>
                    </w:rPr>
                  </w:pPr>
                  <w:r>
                    <w:rPr>
                      <w:kern w:val="0"/>
                      <w:szCs w:val="21"/>
                    </w:rPr>
                    <w:t>设置垃圾桶，定期送环卫部门指定地点。</w:t>
                  </w:r>
                </w:p>
              </w:tc>
            </w:tr>
          </w:tbl>
          <w:p>
            <w:pPr>
              <w:snapToGrid w:val="0"/>
              <w:spacing w:line="360" w:lineRule="auto"/>
              <w:jc w:val="center"/>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480" w:firstLineChars="200"/>
              <w:rPr>
                <w:bCs/>
                <w:sz w:val="24"/>
              </w:rPr>
            </w:pPr>
          </w:p>
          <w:p>
            <w:pPr>
              <w:snapToGrid w:val="0"/>
              <w:spacing w:line="360" w:lineRule="auto"/>
              <w:ind w:firstLine="380" w:firstLineChars="200"/>
              <w:rPr>
                <w:bCs/>
                <w:spacing w:val="-10"/>
                <w:szCs w:val="21"/>
              </w:rPr>
            </w:pPr>
          </w:p>
        </w:tc>
      </w:tr>
    </w:tbl>
    <w:p>
      <w:pPr>
        <w:pStyle w:val="35"/>
        <w:jc w:val="center"/>
        <w:outlineLvl w:val="0"/>
        <w:rPr>
          <w:rFonts w:ascii="Times New Roman" w:hAnsi="Times New Roman"/>
          <w:snapToGrid w:val="0"/>
          <w:color w:val="FF0000"/>
          <w:sz w:val="30"/>
          <w:szCs w:val="30"/>
        </w:rPr>
        <w:sectPr>
          <w:pgSz w:w="11906" w:h="16838"/>
          <w:pgMar w:top="1701" w:right="1531" w:bottom="1701" w:left="1531" w:header="851" w:footer="851" w:gutter="0"/>
          <w:cols w:space="720" w:num="1"/>
          <w:docGrid w:linePitch="312" w:charSpace="0"/>
        </w:sectPr>
      </w:pPr>
    </w:p>
    <w:tbl>
      <w:tblPr>
        <w:tblStyle w:val="40"/>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14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4" w:hRule="atLeast"/>
          <w:jc w:val="center"/>
        </w:trPr>
        <w:tc>
          <w:tcPr>
            <w:tcW w:w="128" w:type="pct"/>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color w:val="FF0000"/>
                <w:szCs w:val="21"/>
              </w:rPr>
            </w:pPr>
            <w:r>
              <w:rPr>
                <w:bCs/>
                <w:szCs w:val="21"/>
              </w:rPr>
              <w:t>措施</w:t>
            </w:r>
          </w:p>
        </w:tc>
        <w:tc>
          <w:tcPr>
            <w:tcW w:w="4871" w:type="pct"/>
            <w:vAlign w:val="center"/>
          </w:tcPr>
          <w:p>
            <w:pPr>
              <w:pStyle w:val="4"/>
              <w:spacing w:before="120" w:beforeLines="50"/>
              <w:ind w:firstLine="482" w:firstLineChars="200"/>
              <w:rPr>
                <w:rFonts w:ascii="Times New Roman"/>
              </w:rPr>
            </w:pPr>
            <w:r>
              <w:rPr>
                <w:rFonts w:ascii="Times New Roman"/>
              </w:rPr>
              <w:t>1、废气</w:t>
            </w:r>
          </w:p>
          <w:p>
            <w:pPr>
              <w:pStyle w:val="35"/>
              <w:spacing w:before="0" w:beforeAutospacing="0" w:after="0" w:afterAutospacing="0" w:line="360" w:lineRule="auto"/>
              <w:ind w:firstLine="496" w:firstLineChars="200"/>
              <w:jc w:val="both"/>
              <w:textAlignment w:val="baseline"/>
              <w:rPr>
                <w:rFonts w:ascii="Times New Roman" w:hAnsi="Times New Roman"/>
                <w:bCs/>
                <w:snapToGrid w:val="0"/>
                <w:spacing w:val="4"/>
                <w:kern w:val="18"/>
                <w:szCs w:val="24"/>
              </w:rPr>
            </w:pPr>
            <w:r>
              <w:rPr>
                <w:rFonts w:ascii="Times New Roman" w:hAnsi="Times New Roman"/>
                <w:bCs/>
                <w:snapToGrid w:val="0"/>
                <w:spacing w:val="4"/>
                <w:kern w:val="18"/>
                <w:szCs w:val="24"/>
              </w:rPr>
              <w:t>（1）废气污染源情况</w:t>
            </w:r>
          </w:p>
          <w:p>
            <w:pPr>
              <w:autoSpaceDE w:val="0"/>
              <w:autoSpaceDN w:val="0"/>
              <w:jc w:val="center"/>
              <w:rPr>
                <w:b/>
                <w:bCs/>
                <w:szCs w:val="21"/>
                <w:lang w:val="zh-CN"/>
              </w:rPr>
            </w:pPr>
            <w:r>
              <w:rPr>
                <w:b/>
                <w:bCs/>
                <w:szCs w:val="21"/>
                <w:lang w:val="zh-CN"/>
              </w:rPr>
              <w:t>表</w:t>
            </w:r>
            <w:r>
              <w:rPr>
                <w:b/>
                <w:bCs/>
                <w:szCs w:val="21"/>
              </w:rPr>
              <w:t>4-1</w:t>
            </w:r>
            <w:r>
              <w:rPr>
                <w:b/>
                <w:bCs/>
                <w:szCs w:val="21"/>
                <w:lang w:val="zh-CN"/>
              </w:rPr>
              <w:t xml:space="preserve">  废气污染源产生、正常排放汇总表</w:t>
            </w:r>
          </w:p>
          <w:tbl>
            <w:tblPr>
              <w:tblStyle w:val="40"/>
              <w:tblW w:w="4996"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576"/>
              <w:gridCol w:w="397"/>
              <w:gridCol w:w="568"/>
              <w:gridCol w:w="714"/>
              <w:gridCol w:w="775"/>
              <w:gridCol w:w="780"/>
              <w:gridCol w:w="576"/>
              <w:gridCol w:w="916"/>
              <w:gridCol w:w="397"/>
              <w:gridCol w:w="397"/>
              <w:gridCol w:w="585"/>
              <w:gridCol w:w="714"/>
              <w:gridCol w:w="798"/>
              <w:gridCol w:w="820"/>
              <w:gridCol w:w="746"/>
              <w:gridCol w:w="397"/>
              <w:gridCol w:w="441"/>
              <w:gridCol w:w="412"/>
              <w:gridCol w:w="455"/>
              <w:gridCol w:w="1622"/>
              <w:gridCol w:w="715"/>
              <w:gridCol w:w="558"/>
            </w:tblGrid>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PrEx>
              <w:trPr>
                <w:cantSplit/>
                <w:jc w:val="center"/>
              </w:trPr>
              <w:tc>
                <w:tcPr>
                  <w:tcW w:w="201" w:type="pct"/>
                  <w:vMerge w:val="restart"/>
                  <w:vAlign w:val="center"/>
                </w:tcPr>
                <w:p>
                  <w:pPr>
                    <w:adjustRightInd w:val="0"/>
                    <w:snapToGrid w:val="0"/>
                    <w:jc w:val="center"/>
                    <w:rPr>
                      <w:b/>
                      <w:bCs/>
                      <w:sz w:val="18"/>
                      <w:szCs w:val="18"/>
                    </w:rPr>
                  </w:pPr>
                  <w:r>
                    <w:rPr>
                      <w:b/>
                      <w:bCs/>
                      <w:sz w:val="18"/>
                      <w:szCs w:val="18"/>
                    </w:rPr>
                    <w:t>产排污环节</w:t>
                  </w:r>
                </w:p>
              </w:tc>
              <w:tc>
                <w:tcPr>
                  <w:tcW w:w="138" w:type="pct"/>
                  <w:vMerge w:val="restart"/>
                  <w:vAlign w:val="center"/>
                </w:tcPr>
                <w:p>
                  <w:pPr>
                    <w:adjustRightInd w:val="0"/>
                    <w:snapToGrid w:val="0"/>
                    <w:jc w:val="center"/>
                    <w:rPr>
                      <w:b/>
                      <w:bCs/>
                      <w:sz w:val="18"/>
                      <w:szCs w:val="18"/>
                    </w:rPr>
                  </w:pPr>
                  <w:r>
                    <w:rPr>
                      <w:b/>
                      <w:bCs/>
                      <w:sz w:val="18"/>
                      <w:szCs w:val="18"/>
                    </w:rPr>
                    <w:t>排放形式</w:t>
                  </w:r>
                </w:p>
              </w:tc>
              <w:tc>
                <w:tcPr>
                  <w:tcW w:w="202" w:type="pct"/>
                  <w:vMerge w:val="restart"/>
                  <w:vAlign w:val="center"/>
                </w:tcPr>
                <w:p>
                  <w:pPr>
                    <w:adjustRightInd w:val="0"/>
                    <w:snapToGrid w:val="0"/>
                    <w:jc w:val="center"/>
                    <w:rPr>
                      <w:b/>
                      <w:bCs/>
                      <w:sz w:val="18"/>
                      <w:szCs w:val="18"/>
                    </w:rPr>
                  </w:pPr>
                  <w:r>
                    <w:rPr>
                      <w:b/>
                      <w:bCs/>
                      <w:sz w:val="18"/>
                      <w:szCs w:val="18"/>
                    </w:rPr>
                    <w:t>污染物种类</w:t>
                  </w:r>
                </w:p>
              </w:tc>
              <w:tc>
                <w:tcPr>
                  <w:tcW w:w="797" w:type="pct"/>
                  <w:gridSpan w:val="3"/>
                  <w:vAlign w:val="center"/>
                </w:tcPr>
                <w:p>
                  <w:pPr>
                    <w:adjustRightInd w:val="0"/>
                    <w:snapToGrid w:val="0"/>
                    <w:jc w:val="center"/>
                    <w:rPr>
                      <w:b/>
                      <w:bCs/>
                      <w:sz w:val="18"/>
                      <w:szCs w:val="18"/>
                    </w:rPr>
                  </w:pPr>
                  <w:r>
                    <w:rPr>
                      <w:b/>
                      <w:bCs/>
                      <w:sz w:val="18"/>
                      <w:szCs w:val="18"/>
                    </w:rPr>
                    <w:t>污染物产生量和浓度</w:t>
                  </w:r>
                </w:p>
              </w:tc>
              <w:tc>
                <w:tcPr>
                  <w:tcW w:w="1006" w:type="pct"/>
                  <w:gridSpan w:val="5"/>
                  <w:vAlign w:val="center"/>
                </w:tcPr>
                <w:p>
                  <w:pPr>
                    <w:adjustRightInd w:val="0"/>
                    <w:snapToGrid w:val="0"/>
                    <w:jc w:val="center"/>
                    <w:rPr>
                      <w:b/>
                      <w:bCs/>
                      <w:sz w:val="18"/>
                      <w:szCs w:val="18"/>
                    </w:rPr>
                  </w:pPr>
                  <w:r>
                    <w:rPr>
                      <w:b/>
                      <w:bCs/>
                      <w:sz w:val="18"/>
                      <w:szCs w:val="18"/>
                    </w:rPr>
                    <w:t>污染治理设施</w:t>
                  </w:r>
                </w:p>
              </w:tc>
              <w:tc>
                <w:tcPr>
                  <w:tcW w:w="819" w:type="pct"/>
                  <w:gridSpan w:val="3"/>
                  <w:vAlign w:val="center"/>
                </w:tcPr>
                <w:p>
                  <w:pPr>
                    <w:adjustRightInd w:val="0"/>
                    <w:snapToGrid w:val="0"/>
                    <w:jc w:val="center"/>
                    <w:rPr>
                      <w:b/>
                      <w:bCs/>
                      <w:sz w:val="18"/>
                      <w:szCs w:val="18"/>
                    </w:rPr>
                  </w:pPr>
                  <w:r>
                    <w:rPr>
                      <w:b/>
                      <w:bCs/>
                      <w:sz w:val="18"/>
                      <w:szCs w:val="18"/>
                    </w:rPr>
                    <w:t>污染物排放量和浓度</w:t>
                  </w:r>
                </w:p>
              </w:tc>
              <w:tc>
                <w:tcPr>
                  <w:tcW w:w="1395" w:type="pct"/>
                  <w:gridSpan w:val="6"/>
                  <w:vAlign w:val="center"/>
                </w:tcPr>
                <w:p>
                  <w:pPr>
                    <w:adjustRightInd w:val="0"/>
                    <w:snapToGrid w:val="0"/>
                    <w:jc w:val="center"/>
                    <w:rPr>
                      <w:b/>
                      <w:bCs/>
                      <w:sz w:val="18"/>
                      <w:szCs w:val="18"/>
                    </w:rPr>
                  </w:pPr>
                  <w:r>
                    <w:rPr>
                      <w:b/>
                      <w:bCs/>
                      <w:sz w:val="18"/>
                      <w:szCs w:val="18"/>
                    </w:rPr>
                    <w:t>排放口基本情况</w:t>
                  </w:r>
                </w:p>
              </w:tc>
              <w:tc>
                <w:tcPr>
                  <w:tcW w:w="443" w:type="pct"/>
                  <w:gridSpan w:val="2"/>
                  <w:vAlign w:val="center"/>
                </w:tcPr>
                <w:p>
                  <w:pPr>
                    <w:adjustRightInd w:val="0"/>
                    <w:snapToGrid w:val="0"/>
                    <w:jc w:val="center"/>
                    <w:rPr>
                      <w:b/>
                      <w:bCs/>
                      <w:sz w:val="18"/>
                      <w:szCs w:val="18"/>
                    </w:rPr>
                  </w:pPr>
                  <w:r>
                    <w:rPr>
                      <w:b/>
                      <w:bCs/>
                      <w:sz w:val="18"/>
                      <w:szCs w:val="18"/>
                    </w:rPr>
                    <w:t>排放标准</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jc w:val="center"/>
              </w:trPr>
              <w:tc>
                <w:tcPr>
                  <w:tcW w:w="201" w:type="pct"/>
                  <w:vMerge w:val="continue"/>
                  <w:vAlign w:val="center"/>
                </w:tcPr>
                <w:p>
                  <w:pPr>
                    <w:adjustRightInd w:val="0"/>
                    <w:snapToGrid w:val="0"/>
                    <w:jc w:val="center"/>
                    <w:rPr>
                      <w:b/>
                      <w:bCs/>
                      <w:sz w:val="18"/>
                      <w:szCs w:val="18"/>
                    </w:rPr>
                  </w:pPr>
                </w:p>
              </w:tc>
              <w:tc>
                <w:tcPr>
                  <w:tcW w:w="138" w:type="pct"/>
                  <w:vMerge w:val="continue"/>
                  <w:vAlign w:val="center"/>
                </w:tcPr>
                <w:p>
                  <w:pPr>
                    <w:adjustRightInd w:val="0"/>
                    <w:snapToGrid w:val="0"/>
                    <w:jc w:val="center"/>
                    <w:rPr>
                      <w:b/>
                      <w:bCs/>
                      <w:sz w:val="18"/>
                      <w:szCs w:val="18"/>
                    </w:rPr>
                  </w:pPr>
                </w:p>
              </w:tc>
              <w:tc>
                <w:tcPr>
                  <w:tcW w:w="202" w:type="pct"/>
                  <w:vMerge w:val="continue"/>
                  <w:vAlign w:val="center"/>
                </w:tcPr>
                <w:p>
                  <w:pPr>
                    <w:adjustRightInd w:val="0"/>
                    <w:snapToGrid w:val="0"/>
                    <w:jc w:val="center"/>
                    <w:rPr>
                      <w:b/>
                      <w:bCs/>
                      <w:sz w:val="18"/>
                      <w:szCs w:val="18"/>
                    </w:rPr>
                  </w:pPr>
                </w:p>
              </w:tc>
              <w:tc>
                <w:tcPr>
                  <w:tcW w:w="249" w:type="pct"/>
                  <w:vMerge w:val="restart"/>
                  <w:vAlign w:val="center"/>
                </w:tcPr>
                <w:p>
                  <w:pPr>
                    <w:adjustRightInd w:val="0"/>
                    <w:snapToGrid w:val="0"/>
                    <w:jc w:val="center"/>
                    <w:rPr>
                      <w:b/>
                      <w:bCs/>
                      <w:sz w:val="18"/>
                      <w:szCs w:val="18"/>
                    </w:rPr>
                  </w:pPr>
                  <w:r>
                    <w:rPr>
                      <w:b/>
                      <w:bCs/>
                      <w:sz w:val="18"/>
                      <w:szCs w:val="18"/>
                    </w:rPr>
                    <w:t>产生浓度</w:t>
                  </w:r>
                </w:p>
                <w:p>
                  <w:pPr>
                    <w:adjustRightInd w:val="0"/>
                    <w:snapToGrid w:val="0"/>
                    <w:jc w:val="center"/>
                    <w:rPr>
                      <w:b/>
                      <w:bCs/>
                      <w:sz w:val="18"/>
                      <w:szCs w:val="18"/>
                    </w:rPr>
                  </w:pPr>
                  <w:r>
                    <w:rPr>
                      <w:b/>
                      <w:bCs/>
                      <w:sz w:val="18"/>
                      <w:szCs w:val="18"/>
                    </w:rPr>
                    <w:t>mg/m</w:t>
                  </w:r>
                  <w:r>
                    <w:rPr>
                      <w:b/>
                      <w:bCs/>
                      <w:sz w:val="18"/>
                      <w:szCs w:val="18"/>
                      <w:vertAlign w:val="superscript"/>
                    </w:rPr>
                    <w:t>3</w:t>
                  </w:r>
                </w:p>
              </w:tc>
              <w:tc>
                <w:tcPr>
                  <w:tcW w:w="547" w:type="pct"/>
                  <w:gridSpan w:val="2"/>
                  <w:vAlign w:val="center"/>
                </w:tcPr>
                <w:p>
                  <w:pPr>
                    <w:adjustRightInd w:val="0"/>
                    <w:snapToGrid w:val="0"/>
                    <w:jc w:val="center"/>
                    <w:rPr>
                      <w:b/>
                      <w:bCs/>
                      <w:sz w:val="18"/>
                      <w:szCs w:val="18"/>
                    </w:rPr>
                  </w:pPr>
                  <w:r>
                    <w:rPr>
                      <w:b/>
                      <w:bCs/>
                      <w:sz w:val="18"/>
                      <w:szCs w:val="18"/>
                    </w:rPr>
                    <w:t>产生量</w:t>
                  </w:r>
                </w:p>
              </w:tc>
              <w:tc>
                <w:tcPr>
                  <w:tcW w:w="201" w:type="pct"/>
                  <w:vAlign w:val="center"/>
                </w:tcPr>
                <w:p>
                  <w:pPr>
                    <w:adjustRightInd w:val="0"/>
                    <w:snapToGrid w:val="0"/>
                    <w:jc w:val="center"/>
                    <w:rPr>
                      <w:b/>
                      <w:bCs/>
                      <w:sz w:val="18"/>
                      <w:szCs w:val="18"/>
                    </w:rPr>
                  </w:pPr>
                  <w:r>
                    <w:rPr>
                      <w:b/>
                      <w:bCs/>
                      <w:sz w:val="18"/>
                      <w:szCs w:val="18"/>
                    </w:rPr>
                    <w:t>处理风量</w:t>
                  </w:r>
                </w:p>
              </w:tc>
              <w:tc>
                <w:tcPr>
                  <w:tcW w:w="323" w:type="pct"/>
                  <w:vAlign w:val="center"/>
                </w:tcPr>
                <w:p>
                  <w:pPr>
                    <w:adjustRightInd w:val="0"/>
                    <w:snapToGrid w:val="0"/>
                    <w:jc w:val="center"/>
                    <w:rPr>
                      <w:b/>
                      <w:bCs/>
                      <w:sz w:val="18"/>
                      <w:szCs w:val="18"/>
                    </w:rPr>
                  </w:pPr>
                  <w:r>
                    <w:rPr>
                      <w:b/>
                      <w:bCs/>
                      <w:sz w:val="18"/>
                      <w:szCs w:val="18"/>
                    </w:rPr>
                    <w:t>收集效率</w:t>
                  </w:r>
                </w:p>
              </w:tc>
              <w:tc>
                <w:tcPr>
                  <w:tcW w:w="138" w:type="pct"/>
                  <w:vAlign w:val="center"/>
                </w:tcPr>
                <w:p>
                  <w:pPr>
                    <w:adjustRightInd w:val="0"/>
                    <w:snapToGrid w:val="0"/>
                    <w:jc w:val="center"/>
                    <w:rPr>
                      <w:b/>
                      <w:bCs/>
                      <w:sz w:val="18"/>
                      <w:szCs w:val="18"/>
                    </w:rPr>
                  </w:pPr>
                  <w:r>
                    <w:rPr>
                      <w:b/>
                      <w:bCs/>
                      <w:sz w:val="18"/>
                      <w:szCs w:val="18"/>
                    </w:rPr>
                    <w:t>去除效率</w:t>
                  </w:r>
                </w:p>
              </w:tc>
              <w:tc>
                <w:tcPr>
                  <w:tcW w:w="138" w:type="pct"/>
                  <w:vMerge w:val="restart"/>
                  <w:vAlign w:val="center"/>
                </w:tcPr>
                <w:p>
                  <w:pPr>
                    <w:adjustRightInd w:val="0"/>
                    <w:snapToGrid w:val="0"/>
                    <w:jc w:val="center"/>
                    <w:rPr>
                      <w:b/>
                      <w:bCs/>
                      <w:sz w:val="18"/>
                      <w:szCs w:val="18"/>
                    </w:rPr>
                  </w:pPr>
                  <w:r>
                    <w:rPr>
                      <w:b/>
                      <w:bCs/>
                      <w:sz w:val="18"/>
                      <w:szCs w:val="18"/>
                    </w:rPr>
                    <w:t>是否可行技术</w:t>
                  </w:r>
                </w:p>
              </w:tc>
              <w:tc>
                <w:tcPr>
                  <w:tcW w:w="206" w:type="pct"/>
                  <w:vMerge w:val="restart"/>
                  <w:vAlign w:val="center"/>
                </w:tcPr>
                <w:p>
                  <w:pPr>
                    <w:adjustRightInd w:val="0"/>
                    <w:snapToGrid w:val="0"/>
                    <w:jc w:val="center"/>
                    <w:rPr>
                      <w:b/>
                      <w:bCs/>
                      <w:sz w:val="18"/>
                      <w:szCs w:val="18"/>
                    </w:rPr>
                  </w:pPr>
                  <w:r>
                    <w:rPr>
                      <w:b/>
                      <w:bCs/>
                      <w:sz w:val="18"/>
                      <w:szCs w:val="18"/>
                    </w:rPr>
                    <w:t>处理工艺</w:t>
                  </w:r>
                </w:p>
              </w:tc>
              <w:tc>
                <w:tcPr>
                  <w:tcW w:w="249" w:type="pct"/>
                  <w:vMerge w:val="restart"/>
                  <w:vAlign w:val="center"/>
                </w:tcPr>
                <w:p>
                  <w:pPr>
                    <w:adjustRightInd w:val="0"/>
                    <w:snapToGrid w:val="0"/>
                    <w:jc w:val="center"/>
                    <w:rPr>
                      <w:b/>
                      <w:bCs/>
                      <w:sz w:val="18"/>
                      <w:szCs w:val="18"/>
                    </w:rPr>
                  </w:pPr>
                  <w:r>
                    <w:rPr>
                      <w:b/>
                      <w:bCs/>
                      <w:sz w:val="18"/>
                      <w:szCs w:val="18"/>
                    </w:rPr>
                    <w:t>排放浓度</w:t>
                  </w:r>
                </w:p>
                <w:p>
                  <w:pPr>
                    <w:adjustRightInd w:val="0"/>
                    <w:snapToGrid w:val="0"/>
                    <w:jc w:val="center"/>
                    <w:rPr>
                      <w:b/>
                      <w:bCs/>
                      <w:sz w:val="18"/>
                      <w:szCs w:val="18"/>
                    </w:rPr>
                  </w:pPr>
                  <w:r>
                    <w:rPr>
                      <w:b/>
                      <w:bCs/>
                      <w:sz w:val="18"/>
                      <w:szCs w:val="18"/>
                    </w:rPr>
                    <w:t>mg/m</w:t>
                  </w:r>
                  <w:r>
                    <w:rPr>
                      <w:b/>
                      <w:bCs/>
                      <w:sz w:val="18"/>
                      <w:szCs w:val="18"/>
                      <w:vertAlign w:val="superscript"/>
                    </w:rPr>
                    <w:t>3</w:t>
                  </w:r>
                </w:p>
              </w:tc>
              <w:tc>
                <w:tcPr>
                  <w:tcW w:w="569" w:type="pct"/>
                  <w:gridSpan w:val="2"/>
                  <w:vAlign w:val="center"/>
                </w:tcPr>
                <w:p>
                  <w:pPr>
                    <w:adjustRightInd w:val="0"/>
                    <w:snapToGrid w:val="0"/>
                    <w:jc w:val="center"/>
                    <w:rPr>
                      <w:b/>
                      <w:bCs/>
                      <w:sz w:val="18"/>
                      <w:szCs w:val="18"/>
                    </w:rPr>
                  </w:pPr>
                  <w:r>
                    <w:rPr>
                      <w:b/>
                      <w:bCs/>
                      <w:sz w:val="18"/>
                      <w:szCs w:val="18"/>
                    </w:rPr>
                    <w:t>排放量</w:t>
                  </w:r>
                </w:p>
              </w:tc>
              <w:tc>
                <w:tcPr>
                  <w:tcW w:w="260" w:type="pct"/>
                  <w:vAlign w:val="center"/>
                </w:tcPr>
                <w:p>
                  <w:pPr>
                    <w:adjustRightInd w:val="0"/>
                    <w:snapToGrid w:val="0"/>
                    <w:jc w:val="center"/>
                    <w:rPr>
                      <w:b/>
                      <w:bCs/>
                      <w:spacing w:val="-10"/>
                      <w:sz w:val="18"/>
                      <w:szCs w:val="18"/>
                    </w:rPr>
                  </w:pPr>
                  <w:r>
                    <w:rPr>
                      <w:b/>
                      <w:bCs/>
                      <w:spacing w:val="-10"/>
                      <w:sz w:val="18"/>
                      <w:szCs w:val="18"/>
                    </w:rPr>
                    <w:t>编号及名称</w:t>
                  </w:r>
                </w:p>
              </w:tc>
              <w:tc>
                <w:tcPr>
                  <w:tcW w:w="138" w:type="pct"/>
                  <w:vAlign w:val="center"/>
                </w:tcPr>
                <w:p>
                  <w:pPr>
                    <w:adjustRightInd w:val="0"/>
                    <w:snapToGrid w:val="0"/>
                    <w:jc w:val="center"/>
                    <w:rPr>
                      <w:b/>
                      <w:bCs/>
                      <w:sz w:val="18"/>
                      <w:szCs w:val="18"/>
                    </w:rPr>
                  </w:pPr>
                  <w:r>
                    <w:rPr>
                      <w:b/>
                      <w:bCs/>
                      <w:sz w:val="18"/>
                      <w:szCs w:val="18"/>
                    </w:rPr>
                    <w:t>高度</w:t>
                  </w:r>
                </w:p>
              </w:tc>
              <w:tc>
                <w:tcPr>
                  <w:tcW w:w="154" w:type="pct"/>
                  <w:vAlign w:val="center"/>
                </w:tcPr>
                <w:p>
                  <w:pPr>
                    <w:adjustRightInd w:val="0"/>
                    <w:snapToGrid w:val="0"/>
                    <w:jc w:val="center"/>
                    <w:rPr>
                      <w:b/>
                      <w:bCs/>
                      <w:sz w:val="18"/>
                      <w:szCs w:val="18"/>
                    </w:rPr>
                  </w:pPr>
                  <w:r>
                    <w:rPr>
                      <w:b/>
                      <w:bCs/>
                      <w:sz w:val="18"/>
                      <w:szCs w:val="18"/>
                    </w:rPr>
                    <w:t>内径</w:t>
                  </w:r>
                </w:p>
              </w:tc>
              <w:tc>
                <w:tcPr>
                  <w:tcW w:w="138" w:type="pct"/>
                  <w:vAlign w:val="center"/>
                </w:tcPr>
                <w:p>
                  <w:pPr>
                    <w:adjustRightInd w:val="0"/>
                    <w:snapToGrid w:val="0"/>
                    <w:jc w:val="center"/>
                    <w:rPr>
                      <w:b/>
                      <w:bCs/>
                      <w:sz w:val="18"/>
                      <w:szCs w:val="18"/>
                    </w:rPr>
                  </w:pPr>
                  <w:r>
                    <w:rPr>
                      <w:b/>
                      <w:bCs/>
                      <w:sz w:val="18"/>
                      <w:szCs w:val="18"/>
                    </w:rPr>
                    <w:t>温度</w:t>
                  </w:r>
                </w:p>
              </w:tc>
              <w:tc>
                <w:tcPr>
                  <w:tcW w:w="164" w:type="pct"/>
                  <w:vAlign w:val="center"/>
                </w:tcPr>
                <w:p>
                  <w:pPr>
                    <w:adjustRightInd w:val="0"/>
                    <w:snapToGrid w:val="0"/>
                    <w:jc w:val="center"/>
                    <w:rPr>
                      <w:b/>
                      <w:bCs/>
                      <w:sz w:val="18"/>
                      <w:szCs w:val="18"/>
                    </w:rPr>
                  </w:pPr>
                  <w:r>
                    <w:rPr>
                      <w:rFonts w:hint="eastAsia"/>
                      <w:b/>
                      <w:bCs/>
                      <w:sz w:val="18"/>
                      <w:szCs w:val="18"/>
                    </w:rPr>
                    <w:t>类型</w:t>
                  </w:r>
                </w:p>
              </w:tc>
              <w:tc>
                <w:tcPr>
                  <w:tcW w:w="541" w:type="pct"/>
                  <w:vAlign w:val="center"/>
                </w:tcPr>
                <w:p>
                  <w:pPr>
                    <w:adjustRightInd w:val="0"/>
                    <w:snapToGrid w:val="0"/>
                    <w:jc w:val="center"/>
                    <w:rPr>
                      <w:b/>
                      <w:bCs/>
                      <w:sz w:val="18"/>
                      <w:szCs w:val="18"/>
                    </w:rPr>
                  </w:pPr>
                  <w:r>
                    <w:rPr>
                      <w:b/>
                      <w:bCs/>
                      <w:sz w:val="18"/>
                      <w:szCs w:val="18"/>
                    </w:rPr>
                    <w:t>地理</w:t>
                  </w:r>
                </w:p>
                <w:p>
                  <w:pPr>
                    <w:adjustRightInd w:val="0"/>
                    <w:snapToGrid w:val="0"/>
                    <w:jc w:val="center"/>
                    <w:rPr>
                      <w:b/>
                      <w:bCs/>
                      <w:sz w:val="18"/>
                      <w:szCs w:val="18"/>
                    </w:rPr>
                  </w:pPr>
                  <w:r>
                    <w:rPr>
                      <w:b/>
                      <w:bCs/>
                      <w:sz w:val="18"/>
                      <w:szCs w:val="18"/>
                    </w:rPr>
                    <w:t>坐标</w:t>
                  </w:r>
                </w:p>
              </w:tc>
              <w:tc>
                <w:tcPr>
                  <w:tcW w:w="249" w:type="pct"/>
                  <w:vMerge w:val="restart"/>
                  <w:vAlign w:val="center"/>
                </w:tcPr>
                <w:p>
                  <w:pPr>
                    <w:adjustRightInd w:val="0"/>
                    <w:snapToGrid w:val="0"/>
                    <w:jc w:val="center"/>
                    <w:rPr>
                      <w:b/>
                      <w:bCs/>
                      <w:sz w:val="18"/>
                      <w:szCs w:val="18"/>
                    </w:rPr>
                  </w:pPr>
                  <w:r>
                    <w:rPr>
                      <w:b/>
                      <w:bCs/>
                      <w:sz w:val="18"/>
                      <w:szCs w:val="18"/>
                    </w:rPr>
                    <w:t>浓度</w:t>
                  </w:r>
                </w:p>
                <w:p>
                  <w:pPr>
                    <w:adjustRightInd w:val="0"/>
                    <w:snapToGrid w:val="0"/>
                    <w:jc w:val="center"/>
                    <w:rPr>
                      <w:b/>
                      <w:bCs/>
                      <w:sz w:val="18"/>
                      <w:szCs w:val="18"/>
                    </w:rPr>
                  </w:pPr>
                  <w:r>
                    <w:rPr>
                      <w:b/>
                      <w:bCs/>
                      <w:sz w:val="18"/>
                      <w:szCs w:val="18"/>
                    </w:rPr>
                    <w:t>mg/m</w:t>
                  </w:r>
                  <w:r>
                    <w:rPr>
                      <w:b/>
                      <w:bCs/>
                      <w:sz w:val="18"/>
                      <w:szCs w:val="18"/>
                      <w:vertAlign w:val="superscript"/>
                    </w:rPr>
                    <w:t>3</w:t>
                  </w:r>
                </w:p>
              </w:tc>
              <w:tc>
                <w:tcPr>
                  <w:tcW w:w="194" w:type="pct"/>
                  <w:vMerge w:val="restart"/>
                  <w:vAlign w:val="center"/>
                </w:tcPr>
                <w:p>
                  <w:pPr>
                    <w:adjustRightInd w:val="0"/>
                    <w:snapToGrid w:val="0"/>
                    <w:jc w:val="center"/>
                    <w:rPr>
                      <w:b/>
                      <w:bCs/>
                      <w:sz w:val="18"/>
                      <w:szCs w:val="18"/>
                    </w:rPr>
                  </w:pPr>
                  <w:r>
                    <w:rPr>
                      <w:b/>
                      <w:bCs/>
                      <w:sz w:val="18"/>
                      <w:szCs w:val="18"/>
                    </w:rPr>
                    <w:t>速率</w:t>
                  </w:r>
                </w:p>
                <w:p>
                  <w:pPr>
                    <w:adjustRightInd w:val="0"/>
                    <w:snapToGrid w:val="0"/>
                    <w:jc w:val="center"/>
                    <w:rPr>
                      <w:b/>
                      <w:bCs/>
                      <w:sz w:val="18"/>
                      <w:szCs w:val="18"/>
                    </w:rPr>
                  </w:pPr>
                  <w:r>
                    <w:rPr>
                      <w:b/>
                      <w:bCs/>
                      <w:sz w:val="18"/>
                      <w:szCs w:val="18"/>
                    </w:rPr>
                    <w:t>kg/h</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jc w:val="center"/>
              </w:trPr>
              <w:tc>
                <w:tcPr>
                  <w:tcW w:w="201" w:type="pct"/>
                  <w:vMerge w:val="continue"/>
                  <w:vAlign w:val="center"/>
                </w:tcPr>
                <w:p>
                  <w:pPr>
                    <w:adjustRightInd w:val="0"/>
                    <w:snapToGrid w:val="0"/>
                    <w:jc w:val="center"/>
                    <w:rPr>
                      <w:bCs/>
                      <w:sz w:val="18"/>
                      <w:szCs w:val="18"/>
                    </w:rPr>
                  </w:pPr>
                </w:p>
              </w:tc>
              <w:tc>
                <w:tcPr>
                  <w:tcW w:w="138" w:type="pct"/>
                  <w:vMerge w:val="continue"/>
                  <w:vAlign w:val="center"/>
                </w:tcPr>
                <w:p>
                  <w:pPr>
                    <w:adjustRightInd w:val="0"/>
                    <w:snapToGrid w:val="0"/>
                    <w:jc w:val="center"/>
                    <w:rPr>
                      <w:bCs/>
                      <w:sz w:val="18"/>
                      <w:szCs w:val="18"/>
                    </w:rPr>
                  </w:pPr>
                </w:p>
              </w:tc>
              <w:tc>
                <w:tcPr>
                  <w:tcW w:w="202" w:type="pct"/>
                  <w:vMerge w:val="continue"/>
                  <w:vAlign w:val="center"/>
                </w:tcPr>
                <w:p>
                  <w:pPr>
                    <w:adjustRightInd w:val="0"/>
                    <w:snapToGrid w:val="0"/>
                    <w:jc w:val="center"/>
                    <w:rPr>
                      <w:bCs/>
                      <w:sz w:val="18"/>
                      <w:szCs w:val="18"/>
                    </w:rPr>
                  </w:pPr>
                </w:p>
              </w:tc>
              <w:tc>
                <w:tcPr>
                  <w:tcW w:w="249" w:type="pct"/>
                  <w:vMerge w:val="continue"/>
                  <w:vAlign w:val="center"/>
                </w:tcPr>
                <w:p>
                  <w:pPr>
                    <w:adjustRightInd w:val="0"/>
                    <w:snapToGrid w:val="0"/>
                    <w:jc w:val="center"/>
                    <w:rPr>
                      <w:bCs/>
                      <w:sz w:val="18"/>
                      <w:szCs w:val="18"/>
                    </w:rPr>
                  </w:pPr>
                </w:p>
              </w:tc>
              <w:tc>
                <w:tcPr>
                  <w:tcW w:w="274" w:type="pct"/>
                  <w:vAlign w:val="center"/>
                </w:tcPr>
                <w:p>
                  <w:pPr>
                    <w:adjustRightInd w:val="0"/>
                    <w:snapToGrid w:val="0"/>
                    <w:jc w:val="center"/>
                    <w:rPr>
                      <w:b/>
                      <w:bCs/>
                      <w:sz w:val="18"/>
                      <w:szCs w:val="18"/>
                    </w:rPr>
                  </w:pPr>
                  <w:r>
                    <w:rPr>
                      <w:b/>
                      <w:bCs/>
                      <w:sz w:val="18"/>
                      <w:szCs w:val="18"/>
                    </w:rPr>
                    <w:t>kg/h</w:t>
                  </w:r>
                </w:p>
              </w:tc>
              <w:tc>
                <w:tcPr>
                  <w:tcW w:w="274" w:type="pct"/>
                  <w:vAlign w:val="center"/>
                </w:tcPr>
                <w:p>
                  <w:pPr>
                    <w:adjustRightInd w:val="0"/>
                    <w:snapToGrid w:val="0"/>
                    <w:jc w:val="center"/>
                    <w:rPr>
                      <w:b/>
                      <w:bCs/>
                      <w:sz w:val="18"/>
                      <w:szCs w:val="18"/>
                    </w:rPr>
                  </w:pPr>
                  <w:r>
                    <w:rPr>
                      <w:b/>
                      <w:bCs/>
                      <w:sz w:val="18"/>
                      <w:szCs w:val="18"/>
                    </w:rPr>
                    <w:t>t/a</w:t>
                  </w:r>
                </w:p>
              </w:tc>
              <w:tc>
                <w:tcPr>
                  <w:tcW w:w="201" w:type="pct"/>
                  <w:vAlign w:val="center"/>
                </w:tcPr>
                <w:p>
                  <w:pPr>
                    <w:adjustRightInd w:val="0"/>
                    <w:snapToGrid w:val="0"/>
                    <w:jc w:val="center"/>
                    <w:rPr>
                      <w:b/>
                      <w:bCs/>
                      <w:sz w:val="18"/>
                      <w:szCs w:val="18"/>
                    </w:rPr>
                  </w:pPr>
                  <w:r>
                    <w:rPr>
                      <w:b/>
                      <w:bCs/>
                      <w:sz w:val="18"/>
                      <w:szCs w:val="18"/>
                    </w:rPr>
                    <w:t>m</w:t>
                  </w:r>
                  <w:r>
                    <w:rPr>
                      <w:b/>
                      <w:bCs/>
                      <w:sz w:val="18"/>
                      <w:szCs w:val="18"/>
                      <w:vertAlign w:val="superscript"/>
                    </w:rPr>
                    <w:t>3</w:t>
                  </w:r>
                  <w:r>
                    <w:rPr>
                      <w:b/>
                      <w:bCs/>
                      <w:sz w:val="18"/>
                      <w:szCs w:val="18"/>
                    </w:rPr>
                    <w:t>/h</w:t>
                  </w:r>
                </w:p>
              </w:tc>
              <w:tc>
                <w:tcPr>
                  <w:tcW w:w="323" w:type="pct"/>
                  <w:vAlign w:val="center"/>
                </w:tcPr>
                <w:p>
                  <w:pPr>
                    <w:adjustRightInd w:val="0"/>
                    <w:snapToGrid w:val="0"/>
                    <w:jc w:val="center"/>
                    <w:rPr>
                      <w:b/>
                      <w:bCs/>
                      <w:sz w:val="18"/>
                      <w:szCs w:val="18"/>
                    </w:rPr>
                  </w:pPr>
                  <w:r>
                    <w:rPr>
                      <w:b/>
                      <w:bCs/>
                      <w:sz w:val="18"/>
                      <w:szCs w:val="18"/>
                    </w:rPr>
                    <w:t>%</w:t>
                  </w:r>
                </w:p>
              </w:tc>
              <w:tc>
                <w:tcPr>
                  <w:tcW w:w="138" w:type="pct"/>
                  <w:vAlign w:val="center"/>
                </w:tcPr>
                <w:p>
                  <w:pPr>
                    <w:adjustRightInd w:val="0"/>
                    <w:snapToGrid w:val="0"/>
                    <w:jc w:val="center"/>
                    <w:rPr>
                      <w:b/>
                      <w:bCs/>
                      <w:sz w:val="18"/>
                      <w:szCs w:val="18"/>
                    </w:rPr>
                  </w:pPr>
                  <w:r>
                    <w:rPr>
                      <w:b/>
                      <w:bCs/>
                      <w:sz w:val="18"/>
                      <w:szCs w:val="18"/>
                    </w:rPr>
                    <w:t>%</w:t>
                  </w:r>
                </w:p>
              </w:tc>
              <w:tc>
                <w:tcPr>
                  <w:tcW w:w="138" w:type="pct"/>
                  <w:vMerge w:val="continue"/>
                  <w:vAlign w:val="center"/>
                </w:tcPr>
                <w:p>
                  <w:pPr>
                    <w:adjustRightInd w:val="0"/>
                    <w:snapToGrid w:val="0"/>
                    <w:jc w:val="center"/>
                    <w:rPr>
                      <w:bCs/>
                      <w:sz w:val="18"/>
                      <w:szCs w:val="18"/>
                    </w:rPr>
                  </w:pPr>
                </w:p>
              </w:tc>
              <w:tc>
                <w:tcPr>
                  <w:tcW w:w="206" w:type="pct"/>
                  <w:vMerge w:val="continue"/>
                  <w:vAlign w:val="center"/>
                </w:tcPr>
                <w:p>
                  <w:pPr>
                    <w:adjustRightInd w:val="0"/>
                    <w:snapToGrid w:val="0"/>
                    <w:jc w:val="center"/>
                    <w:rPr>
                      <w:bCs/>
                      <w:sz w:val="18"/>
                      <w:szCs w:val="18"/>
                    </w:rPr>
                  </w:pPr>
                </w:p>
              </w:tc>
              <w:tc>
                <w:tcPr>
                  <w:tcW w:w="249" w:type="pct"/>
                  <w:vMerge w:val="continue"/>
                  <w:vAlign w:val="center"/>
                </w:tcPr>
                <w:p>
                  <w:pPr>
                    <w:adjustRightInd w:val="0"/>
                    <w:snapToGrid w:val="0"/>
                    <w:jc w:val="center"/>
                    <w:rPr>
                      <w:bCs/>
                      <w:sz w:val="18"/>
                      <w:szCs w:val="18"/>
                    </w:rPr>
                  </w:pPr>
                </w:p>
              </w:tc>
              <w:tc>
                <w:tcPr>
                  <w:tcW w:w="282" w:type="pct"/>
                  <w:vAlign w:val="center"/>
                </w:tcPr>
                <w:p>
                  <w:pPr>
                    <w:adjustRightInd w:val="0"/>
                    <w:snapToGrid w:val="0"/>
                    <w:jc w:val="center"/>
                    <w:rPr>
                      <w:b/>
                      <w:bCs/>
                      <w:sz w:val="18"/>
                      <w:szCs w:val="18"/>
                    </w:rPr>
                  </w:pPr>
                  <w:r>
                    <w:rPr>
                      <w:b/>
                      <w:bCs/>
                      <w:sz w:val="18"/>
                      <w:szCs w:val="18"/>
                    </w:rPr>
                    <w:t>kg/h</w:t>
                  </w:r>
                </w:p>
              </w:tc>
              <w:tc>
                <w:tcPr>
                  <w:tcW w:w="288" w:type="pct"/>
                  <w:vAlign w:val="center"/>
                </w:tcPr>
                <w:p>
                  <w:pPr>
                    <w:adjustRightInd w:val="0"/>
                    <w:snapToGrid w:val="0"/>
                    <w:jc w:val="center"/>
                    <w:rPr>
                      <w:b/>
                      <w:bCs/>
                      <w:sz w:val="18"/>
                      <w:szCs w:val="18"/>
                    </w:rPr>
                  </w:pPr>
                  <w:r>
                    <w:rPr>
                      <w:b/>
                      <w:bCs/>
                      <w:sz w:val="18"/>
                      <w:szCs w:val="18"/>
                    </w:rPr>
                    <w:t>t/a</w:t>
                  </w:r>
                </w:p>
              </w:tc>
              <w:tc>
                <w:tcPr>
                  <w:tcW w:w="260" w:type="pct"/>
                  <w:vAlign w:val="center"/>
                </w:tcPr>
                <w:p>
                  <w:pPr>
                    <w:adjustRightInd w:val="0"/>
                    <w:snapToGrid w:val="0"/>
                    <w:jc w:val="center"/>
                    <w:rPr>
                      <w:b/>
                      <w:bCs/>
                      <w:sz w:val="18"/>
                      <w:szCs w:val="18"/>
                    </w:rPr>
                  </w:pPr>
                  <w:r>
                    <w:rPr>
                      <w:b/>
                      <w:bCs/>
                      <w:sz w:val="18"/>
                      <w:szCs w:val="18"/>
                    </w:rPr>
                    <w:t>/</w:t>
                  </w:r>
                </w:p>
              </w:tc>
              <w:tc>
                <w:tcPr>
                  <w:tcW w:w="138" w:type="pct"/>
                  <w:vAlign w:val="center"/>
                </w:tcPr>
                <w:p>
                  <w:pPr>
                    <w:adjustRightInd w:val="0"/>
                    <w:snapToGrid w:val="0"/>
                    <w:jc w:val="center"/>
                    <w:rPr>
                      <w:b/>
                      <w:bCs/>
                      <w:sz w:val="18"/>
                      <w:szCs w:val="18"/>
                    </w:rPr>
                  </w:pPr>
                </w:p>
              </w:tc>
              <w:tc>
                <w:tcPr>
                  <w:tcW w:w="154" w:type="pct"/>
                  <w:vAlign w:val="center"/>
                </w:tcPr>
                <w:p>
                  <w:pPr>
                    <w:adjustRightInd w:val="0"/>
                    <w:snapToGrid w:val="0"/>
                    <w:jc w:val="center"/>
                    <w:rPr>
                      <w:b/>
                      <w:bCs/>
                      <w:sz w:val="18"/>
                      <w:szCs w:val="18"/>
                    </w:rPr>
                  </w:pPr>
                  <w:r>
                    <w:rPr>
                      <w:b/>
                      <w:bCs/>
                      <w:sz w:val="18"/>
                      <w:szCs w:val="18"/>
                    </w:rPr>
                    <w:t>m</w:t>
                  </w:r>
                </w:p>
              </w:tc>
              <w:tc>
                <w:tcPr>
                  <w:tcW w:w="138" w:type="pct"/>
                  <w:vAlign w:val="center"/>
                </w:tcPr>
                <w:p>
                  <w:pPr>
                    <w:adjustRightInd w:val="0"/>
                    <w:snapToGrid w:val="0"/>
                    <w:jc w:val="center"/>
                    <w:rPr>
                      <w:b/>
                      <w:bCs/>
                      <w:sz w:val="18"/>
                      <w:szCs w:val="18"/>
                    </w:rPr>
                  </w:pPr>
                  <w:r>
                    <w:rPr>
                      <w:b/>
                      <w:bCs/>
                      <w:sz w:val="18"/>
                      <w:szCs w:val="18"/>
                    </w:rPr>
                    <w:t>℃</w:t>
                  </w:r>
                </w:p>
              </w:tc>
              <w:tc>
                <w:tcPr>
                  <w:tcW w:w="164" w:type="pct"/>
                  <w:vAlign w:val="center"/>
                </w:tcPr>
                <w:p>
                  <w:pPr>
                    <w:adjustRightInd w:val="0"/>
                    <w:snapToGrid w:val="0"/>
                    <w:jc w:val="center"/>
                    <w:rPr>
                      <w:b/>
                      <w:bCs/>
                      <w:sz w:val="18"/>
                      <w:szCs w:val="18"/>
                    </w:rPr>
                  </w:pPr>
                  <w:r>
                    <w:rPr>
                      <w:b/>
                      <w:bCs/>
                      <w:sz w:val="18"/>
                      <w:szCs w:val="18"/>
                    </w:rPr>
                    <w:t>/</w:t>
                  </w:r>
                </w:p>
              </w:tc>
              <w:tc>
                <w:tcPr>
                  <w:tcW w:w="541" w:type="pct"/>
                  <w:vAlign w:val="center"/>
                </w:tcPr>
                <w:p>
                  <w:pPr>
                    <w:adjustRightInd w:val="0"/>
                    <w:snapToGrid w:val="0"/>
                    <w:jc w:val="center"/>
                    <w:rPr>
                      <w:b/>
                      <w:bCs/>
                      <w:sz w:val="18"/>
                      <w:szCs w:val="18"/>
                    </w:rPr>
                  </w:pPr>
                  <w:r>
                    <w:rPr>
                      <w:b/>
                      <w:bCs/>
                      <w:sz w:val="18"/>
                      <w:szCs w:val="18"/>
                    </w:rPr>
                    <w:t>/</w:t>
                  </w:r>
                </w:p>
              </w:tc>
              <w:tc>
                <w:tcPr>
                  <w:tcW w:w="249" w:type="pct"/>
                  <w:vMerge w:val="continue"/>
                  <w:vAlign w:val="center"/>
                </w:tcPr>
                <w:p>
                  <w:pPr>
                    <w:adjustRightInd w:val="0"/>
                    <w:snapToGrid w:val="0"/>
                    <w:jc w:val="center"/>
                    <w:rPr>
                      <w:bCs/>
                      <w:sz w:val="18"/>
                      <w:szCs w:val="18"/>
                    </w:rPr>
                  </w:pPr>
                </w:p>
              </w:tc>
              <w:tc>
                <w:tcPr>
                  <w:tcW w:w="194" w:type="pct"/>
                  <w:vMerge w:val="continue"/>
                  <w:vAlign w:val="center"/>
                </w:tcPr>
                <w:p>
                  <w:pPr>
                    <w:adjustRightInd w:val="0"/>
                    <w:snapToGrid w:val="0"/>
                    <w:jc w:val="center"/>
                    <w:rPr>
                      <w:bCs/>
                      <w:sz w:val="18"/>
                      <w:szCs w:val="18"/>
                    </w:rPr>
                  </w:pP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jc w:val="center"/>
              </w:trPr>
              <w:tc>
                <w:tcPr>
                  <w:tcW w:w="201" w:type="pct"/>
                  <w:vMerge w:val="restart"/>
                  <w:vAlign w:val="center"/>
                </w:tcPr>
                <w:p>
                  <w:pPr>
                    <w:snapToGrid w:val="0"/>
                    <w:jc w:val="center"/>
                    <w:rPr>
                      <w:bCs/>
                      <w:color w:val="FF0000"/>
                      <w:sz w:val="18"/>
                      <w:szCs w:val="18"/>
                    </w:rPr>
                  </w:pPr>
                  <w:r>
                    <w:rPr>
                      <w:rFonts w:hint="eastAsia"/>
                      <w:bCs/>
                      <w:color w:val="FF0000"/>
                      <w:sz w:val="18"/>
                      <w:szCs w:val="18"/>
                    </w:rPr>
                    <w:t>1#车间（</w:t>
                  </w:r>
                  <w:r>
                    <w:rPr>
                      <w:bCs/>
                      <w:color w:val="FF0000"/>
                      <w:sz w:val="18"/>
                      <w:szCs w:val="18"/>
                    </w:rPr>
                    <w:t>焊接</w:t>
                  </w:r>
                  <w:r>
                    <w:rPr>
                      <w:rFonts w:hint="eastAsia"/>
                      <w:bCs/>
                      <w:color w:val="FF0000"/>
                      <w:sz w:val="18"/>
                      <w:szCs w:val="18"/>
                    </w:rPr>
                    <w:t>、打磨抛光）</w:t>
                  </w:r>
                </w:p>
              </w:tc>
              <w:tc>
                <w:tcPr>
                  <w:tcW w:w="138" w:type="pct"/>
                  <w:vAlign w:val="center"/>
                </w:tcPr>
                <w:p>
                  <w:pPr>
                    <w:adjustRightInd w:val="0"/>
                    <w:snapToGrid w:val="0"/>
                    <w:jc w:val="center"/>
                    <w:rPr>
                      <w:bCs/>
                      <w:color w:val="FF0000"/>
                      <w:sz w:val="18"/>
                      <w:szCs w:val="18"/>
                    </w:rPr>
                  </w:pPr>
                  <w:r>
                    <w:rPr>
                      <w:rFonts w:hint="eastAsia"/>
                      <w:bCs/>
                      <w:color w:val="FF0000"/>
                      <w:sz w:val="18"/>
                      <w:szCs w:val="18"/>
                    </w:rPr>
                    <w:t>有组织</w:t>
                  </w:r>
                </w:p>
              </w:tc>
              <w:tc>
                <w:tcPr>
                  <w:tcW w:w="202" w:type="pct"/>
                  <w:vMerge w:val="restart"/>
                  <w:vAlign w:val="center"/>
                </w:tcPr>
                <w:p>
                  <w:pPr>
                    <w:snapToGrid w:val="0"/>
                    <w:jc w:val="center"/>
                    <w:rPr>
                      <w:bCs/>
                      <w:color w:val="FF0000"/>
                      <w:sz w:val="18"/>
                      <w:szCs w:val="18"/>
                    </w:rPr>
                  </w:pPr>
                  <w:r>
                    <w:rPr>
                      <w:color w:val="FF0000"/>
                      <w:sz w:val="18"/>
                      <w:szCs w:val="18"/>
                    </w:rPr>
                    <w:t>颗粒物</w:t>
                  </w:r>
                </w:p>
              </w:tc>
              <w:tc>
                <w:tcPr>
                  <w:tcW w:w="249" w:type="pct"/>
                  <w:vAlign w:val="center"/>
                </w:tcPr>
                <w:p>
                  <w:pPr>
                    <w:adjustRightInd w:val="0"/>
                    <w:snapToGrid w:val="0"/>
                    <w:jc w:val="center"/>
                    <w:rPr>
                      <w:bCs/>
                      <w:color w:val="FF0000"/>
                      <w:sz w:val="18"/>
                      <w:szCs w:val="18"/>
                    </w:rPr>
                  </w:pPr>
                  <w:r>
                    <w:rPr>
                      <w:rFonts w:hint="eastAsia"/>
                      <w:bCs/>
                      <w:color w:val="FF0000"/>
                      <w:sz w:val="18"/>
                      <w:szCs w:val="18"/>
                    </w:rPr>
                    <w:t>19.38</w:t>
                  </w:r>
                </w:p>
              </w:tc>
              <w:tc>
                <w:tcPr>
                  <w:tcW w:w="274" w:type="pct"/>
                  <w:vAlign w:val="center"/>
                </w:tcPr>
                <w:p>
                  <w:pPr>
                    <w:adjustRightInd w:val="0"/>
                    <w:snapToGrid w:val="0"/>
                    <w:jc w:val="center"/>
                    <w:rPr>
                      <w:bCs/>
                      <w:color w:val="FF0000"/>
                      <w:sz w:val="18"/>
                      <w:szCs w:val="18"/>
                    </w:rPr>
                  </w:pPr>
                  <w:r>
                    <w:rPr>
                      <w:rFonts w:hint="eastAsia"/>
                      <w:bCs/>
                      <w:color w:val="FF0000"/>
                      <w:sz w:val="18"/>
                      <w:szCs w:val="18"/>
                    </w:rPr>
                    <w:t>0.0581</w:t>
                  </w:r>
                </w:p>
              </w:tc>
              <w:tc>
                <w:tcPr>
                  <w:tcW w:w="274" w:type="pct"/>
                  <w:vAlign w:val="center"/>
                </w:tcPr>
                <w:p>
                  <w:pPr>
                    <w:adjustRightInd w:val="0"/>
                    <w:snapToGrid w:val="0"/>
                    <w:jc w:val="center"/>
                    <w:rPr>
                      <w:bCs/>
                      <w:color w:val="FF0000"/>
                      <w:sz w:val="18"/>
                      <w:szCs w:val="18"/>
                    </w:rPr>
                  </w:pPr>
                  <w:r>
                    <w:rPr>
                      <w:rFonts w:hint="eastAsia"/>
                      <w:bCs/>
                      <w:color w:val="FF0000"/>
                      <w:sz w:val="18"/>
                      <w:szCs w:val="18"/>
                    </w:rPr>
                    <w:t>0.1395</w:t>
                  </w:r>
                </w:p>
              </w:tc>
              <w:tc>
                <w:tcPr>
                  <w:tcW w:w="201" w:type="pct"/>
                  <w:vAlign w:val="center"/>
                </w:tcPr>
                <w:p>
                  <w:pPr>
                    <w:adjustRightInd w:val="0"/>
                    <w:snapToGrid w:val="0"/>
                    <w:jc w:val="center"/>
                    <w:rPr>
                      <w:bCs/>
                      <w:color w:val="FF0000"/>
                      <w:sz w:val="18"/>
                      <w:szCs w:val="18"/>
                    </w:rPr>
                  </w:pPr>
                  <w:r>
                    <w:rPr>
                      <w:rFonts w:hint="eastAsia"/>
                      <w:bCs/>
                      <w:color w:val="FF0000"/>
                      <w:sz w:val="18"/>
                      <w:szCs w:val="18"/>
                    </w:rPr>
                    <w:t>3000</w:t>
                  </w:r>
                </w:p>
              </w:tc>
              <w:tc>
                <w:tcPr>
                  <w:tcW w:w="323" w:type="pct"/>
                  <w:vAlign w:val="center"/>
                </w:tcPr>
                <w:p>
                  <w:pPr>
                    <w:adjustRightInd w:val="0"/>
                    <w:snapToGrid w:val="0"/>
                    <w:jc w:val="center"/>
                    <w:rPr>
                      <w:bCs/>
                      <w:color w:val="FF0000"/>
                      <w:sz w:val="18"/>
                      <w:szCs w:val="18"/>
                    </w:rPr>
                  </w:pPr>
                  <w:r>
                    <w:rPr>
                      <w:rFonts w:hint="eastAsia"/>
                      <w:bCs/>
                      <w:color w:val="FF0000"/>
                      <w:sz w:val="18"/>
                      <w:szCs w:val="18"/>
                    </w:rPr>
                    <w:t>90</w:t>
                  </w:r>
                </w:p>
              </w:tc>
              <w:tc>
                <w:tcPr>
                  <w:tcW w:w="138" w:type="pct"/>
                  <w:vAlign w:val="center"/>
                </w:tcPr>
                <w:p>
                  <w:pPr>
                    <w:adjustRightInd w:val="0"/>
                    <w:snapToGrid w:val="0"/>
                    <w:jc w:val="center"/>
                    <w:rPr>
                      <w:bCs/>
                      <w:color w:val="FF0000"/>
                      <w:sz w:val="18"/>
                      <w:szCs w:val="18"/>
                    </w:rPr>
                  </w:pPr>
                  <w:r>
                    <w:rPr>
                      <w:bCs/>
                      <w:color w:val="FF0000"/>
                      <w:sz w:val="18"/>
                      <w:szCs w:val="18"/>
                    </w:rPr>
                    <w:t>99</w:t>
                  </w:r>
                </w:p>
              </w:tc>
              <w:tc>
                <w:tcPr>
                  <w:tcW w:w="138" w:type="pct"/>
                  <w:vAlign w:val="center"/>
                </w:tcPr>
                <w:p>
                  <w:pPr>
                    <w:adjustRightInd w:val="0"/>
                    <w:snapToGrid w:val="0"/>
                    <w:jc w:val="center"/>
                    <w:rPr>
                      <w:bCs/>
                      <w:color w:val="FF0000"/>
                      <w:sz w:val="18"/>
                      <w:szCs w:val="18"/>
                    </w:rPr>
                  </w:pPr>
                  <w:r>
                    <w:rPr>
                      <w:bCs/>
                      <w:color w:val="FF0000"/>
                      <w:sz w:val="18"/>
                      <w:szCs w:val="18"/>
                    </w:rPr>
                    <w:t>是</w:t>
                  </w:r>
                </w:p>
              </w:tc>
              <w:tc>
                <w:tcPr>
                  <w:tcW w:w="206" w:type="pct"/>
                  <w:vAlign w:val="center"/>
                </w:tcPr>
                <w:p>
                  <w:pPr>
                    <w:adjustRightInd w:val="0"/>
                    <w:snapToGrid w:val="0"/>
                    <w:jc w:val="center"/>
                    <w:rPr>
                      <w:bCs/>
                      <w:color w:val="FF0000"/>
                      <w:sz w:val="18"/>
                      <w:szCs w:val="18"/>
                    </w:rPr>
                  </w:pPr>
                  <w:r>
                    <w:rPr>
                      <w:bCs/>
                      <w:color w:val="FF0000"/>
                      <w:sz w:val="18"/>
                      <w:szCs w:val="18"/>
                    </w:rPr>
                    <w:t>焊烟净化器</w:t>
                  </w:r>
                </w:p>
              </w:tc>
              <w:tc>
                <w:tcPr>
                  <w:tcW w:w="249" w:type="pct"/>
                  <w:vAlign w:val="center"/>
                </w:tcPr>
                <w:p>
                  <w:pPr>
                    <w:adjustRightInd w:val="0"/>
                    <w:snapToGrid w:val="0"/>
                    <w:jc w:val="center"/>
                    <w:rPr>
                      <w:bCs/>
                      <w:color w:val="FF0000"/>
                      <w:sz w:val="18"/>
                      <w:szCs w:val="18"/>
                    </w:rPr>
                  </w:pPr>
                  <w:r>
                    <w:rPr>
                      <w:rFonts w:hint="eastAsia"/>
                      <w:bCs/>
                      <w:color w:val="FF0000"/>
                      <w:sz w:val="18"/>
                      <w:szCs w:val="18"/>
                    </w:rPr>
                    <w:t>0.19</w:t>
                  </w:r>
                </w:p>
              </w:tc>
              <w:tc>
                <w:tcPr>
                  <w:tcW w:w="282" w:type="pct"/>
                  <w:vAlign w:val="center"/>
                </w:tcPr>
                <w:p>
                  <w:pPr>
                    <w:adjustRightInd w:val="0"/>
                    <w:snapToGrid w:val="0"/>
                    <w:jc w:val="center"/>
                    <w:rPr>
                      <w:bCs/>
                      <w:color w:val="FF0000"/>
                      <w:sz w:val="18"/>
                      <w:szCs w:val="18"/>
                    </w:rPr>
                  </w:pPr>
                  <w:r>
                    <w:rPr>
                      <w:rFonts w:hint="eastAsia"/>
                      <w:bCs/>
                      <w:color w:val="FF0000"/>
                      <w:sz w:val="18"/>
                      <w:szCs w:val="18"/>
                    </w:rPr>
                    <w:t>0.0006</w:t>
                  </w:r>
                </w:p>
              </w:tc>
              <w:tc>
                <w:tcPr>
                  <w:tcW w:w="288" w:type="pct"/>
                  <w:vAlign w:val="center"/>
                </w:tcPr>
                <w:p>
                  <w:pPr>
                    <w:adjustRightInd w:val="0"/>
                    <w:snapToGrid w:val="0"/>
                    <w:jc w:val="center"/>
                    <w:rPr>
                      <w:bCs/>
                      <w:color w:val="FF0000"/>
                      <w:sz w:val="18"/>
                      <w:szCs w:val="18"/>
                    </w:rPr>
                  </w:pPr>
                  <w:r>
                    <w:rPr>
                      <w:rFonts w:hint="eastAsia"/>
                      <w:bCs/>
                      <w:color w:val="FF0000"/>
                      <w:sz w:val="18"/>
                      <w:szCs w:val="18"/>
                    </w:rPr>
                    <w:t>0.0014</w:t>
                  </w:r>
                </w:p>
              </w:tc>
              <w:tc>
                <w:tcPr>
                  <w:tcW w:w="260" w:type="pct"/>
                  <w:vAlign w:val="center"/>
                </w:tcPr>
                <w:p>
                  <w:pPr>
                    <w:adjustRightInd w:val="0"/>
                    <w:snapToGrid w:val="0"/>
                    <w:jc w:val="center"/>
                    <w:rPr>
                      <w:bCs/>
                      <w:color w:val="FF0000"/>
                      <w:sz w:val="18"/>
                      <w:szCs w:val="18"/>
                    </w:rPr>
                  </w:pPr>
                  <w:r>
                    <w:rPr>
                      <w:rFonts w:hint="eastAsia"/>
                      <w:bCs/>
                      <w:color w:val="FF0000"/>
                      <w:sz w:val="18"/>
                      <w:szCs w:val="18"/>
                    </w:rPr>
                    <w:t>D</w:t>
                  </w:r>
                  <w:r>
                    <w:rPr>
                      <w:bCs/>
                      <w:color w:val="FF0000"/>
                      <w:sz w:val="18"/>
                      <w:szCs w:val="18"/>
                    </w:rPr>
                    <w:t>A001 1#</w:t>
                  </w:r>
                  <w:r>
                    <w:rPr>
                      <w:rFonts w:hint="eastAsia"/>
                      <w:bCs/>
                      <w:color w:val="FF0000"/>
                      <w:sz w:val="18"/>
                      <w:szCs w:val="18"/>
                    </w:rPr>
                    <w:t>车间</w:t>
                  </w:r>
                  <w:r>
                    <w:rPr>
                      <w:bCs/>
                      <w:color w:val="FF0000"/>
                      <w:sz w:val="18"/>
                      <w:szCs w:val="18"/>
                    </w:rPr>
                    <w:t>排气筒</w:t>
                  </w:r>
                </w:p>
              </w:tc>
              <w:tc>
                <w:tcPr>
                  <w:tcW w:w="138" w:type="pct"/>
                  <w:vAlign w:val="center"/>
                </w:tcPr>
                <w:p>
                  <w:pPr>
                    <w:adjustRightInd w:val="0"/>
                    <w:snapToGrid w:val="0"/>
                    <w:jc w:val="center"/>
                    <w:rPr>
                      <w:bCs/>
                      <w:color w:val="FF0000"/>
                      <w:sz w:val="18"/>
                      <w:szCs w:val="18"/>
                    </w:rPr>
                  </w:pPr>
                  <w:r>
                    <w:rPr>
                      <w:rFonts w:hint="eastAsia"/>
                      <w:bCs/>
                      <w:color w:val="FF0000"/>
                      <w:sz w:val="18"/>
                      <w:szCs w:val="18"/>
                    </w:rPr>
                    <w:t>15</w:t>
                  </w:r>
                </w:p>
              </w:tc>
              <w:tc>
                <w:tcPr>
                  <w:tcW w:w="154" w:type="pct"/>
                  <w:vAlign w:val="center"/>
                </w:tcPr>
                <w:p>
                  <w:pPr>
                    <w:adjustRightInd w:val="0"/>
                    <w:snapToGrid w:val="0"/>
                    <w:jc w:val="center"/>
                    <w:rPr>
                      <w:bCs/>
                      <w:color w:val="FF0000"/>
                      <w:sz w:val="18"/>
                      <w:szCs w:val="18"/>
                    </w:rPr>
                  </w:pPr>
                  <w:r>
                    <w:rPr>
                      <w:rFonts w:hint="eastAsia"/>
                      <w:bCs/>
                      <w:color w:val="FF0000"/>
                      <w:sz w:val="18"/>
                      <w:szCs w:val="18"/>
                    </w:rPr>
                    <w:t>0.3</w:t>
                  </w:r>
                </w:p>
              </w:tc>
              <w:tc>
                <w:tcPr>
                  <w:tcW w:w="138" w:type="pct"/>
                  <w:vAlign w:val="center"/>
                </w:tcPr>
                <w:p>
                  <w:pPr>
                    <w:adjustRightInd w:val="0"/>
                    <w:snapToGrid w:val="0"/>
                    <w:jc w:val="center"/>
                    <w:rPr>
                      <w:bCs/>
                      <w:color w:val="FF0000"/>
                      <w:sz w:val="18"/>
                      <w:szCs w:val="18"/>
                    </w:rPr>
                  </w:pPr>
                  <w:r>
                    <w:rPr>
                      <w:rFonts w:hint="eastAsia"/>
                      <w:bCs/>
                      <w:color w:val="FF0000"/>
                      <w:sz w:val="18"/>
                      <w:szCs w:val="18"/>
                    </w:rPr>
                    <w:t>25</w:t>
                  </w:r>
                </w:p>
              </w:tc>
              <w:tc>
                <w:tcPr>
                  <w:tcW w:w="164" w:type="pct"/>
                  <w:vAlign w:val="center"/>
                </w:tcPr>
                <w:p>
                  <w:pPr>
                    <w:adjustRightInd w:val="0"/>
                    <w:snapToGrid w:val="0"/>
                    <w:jc w:val="center"/>
                    <w:rPr>
                      <w:bCs/>
                      <w:color w:val="FF0000"/>
                      <w:sz w:val="18"/>
                      <w:szCs w:val="18"/>
                    </w:rPr>
                  </w:pPr>
                  <w:r>
                    <w:rPr>
                      <w:rFonts w:hint="eastAsia"/>
                      <w:bCs/>
                      <w:color w:val="FF0000"/>
                      <w:sz w:val="18"/>
                      <w:szCs w:val="18"/>
                    </w:rPr>
                    <w:t>一般</w:t>
                  </w:r>
                  <w:r>
                    <w:rPr>
                      <w:bCs/>
                      <w:color w:val="FF0000"/>
                      <w:sz w:val="18"/>
                      <w:szCs w:val="18"/>
                    </w:rPr>
                    <w:t>排放口</w:t>
                  </w:r>
                </w:p>
              </w:tc>
              <w:tc>
                <w:tcPr>
                  <w:tcW w:w="541" w:type="pct"/>
                  <w:vAlign w:val="center"/>
                </w:tcPr>
                <w:p>
                  <w:pPr>
                    <w:adjustRightInd w:val="0"/>
                    <w:snapToGrid w:val="0"/>
                    <w:jc w:val="center"/>
                    <w:rPr>
                      <w:bCs/>
                      <w:color w:val="FF0000"/>
                      <w:sz w:val="18"/>
                      <w:szCs w:val="18"/>
                    </w:rPr>
                  </w:pPr>
                  <w:r>
                    <w:rPr>
                      <w:rFonts w:hint="eastAsia"/>
                      <w:bCs/>
                      <w:color w:val="FF0000"/>
                      <w:sz w:val="18"/>
                      <w:szCs w:val="18"/>
                    </w:rPr>
                    <w:t>东经115°52'3</w:t>
                  </w:r>
                  <w:r>
                    <w:rPr>
                      <w:bCs/>
                      <w:color w:val="FF0000"/>
                      <w:sz w:val="18"/>
                      <w:szCs w:val="18"/>
                    </w:rPr>
                    <w:t>3.388</w:t>
                  </w:r>
                  <w:r>
                    <w:rPr>
                      <w:rFonts w:hint="eastAsia"/>
                      <w:bCs/>
                      <w:color w:val="FF0000"/>
                      <w:sz w:val="18"/>
                      <w:szCs w:val="18"/>
                    </w:rPr>
                    <w:t>"，北纬28°30'4</w:t>
                  </w:r>
                  <w:r>
                    <w:rPr>
                      <w:bCs/>
                      <w:color w:val="FF0000"/>
                      <w:sz w:val="18"/>
                      <w:szCs w:val="18"/>
                    </w:rPr>
                    <w:t>0.988</w:t>
                  </w:r>
                  <w:r>
                    <w:rPr>
                      <w:rFonts w:hint="eastAsia"/>
                      <w:bCs/>
                      <w:color w:val="FF0000"/>
                      <w:sz w:val="18"/>
                      <w:szCs w:val="18"/>
                    </w:rPr>
                    <w:t>"</w:t>
                  </w:r>
                </w:p>
              </w:tc>
              <w:tc>
                <w:tcPr>
                  <w:tcW w:w="249" w:type="pct"/>
                  <w:vAlign w:val="center"/>
                </w:tcPr>
                <w:p>
                  <w:pPr>
                    <w:adjustRightInd w:val="0"/>
                    <w:snapToGrid w:val="0"/>
                    <w:jc w:val="center"/>
                    <w:rPr>
                      <w:bCs/>
                      <w:color w:val="FF0000"/>
                      <w:sz w:val="18"/>
                      <w:szCs w:val="18"/>
                    </w:rPr>
                  </w:pPr>
                  <w:r>
                    <w:rPr>
                      <w:rFonts w:hint="eastAsia"/>
                      <w:bCs/>
                      <w:color w:val="FF0000"/>
                      <w:sz w:val="18"/>
                      <w:szCs w:val="18"/>
                    </w:rPr>
                    <w:t>120</w:t>
                  </w:r>
                </w:p>
              </w:tc>
              <w:tc>
                <w:tcPr>
                  <w:tcW w:w="194" w:type="pct"/>
                  <w:vAlign w:val="center"/>
                </w:tcPr>
                <w:p>
                  <w:pPr>
                    <w:adjustRightInd w:val="0"/>
                    <w:snapToGrid w:val="0"/>
                    <w:jc w:val="center"/>
                    <w:rPr>
                      <w:bCs/>
                      <w:color w:val="FF0000"/>
                      <w:sz w:val="18"/>
                      <w:szCs w:val="18"/>
                    </w:rPr>
                  </w:pPr>
                  <w:r>
                    <w:rPr>
                      <w:rFonts w:hint="eastAsia"/>
                      <w:bCs/>
                      <w:color w:val="FF0000"/>
                      <w:sz w:val="18"/>
                      <w:szCs w:val="18"/>
                    </w:rPr>
                    <w:t>3.5</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trHeight w:val="90" w:hRule="atLeast"/>
                <w:jc w:val="center"/>
              </w:trPr>
              <w:tc>
                <w:tcPr>
                  <w:tcW w:w="201" w:type="pct"/>
                  <w:vMerge w:val="continue"/>
                  <w:vAlign w:val="center"/>
                </w:tcPr>
                <w:p>
                  <w:pPr>
                    <w:snapToGrid w:val="0"/>
                    <w:jc w:val="center"/>
                    <w:rPr>
                      <w:bCs/>
                      <w:sz w:val="18"/>
                      <w:szCs w:val="18"/>
                    </w:rPr>
                  </w:pPr>
                </w:p>
              </w:tc>
              <w:tc>
                <w:tcPr>
                  <w:tcW w:w="138" w:type="pct"/>
                  <w:vAlign w:val="center"/>
                </w:tcPr>
                <w:p>
                  <w:pPr>
                    <w:snapToGrid w:val="0"/>
                    <w:jc w:val="center"/>
                    <w:rPr>
                      <w:color w:val="FF0000"/>
                      <w:sz w:val="18"/>
                      <w:szCs w:val="18"/>
                    </w:rPr>
                  </w:pPr>
                  <w:r>
                    <w:rPr>
                      <w:color w:val="FF0000"/>
                      <w:sz w:val="18"/>
                      <w:szCs w:val="18"/>
                    </w:rPr>
                    <w:t>无组织</w:t>
                  </w:r>
                </w:p>
              </w:tc>
              <w:tc>
                <w:tcPr>
                  <w:tcW w:w="202" w:type="pct"/>
                  <w:vMerge w:val="continue"/>
                  <w:vAlign w:val="center"/>
                </w:tcPr>
                <w:p>
                  <w:pPr>
                    <w:snapToGrid w:val="0"/>
                    <w:jc w:val="center"/>
                    <w:rPr>
                      <w:sz w:val="18"/>
                      <w:szCs w:val="18"/>
                    </w:rPr>
                  </w:pPr>
                </w:p>
              </w:tc>
              <w:tc>
                <w:tcPr>
                  <w:tcW w:w="249" w:type="pct"/>
                  <w:vAlign w:val="center"/>
                </w:tcPr>
                <w:p>
                  <w:pPr>
                    <w:snapToGrid w:val="0"/>
                    <w:jc w:val="center"/>
                    <w:rPr>
                      <w:sz w:val="18"/>
                      <w:szCs w:val="18"/>
                    </w:rPr>
                  </w:pPr>
                  <w:r>
                    <w:rPr>
                      <w:sz w:val="18"/>
                      <w:szCs w:val="18"/>
                    </w:rPr>
                    <w:t>/</w:t>
                  </w:r>
                </w:p>
              </w:tc>
              <w:tc>
                <w:tcPr>
                  <w:tcW w:w="274" w:type="pct"/>
                  <w:vAlign w:val="center"/>
                </w:tcPr>
                <w:p>
                  <w:pPr>
                    <w:snapToGrid w:val="0"/>
                    <w:jc w:val="center"/>
                    <w:rPr>
                      <w:color w:val="FF0000"/>
                      <w:sz w:val="18"/>
                      <w:szCs w:val="18"/>
                    </w:rPr>
                  </w:pPr>
                  <w:r>
                    <w:rPr>
                      <w:rFonts w:hint="eastAsia"/>
                      <w:color w:val="FF0000"/>
                      <w:sz w:val="18"/>
                      <w:szCs w:val="18"/>
                    </w:rPr>
                    <w:t>0.0065</w:t>
                  </w:r>
                </w:p>
              </w:tc>
              <w:tc>
                <w:tcPr>
                  <w:tcW w:w="274" w:type="pct"/>
                  <w:vAlign w:val="center"/>
                </w:tcPr>
                <w:p>
                  <w:pPr>
                    <w:widowControl/>
                    <w:snapToGrid w:val="0"/>
                    <w:jc w:val="center"/>
                    <w:textAlignment w:val="center"/>
                    <w:rPr>
                      <w:bCs/>
                      <w:color w:val="FF0000"/>
                      <w:sz w:val="18"/>
                      <w:szCs w:val="18"/>
                    </w:rPr>
                  </w:pPr>
                  <w:r>
                    <w:rPr>
                      <w:rFonts w:hint="eastAsia"/>
                      <w:bCs/>
                      <w:color w:val="FF0000"/>
                      <w:sz w:val="18"/>
                      <w:szCs w:val="18"/>
                    </w:rPr>
                    <w:t>0.0155</w:t>
                  </w:r>
                </w:p>
              </w:tc>
              <w:tc>
                <w:tcPr>
                  <w:tcW w:w="201" w:type="pct"/>
                  <w:vAlign w:val="center"/>
                </w:tcPr>
                <w:p>
                  <w:pPr>
                    <w:adjustRightInd w:val="0"/>
                    <w:snapToGrid w:val="0"/>
                    <w:jc w:val="center"/>
                    <w:rPr>
                      <w:bCs/>
                      <w:sz w:val="18"/>
                      <w:szCs w:val="18"/>
                    </w:rPr>
                  </w:pPr>
                  <w:r>
                    <w:rPr>
                      <w:bCs/>
                      <w:sz w:val="18"/>
                      <w:szCs w:val="18"/>
                    </w:rPr>
                    <w:t>/</w:t>
                  </w:r>
                </w:p>
              </w:tc>
              <w:tc>
                <w:tcPr>
                  <w:tcW w:w="323"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206" w:type="pct"/>
                  <w:vAlign w:val="center"/>
                </w:tcPr>
                <w:p>
                  <w:pPr>
                    <w:adjustRightInd w:val="0"/>
                    <w:snapToGrid w:val="0"/>
                    <w:jc w:val="center"/>
                    <w:rPr>
                      <w:bCs/>
                      <w:sz w:val="18"/>
                      <w:szCs w:val="18"/>
                    </w:rPr>
                  </w:pPr>
                  <w:r>
                    <w:rPr>
                      <w:bCs/>
                      <w:sz w:val="18"/>
                      <w:szCs w:val="18"/>
                    </w:rPr>
                    <w:t>/</w:t>
                  </w:r>
                </w:p>
              </w:tc>
              <w:tc>
                <w:tcPr>
                  <w:tcW w:w="249" w:type="pct"/>
                  <w:vAlign w:val="center"/>
                </w:tcPr>
                <w:p>
                  <w:pPr>
                    <w:adjustRightInd w:val="0"/>
                    <w:snapToGrid w:val="0"/>
                    <w:jc w:val="center"/>
                    <w:rPr>
                      <w:bCs/>
                      <w:sz w:val="18"/>
                      <w:szCs w:val="18"/>
                    </w:rPr>
                  </w:pPr>
                  <w:r>
                    <w:rPr>
                      <w:bCs/>
                      <w:sz w:val="18"/>
                      <w:szCs w:val="18"/>
                    </w:rPr>
                    <w:t>/</w:t>
                  </w:r>
                </w:p>
              </w:tc>
              <w:tc>
                <w:tcPr>
                  <w:tcW w:w="282" w:type="pct"/>
                  <w:vAlign w:val="center"/>
                </w:tcPr>
                <w:p>
                  <w:pPr>
                    <w:widowControl/>
                    <w:snapToGrid w:val="0"/>
                    <w:jc w:val="center"/>
                    <w:textAlignment w:val="center"/>
                    <w:rPr>
                      <w:bCs/>
                      <w:sz w:val="18"/>
                      <w:szCs w:val="18"/>
                    </w:rPr>
                  </w:pPr>
                  <w:r>
                    <w:rPr>
                      <w:rFonts w:hint="eastAsia"/>
                      <w:color w:val="FF0000"/>
                      <w:sz w:val="18"/>
                      <w:szCs w:val="18"/>
                    </w:rPr>
                    <w:t>0.0065</w:t>
                  </w:r>
                </w:p>
              </w:tc>
              <w:tc>
                <w:tcPr>
                  <w:tcW w:w="288" w:type="pct"/>
                  <w:vAlign w:val="center"/>
                </w:tcPr>
                <w:p>
                  <w:pPr>
                    <w:widowControl/>
                    <w:snapToGrid w:val="0"/>
                    <w:jc w:val="center"/>
                    <w:textAlignment w:val="center"/>
                    <w:rPr>
                      <w:bCs/>
                      <w:sz w:val="18"/>
                      <w:szCs w:val="18"/>
                    </w:rPr>
                  </w:pPr>
                  <w:r>
                    <w:rPr>
                      <w:rFonts w:hint="eastAsia"/>
                      <w:bCs/>
                      <w:color w:val="FF0000"/>
                      <w:sz w:val="18"/>
                      <w:szCs w:val="18"/>
                    </w:rPr>
                    <w:t>0.0155</w:t>
                  </w:r>
                </w:p>
              </w:tc>
              <w:tc>
                <w:tcPr>
                  <w:tcW w:w="260"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154"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164" w:type="pct"/>
                  <w:vAlign w:val="center"/>
                </w:tcPr>
                <w:p>
                  <w:pPr>
                    <w:adjustRightInd w:val="0"/>
                    <w:snapToGrid w:val="0"/>
                    <w:jc w:val="center"/>
                    <w:rPr>
                      <w:bCs/>
                      <w:sz w:val="18"/>
                      <w:szCs w:val="18"/>
                    </w:rPr>
                  </w:pPr>
                  <w:r>
                    <w:rPr>
                      <w:bCs/>
                      <w:sz w:val="18"/>
                      <w:szCs w:val="18"/>
                    </w:rPr>
                    <w:t>/</w:t>
                  </w:r>
                </w:p>
              </w:tc>
              <w:tc>
                <w:tcPr>
                  <w:tcW w:w="541" w:type="pct"/>
                  <w:vAlign w:val="center"/>
                </w:tcPr>
                <w:p>
                  <w:pPr>
                    <w:adjustRightInd w:val="0"/>
                    <w:snapToGrid w:val="0"/>
                    <w:jc w:val="center"/>
                    <w:rPr>
                      <w:bCs/>
                      <w:sz w:val="18"/>
                      <w:szCs w:val="18"/>
                    </w:rPr>
                  </w:pPr>
                  <w:r>
                    <w:rPr>
                      <w:bCs/>
                      <w:sz w:val="18"/>
                      <w:szCs w:val="18"/>
                    </w:rPr>
                    <w:t>/</w:t>
                  </w:r>
                </w:p>
              </w:tc>
              <w:tc>
                <w:tcPr>
                  <w:tcW w:w="249" w:type="pct"/>
                  <w:vAlign w:val="center"/>
                </w:tcPr>
                <w:p>
                  <w:pPr>
                    <w:widowControl/>
                    <w:snapToGrid w:val="0"/>
                    <w:jc w:val="center"/>
                    <w:textAlignment w:val="center"/>
                    <w:rPr>
                      <w:bCs/>
                      <w:sz w:val="18"/>
                      <w:szCs w:val="18"/>
                    </w:rPr>
                  </w:pPr>
                  <w:r>
                    <w:rPr>
                      <w:bCs/>
                      <w:sz w:val="18"/>
                      <w:szCs w:val="18"/>
                    </w:rPr>
                    <w:t>1.0</w:t>
                  </w:r>
                </w:p>
              </w:tc>
              <w:tc>
                <w:tcPr>
                  <w:tcW w:w="194" w:type="pct"/>
                  <w:vAlign w:val="center"/>
                </w:tcPr>
                <w:p>
                  <w:pPr>
                    <w:adjustRightInd w:val="0"/>
                    <w:snapToGrid w:val="0"/>
                    <w:jc w:val="center"/>
                    <w:rPr>
                      <w:bCs/>
                      <w:sz w:val="18"/>
                      <w:szCs w:val="18"/>
                    </w:rPr>
                  </w:pPr>
                  <w:r>
                    <w:rPr>
                      <w:bCs/>
                      <w:sz w:val="18"/>
                      <w:szCs w:val="18"/>
                    </w:rPr>
                    <w:t>/</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trHeight w:val="90" w:hRule="atLeast"/>
                <w:jc w:val="center"/>
              </w:trPr>
              <w:tc>
                <w:tcPr>
                  <w:tcW w:w="201" w:type="pct"/>
                  <w:vMerge w:val="restart"/>
                  <w:vAlign w:val="center"/>
                </w:tcPr>
                <w:p>
                  <w:pPr>
                    <w:snapToGrid w:val="0"/>
                    <w:jc w:val="center"/>
                    <w:rPr>
                      <w:bCs/>
                      <w:sz w:val="18"/>
                      <w:szCs w:val="18"/>
                    </w:rPr>
                  </w:pPr>
                  <w:r>
                    <w:rPr>
                      <w:bCs/>
                      <w:color w:val="FF0000"/>
                      <w:sz w:val="18"/>
                      <w:szCs w:val="18"/>
                    </w:rPr>
                    <w:t>2</w:t>
                  </w:r>
                  <w:r>
                    <w:rPr>
                      <w:rFonts w:hint="eastAsia"/>
                      <w:bCs/>
                      <w:color w:val="FF0000"/>
                      <w:sz w:val="18"/>
                      <w:szCs w:val="18"/>
                    </w:rPr>
                    <w:t>#车间（</w:t>
                  </w:r>
                  <w:r>
                    <w:rPr>
                      <w:bCs/>
                      <w:color w:val="FF0000"/>
                      <w:sz w:val="18"/>
                      <w:szCs w:val="18"/>
                    </w:rPr>
                    <w:t>焊接</w:t>
                  </w:r>
                  <w:r>
                    <w:rPr>
                      <w:rFonts w:hint="eastAsia"/>
                      <w:bCs/>
                      <w:color w:val="FF0000"/>
                      <w:sz w:val="18"/>
                      <w:szCs w:val="18"/>
                    </w:rPr>
                    <w:t>、打磨抛光）</w:t>
                  </w:r>
                </w:p>
              </w:tc>
              <w:tc>
                <w:tcPr>
                  <w:tcW w:w="138" w:type="pct"/>
                  <w:vAlign w:val="center"/>
                </w:tcPr>
                <w:p>
                  <w:pPr>
                    <w:snapToGrid w:val="0"/>
                    <w:jc w:val="center"/>
                    <w:rPr>
                      <w:sz w:val="18"/>
                      <w:szCs w:val="18"/>
                    </w:rPr>
                  </w:pPr>
                  <w:r>
                    <w:rPr>
                      <w:rFonts w:hint="eastAsia"/>
                      <w:bCs/>
                      <w:color w:val="FF0000"/>
                      <w:sz w:val="18"/>
                      <w:szCs w:val="18"/>
                    </w:rPr>
                    <w:t>有组织</w:t>
                  </w:r>
                </w:p>
              </w:tc>
              <w:tc>
                <w:tcPr>
                  <w:tcW w:w="202" w:type="pct"/>
                  <w:vMerge w:val="restart"/>
                  <w:vAlign w:val="center"/>
                </w:tcPr>
                <w:p>
                  <w:pPr>
                    <w:snapToGrid w:val="0"/>
                    <w:jc w:val="center"/>
                    <w:rPr>
                      <w:sz w:val="18"/>
                      <w:szCs w:val="18"/>
                    </w:rPr>
                  </w:pPr>
                  <w:r>
                    <w:rPr>
                      <w:color w:val="FF0000"/>
                      <w:sz w:val="18"/>
                      <w:szCs w:val="18"/>
                    </w:rPr>
                    <w:t>颗粒物</w:t>
                  </w:r>
                </w:p>
              </w:tc>
              <w:tc>
                <w:tcPr>
                  <w:tcW w:w="249" w:type="pct"/>
                  <w:vAlign w:val="center"/>
                </w:tcPr>
                <w:p>
                  <w:pPr>
                    <w:snapToGrid w:val="0"/>
                    <w:jc w:val="center"/>
                    <w:rPr>
                      <w:sz w:val="18"/>
                      <w:szCs w:val="18"/>
                    </w:rPr>
                  </w:pPr>
                  <w:r>
                    <w:rPr>
                      <w:rFonts w:hint="eastAsia"/>
                      <w:bCs/>
                      <w:color w:val="FF0000"/>
                      <w:sz w:val="18"/>
                      <w:szCs w:val="18"/>
                    </w:rPr>
                    <w:t>19.38</w:t>
                  </w:r>
                </w:p>
              </w:tc>
              <w:tc>
                <w:tcPr>
                  <w:tcW w:w="274" w:type="pct"/>
                  <w:vAlign w:val="center"/>
                </w:tcPr>
                <w:p>
                  <w:pPr>
                    <w:snapToGrid w:val="0"/>
                    <w:jc w:val="center"/>
                    <w:rPr>
                      <w:sz w:val="18"/>
                      <w:szCs w:val="18"/>
                    </w:rPr>
                  </w:pPr>
                  <w:r>
                    <w:rPr>
                      <w:rFonts w:hint="eastAsia"/>
                      <w:bCs/>
                      <w:color w:val="FF0000"/>
                      <w:sz w:val="18"/>
                      <w:szCs w:val="18"/>
                    </w:rPr>
                    <w:t>0.0581</w:t>
                  </w:r>
                </w:p>
              </w:tc>
              <w:tc>
                <w:tcPr>
                  <w:tcW w:w="274" w:type="pct"/>
                  <w:vAlign w:val="center"/>
                </w:tcPr>
                <w:p>
                  <w:pPr>
                    <w:widowControl/>
                    <w:snapToGrid w:val="0"/>
                    <w:jc w:val="center"/>
                    <w:textAlignment w:val="center"/>
                    <w:rPr>
                      <w:sz w:val="18"/>
                      <w:szCs w:val="18"/>
                    </w:rPr>
                  </w:pPr>
                  <w:r>
                    <w:rPr>
                      <w:rFonts w:hint="eastAsia"/>
                      <w:bCs/>
                      <w:color w:val="FF0000"/>
                      <w:sz w:val="18"/>
                      <w:szCs w:val="18"/>
                    </w:rPr>
                    <w:t>0.1395</w:t>
                  </w:r>
                </w:p>
              </w:tc>
              <w:tc>
                <w:tcPr>
                  <w:tcW w:w="201" w:type="pct"/>
                  <w:vAlign w:val="center"/>
                </w:tcPr>
                <w:p>
                  <w:pPr>
                    <w:adjustRightInd w:val="0"/>
                    <w:snapToGrid w:val="0"/>
                    <w:jc w:val="center"/>
                    <w:rPr>
                      <w:bCs/>
                      <w:sz w:val="18"/>
                      <w:szCs w:val="18"/>
                    </w:rPr>
                  </w:pPr>
                  <w:r>
                    <w:rPr>
                      <w:rFonts w:hint="eastAsia"/>
                      <w:bCs/>
                      <w:color w:val="FF0000"/>
                      <w:sz w:val="18"/>
                      <w:szCs w:val="18"/>
                    </w:rPr>
                    <w:t>3000</w:t>
                  </w:r>
                </w:p>
              </w:tc>
              <w:tc>
                <w:tcPr>
                  <w:tcW w:w="323" w:type="pct"/>
                  <w:vAlign w:val="center"/>
                </w:tcPr>
                <w:p>
                  <w:pPr>
                    <w:adjustRightInd w:val="0"/>
                    <w:snapToGrid w:val="0"/>
                    <w:jc w:val="center"/>
                    <w:rPr>
                      <w:bCs/>
                      <w:sz w:val="18"/>
                      <w:szCs w:val="18"/>
                    </w:rPr>
                  </w:pPr>
                  <w:r>
                    <w:rPr>
                      <w:rFonts w:hint="eastAsia"/>
                      <w:bCs/>
                      <w:color w:val="FF0000"/>
                      <w:sz w:val="18"/>
                      <w:szCs w:val="18"/>
                    </w:rPr>
                    <w:t>90</w:t>
                  </w:r>
                </w:p>
              </w:tc>
              <w:tc>
                <w:tcPr>
                  <w:tcW w:w="138" w:type="pct"/>
                  <w:vAlign w:val="center"/>
                </w:tcPr>
                <w:p>
                  <w:pPr>
                    <w:adjustRightInd w:val="0"/>
                    <w:snapToGrid w:val="0"/>
                    <w:jc w:val="center"/>
                    <w:rPr>
                      <w:bCs/>
                      <w:sz w:val="18"/>
                      <w:szCs w:val="18"/>
                    </w:rPr>
                  </w:pPr>
                  <w:r>
                    <w:rPr>
                      <w:bCs/>
                      <w:color w:val="FF0000"/>
                      <w:sz w:val="18"/>
                      <w:szCs w:val="18"/>
                    </w:rPr>
                    <w:t>99</w:t>
                  </w:r>
                </w:p>
              </w:tc>
              <w:tc>
                <w:tcPr>
                  <w:tcW w:w="138" w:type="pct"/>
                  <w:vAlign w:val="center"/>
                </w:tcPr>
                <w:p>
                  <w:pPr>
                    <w:adjustRightInd w:val="0"/>
                    <w:snapToGrid w:val="0"/>
                    <w:jc w:val="center"/>
                    <w:rPr>
                      <w:bCs/>
                      <w:sz w:val="18"/>
                      <w:szCs w:val="18"/>
                    </w:rPr>
                  </w:pPr>
                  <w:r>
                    <w:rPr>
                      <w:bCs/>
                      <w:color w:val="FF0000"/>
                      <w:sz w:val="18"/>
                      <w:szCs w:val="18"/>
                    </w:rPr>
                    <w:t>是</w:t>
                  </w:r>
                </w:p>
              </w:tc>
              <w:tc>
                <w:tcPr>
                  <w:tcW w:w="206" w:type="pct"/>
                  <w:vAlign w:val="center"/>
                </w:tcPr>
                <w:p>
                  <w:pPr>
                    <w:adjustRightInd w:val="0"/>
                    <w:snapToGrid w:val="0"/>
                    <w:jc w:val="center"/>
                    <w:rPr>
                      <w:bCs/>
                      <w:sz w:val="18"/>
                      <w:szCs w:val="18"/>
                    </w:rPr>
                  </w:pPr>
                  <w:r>
                    <w:rPr>
                      <w:rFonts w:hint="eastAsia"/>
                      <w:bCs/>
                      <w:color w:val="FF0000"/>
                      <w:sz w:val="18"/>
                      <w:szCs w:val="18"/>
                    </w:rPr>
                    <w:t>布袋除尘器</w:t>
                  </w:r>
                </w:p>
              </w:tc>
              <w:tc>
                <w:tcPr>
                  <w:tcW w:w="249" w:type="pct"/>
                  <w:vAlign w:val="center"/>
                </w:tcPr>
                <w:p>
                  <w:pPr>
                    <w:adjustRightInd w:val="0"/>
                    <w:snapToGrid w:val="0"/>
                    <w:jc w:val="center"/>
                    <w:rPr>
                      <w:bCs/>
                      <w:sz w:val="18"/>
                      <w:szCs w:val="18"/>
                    </w:rPr>
                  </w:pPr>
                  <w:r>
                    <w:rPr>
                      <w:rFonts w:hint="eastAsia"/>
                      <w:bCs/>
                      <w:color w:val="FF0000"/>
                      <w:sz w:val="18"/>
                      <w:szCs w:val="18"/>
                    </w:rPr>
                    <w:t>0.19</w:t>
                  </w:r>
                </w:p>
              </w:tc>
              <w:tc>
                <w:tcPr>
                  <w:tcW w:w="282" w:type="pct"/>
                  <w:vAlign w:val="center"/>
                </w:tcPr>
                <w:p>
                  <w:pPr>
                    <w:widowControl/>
                    <w:snapToGrid w:val="0"/>
                    <w:jc w:val="center"/>
                    <w:textAlignment w:val="center"/>
                    <w:rPr>
                      <w:bCs/>
                      <w:sz w:val="18"/>
                      <w:szCs w:val="18"/>
                    </w:rPr>
                  </w:pPr>
                  <w:r>
                    <w:rPr>
                      <w:rFonts w:hint="eastAsia"/>
                      <w:bCs/>
                      <w:color w:val="FF0000"/>
                      <w:sz w:val="18"/>
                      <w:szCs w:val="18"/>
                    </w:rPr>
                    <w:t>0.0006</w:t>
                  </w:r>
                </w:p>
              </w:tc>
              <w:tc>
                <w:tcPr>
                  <w:tcW w:w="288" w:type="pct"/>
                  <w:vAlign w:val="center"/>
                </w:tcPr>
                <w:p>
                  <w:pPr>
                    <w:widowControl/>
                    <w:snapToGrid w:val="0"/>
                    <w:jc w:val="center"/>
                    <w:textAlignment w:val="center"/>
                    <w:rPr>
                      <w:bCs/>
                      <w:sz w:val="18"/>
                      <w:szCs w:val="18"/>
                    </w:rPr>
                  </w:pPr>
                  <w:r>
                    <w:rPr>
                      <w:rFonts w:hint="eastAsia"/>
                      <w:bCs/>
                      <w:color w:val="FF0000"/>
                      <w:sz w:val="18"/>
                      <w:szCs w:val="18"/>
                    </w:rPr>
                    <w:t>0.0014</w:t>
                  </w:r>
                </w:p>
              </w:tc>
              <w:tc>
                <w:tcPr>
                  <w:tcW w:w="260" w:type="pct"/>
                  <w:vAlign w:val="center"/>
                </w:tcPr>
                <w:p>
                  <w:pPr>
                    <w:adjustRightInd w:val="0"/>
                    <w:snapToGrid w:val="0"/>
                    <w:jc w:val="center"/>
                    <w:rPr>
                      <w:bCs/>
                      <w:sz w:val="18"/>
                      <w:szCs w:val="18"/>
                    </w:rPr>
                  </w:pPr>
                  <w:r>
                    <w:rPr>
                      <w:rFonts w:hint="eastAsia"/>
                      <w:bCs/>
                      <w:color w:val="FF0000"/>
                      <w:sz w:val="18"/>
                      <w:szCs w:val="18"/>
                    </w:rPr>
                    <w:t>D</w:t>
                  </w:r>
                  <w:r>
                    <w:rPr>
                      <w:bCs/>
                      <w:color w:val="FF0000"/>
                      <w:sz w:val="18"/>
                      <w:szCs w:val="18"/>
                    </w:rPr>
                    <w:t>A002 2#</w:t>
                  </w:r>
                  <w:r>
                    <w:rPr>
                      <w:rFonts w:hint="eastAsia"/>
                      <w:bCs/>
                      <w:color w:val="FF0000"/>
                      <w:sz w:val="18"/>
                      <w:szCs w:val="18"/>
                    </w:rPr>
                    <w:t>车间</w:t>
                  </w:r>
                  <w:r>
                    <w:rPr>
                      <w:bCs/>
                      <w:color w:val="FF0000"/>
                      <w:sz w:val="18"/>
                      <w:szCs w:val="18"/>
                    </w:rPr>
                    <w:t>排气筒</w:t>
                  </w:r>
                </w:p>
              </w:tc>
              <w:tc>
                <w:tcPr>
                  <w:tcW w:w="138" w:type="pct"/>
                  <w:vAlign w:val="center"/>
                </w:tcPr>
                <w:p>
                  <w:pPr>
                    <w:adjustRightInd w:val="0"/>
                    <w:snapToGrid w:val="0"/>
                    <w:jc w:val="center"/>
                    <w:rPr>
                      <w:bCs/>
                      <w:sz w:val="18"/>
                      <w:szCs w:val="18"/>
                    </w:rPr>
                  </w:pPr>
                  <w:r>
                    <w:rPr>
                      <w:rFonts w:hint="eastAsia"/>
                      <w:bCs/>
                      <w:color w:val="FF0000"/>
                      <w:sz w:val="18"/>
                      <w:szCs w:val="18"/>
                    </w:rPr>
                    <w:t>15</w:t>
                  </w:r>
                </w:p>
              </w:tc>
              <w:tc>
                <w:tcPr>
                  <w:tcW w:w="154" w:type="pct"/>
                  <w:vAlign w:val="center"/>
                </w:tcPr>
                <w:p>
                  <w:pPr>
                    <w:adjustRightInd w:val="0"/>
                    <w:snapToGrid w:val="0"/>
                    <w:jc w:val="center"/>
                    <w:rPr>
                      <w:bCs/>
                      <w:sz w:val="18"/>
                      <w:szCs w:val="18"/>
                    </w:rPr>
                  </w:pPr>
                  <w:r>
                    <w:rPr>
                      <w:rFonts w:hint="eastAsia"/>
                      <w:bCs/>
                      <w:color w:val="FF0000"/>
                      <w:sz w:val="18"/>
                      <w:szCs w:val="18"/>
                    </w:rPr>
                    <w:t>0.3</w:t>
                  </w:r>
                </w:p>
              </w:tc>
              <w:tc>
                <w:tcPr>
                  <w:tcW w:w="138" w:type="pct"/>
                  <w:vAlign w:val="center"/>
                </w:tcPr>
                <w:p>
                  <w:pPr>
                    <w:adjustRightInd w:val="0"/>
                    <w:snapToGrid w:val="0"/>
                    <w:jc w:val="center"/>
                    <w:rPr>
                      <w:bCs/>
                      <w:sz w:val="18"/>
                      <w:szCs w:val="18"/>
                    </w:rPr>
                  </w:pPr>
                  <w:r>
                    <w:rPr>
                      <w:rFonts w:hint="eastAsia"/>
                      <w:bCs/>
                      <w:color w:val="FF0000"/>
                      <w:sz w:val="18"/>
                      <w:szCs w:val="18"/>
                    </w:rPr>
                    <w:t>25</w:t>
                  </w:r>
                </w:p>
              </w:tc>
              <w:tc>
                <w:tcPr>
                  <w:tcW w:w="164" w:type="pct"/>
                  <w:vAlign w:val="center"/>
                </w:tcPr>
                <w:p>
                  <w:pPr>
                    <w:adjustRightInd w:val="0"/>
                    <w:snapToGrid w:val="0"/>
                    <w:jc w:val="center"/>
                    <w:rPr>
                      <w:bCs/>
                      <w:sz w:val="18"/>
                      <w:szCs w:val="18"/>
                    </w:rPr>
                  </w:pPr>
                  <w:r>
                    <w:rPr>
                      <w:rFonts w:hint="eastAsia"/>
                      <w:bCs/>
                      <w:color w:val="FF0000"/>
                      <w:sz w:val="18"/>
                      <w:szCs w:val="18"/>
                    </w:rPr>
                    <w:t>一般</w:t>
                  </w:r>
                  <w:r>
                    <w:rPr>
                      <w:bCs/>
                      <w:color w:val="FF0000"/>
                      <w:sz w:val="18"/>
                      <w:szCs w:val="18"/>
                    </w:rPr>
                    <w:t>排放口</w:t>
                  </w:r>
                </w:p>
              </w:tc>
              <w:tc>
                <w:tcPr>
                  <w:tcW w:w="541" w:type="pct"/>
                  <w:vAlign w:val="center"/>
                </w:tcPr>
                <w:p>
                  <w:pPr>
                    <w:adjustRightInd w:val="0"/>
                    <w:snapToGrid w:val="0"/>
                    <w:jc w:val="center"/>
                    <w:rPr>
                      <w:bCs/>
                      <w:sz w:val="18"/>
                      <w:szCs w:val="18"/>
                    </w:rPr>
                  </w:pPr>
                  <w:r>
                    <w:rPr>
                      <w:rFonts w:hint="eastAsia"/>
                      <w:bCs/>
                      <w:color w:val="FF0000"/>
                      <w:sz w:val="18"/>
                      <w:szCs w:val="18"/>
                    </w:rPr>
                    <w:t>东经115°52'3</w:t>
                  </w:r>
                  <w:r>
                    <w:rPr>
                      <w:bCs/>
                      <w:color w:val="FF0000"/>
                      <w:sz w:val="18"/>
                      <w:szCs w:val="18"/>
                    </w:rPr>
                    <w:t>4.211</w:t>
                  </w:r>
                  <w:r>
                    <w:rPr>
                      <w:rFonts w:hint="eastAsia"/>
                      <w:bCs/>
                      <w:color w:val="FF0000"/>
                      <w:sz w:val="18"/>
                      <w:szCs w:val="18"/>
                    </w:rPr>
                    <w:t>"，北纬28°30'4</w:t>
                  </w:r>
                  <w:r>
                    <w:rPr>
                      <w:bCs/>
                      <w:color w:val="FF0000"/>
                      <w:sz w:val="18"/>
                      <w:szCs w:val="18"/>
                    </w:rPr>
                    <w:t>1.011</w:t>
                  </w:r>
                  <w:r>
                    <w:rPr>
                      <w:rFonts w:hint="eastAsia"/>
                      <w:bCs/>
                      <w:color w:val="FF0000"/>
                      <w:sz w:val="18"/>
                      <w:szCs w:val="18"/>
                    </w:rPr>
                    <w:t>"</w:t>
                  </w:r>
                </w:p>
              </w:tc>
              <w:tc>
                <w:tcPr>
                  <w:tcW w:w="249" w:type="pct"/>
                  <w:vAlign w:val="center"/>
                </w:tcPr>
                <w:p>
                  <w:pPr>
                    <w:widowControl/>
                    <w:snapToGrid w:val="0"/>
                    <w:jc w:val="center"/>
                    <w:textAlignment w:val="center"/>
                    <w:rPr>
                      <w:bCs/>
                      <w:sz w:val="18"/>
                      <w:szCs w:val="18"/>
                    </w:rPr>
                  </w:pPr>
                  <w:r>
                    <w:rPr>
                      <w:rFonts w:hint="eastAsia"/>
                      <w:bCs/>
                      <w:color w:val="FF0000"/>
                      <w:sz w:val="18"/>
                      <w:szCs w:val="18"/>
                    </w:rPr>
                    <w:t>120</w:t>
                  </w:r>
                </w:p>
              </w:tc>
              <w:tc>
                <w:tcPr>
                  <w:tcW w:w="194" w:type="pct"/>
                  <w:vAlign w:val="center"/>
                </w:tcPr>
                <w:p>
                  <w:pPr>
                    <w:adjustRightInd w:val="0"/>
                    <w:snapToGrid w:val="0"/>
                    <w:jc w:val="center"/>
                    <w:rPr>
                      <w:bCs/>
                      <w:sz w:val="18"/>
                      <w:szCs w:val="18"/>
                    </w:rPr>
                  </w:pPr>
                  <w:r>
                    <w:rPr>
                      <w:rFonts w:hint="eastAsia"/>
                      <w:bCs/>
                      <w:color w:val="FF0000"/>
                      <w:sz w:val="18"/>
                      <w:szCs w:val="18"/>
                    </w:rPr>
                    <w:t>3.5</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trHeight w:val="90" w:hRule="atLeast"/>
                <w:jc w:val="center"/>
              </w:trPr>
              <w:tc>
                <w:tcPr>
                  <w:tcW w:w="201" w:type="pct"/>
                  <w:vMerge w:val="continue"/>
                  <w:vAlign w:val="center"/>
                </w:tcPr>
                <w:p>
                  <w:pPr>
                    <w:snapToGrid w:val="0"/>
                    <w:jc w:val="center"/>
                    <w:rPr>
                      <w:bCs/>
                      <w:sz w:val="18"/>
                      <w:szCs w:val="18"/>
                    </w:rPr>
                  </w:pPr>
                </w:p>
              </w:tc>
              <w:tc>
                <w:tcPr>
                  <w:tcW w:w="138" w:type="pct"/>
                  <w:vAlign w:val="center"/>
                </w:tcPr>
                <w:p>
                  <w:pPr>
                    <w:snapToGrid w:val="0"/>
                    <w:jc w:val="center"/>
                    <w:rPr>
                      <w:sz w:val="18"/>
                      <w:szCs w:val="18"/>
                    </w:rPr>
                  </w:pPr>
                  <w:r>
                    <w:rPr>
                      <w:sz w:val="18"/>
                      <w:szCs w:val="18"/>
                    </w:rPr>
                    <w:t>无组织</w:t>
                  </w:r>
                </w:p>
              </w:tc>
              <w:tc>
                <w:tcPr>
                  <w:tcW w:w="202" w:type="pct"/>
                  <w:vMerge w:val="continue"/>
                  <w:vAlign w:val="center"/>
                </w:tcPr>
                <w:p>
                  <w:pPr>
                    <w:snapToGrid w:val="0"/>
                    <w:jc w:val="center"/>
                    <w:rPr>
                      <w:sz w:val="18"/>
                      <w:szCs w:val="18"/>
                    </w:rPr>
                  </w:pPr>
                </w:p>
              </w:tc>
              <w:tc>
                <w:tcPr>
                  <w:tcW w:w="249" w:type="pct"/>
                  <w:vAlign w:val="center"/>
                </w:tcPr>
                <w:p>
                  <w:pPr>
                    <w:snapToGrid w:val="0"/>
                    <w:jc w:val="center"/>
                    <w:rPr>
                      <w:sz w:val="18"/>
                      <w:szCs w:val="18"/>
                    </w:rPr>
                  </w:pPr>
                  <w:r>
                    <w:rPr>
                      <w:sz w:val="18"/>
                      <w:szCs w:val="18"/>
                    </w:rPr>
                    <w:t>/</w:t>
                  </w:r>
                </w:p>
              </w:tc>
              <w:tc>
                <w:tcPr>
                  <w:tcW w:w="274" w:type="pct"/>
                  <w:vAlign w:val="center"/>
                </w:tcPr>
                <w:p>
                  <w:pPr>
                    <w:widowControl/>
                    <w:snapToGrid w:val="0"/>
                    <w:jc w:val="center"/>
                    <w:textAlignment w:val="center"/>
                    <w:rPr>
                      <w:bCs/>
                      <w:sz w:val="18"/>
                      <w:szCs w:val="18"/>
                    </w:rPr>
                  </w:pPr>
                  <w:r>
                    <w:rPr>
                      <w:rFonts w:hint="eastAsia"/>
                      <w:color w:val="FF0000"/>
                      <w:sz w:val="18"/>
                      <w:szCs w:val="18"/>
                    </w:rPr>
                    <w:t>0.0065</w:t>
                  </w:r>
                </w:p>
              </w:tc>
              <w:tc>
                <w:tcPr>
                  <w:tcW w:w="274" w:type="pct"/>
                  <w:vAlign w:val="center"/>
                </w:tcPr>
                <w:p>
                  <w:pPr>
                    <w:widowControl/>
                    <w:snapToGrid w:val="0"/>
                    <w:jc w:val="center"/>
                    <w:textAlignment w:val="center"/>
                    <w:rPr>
                      <w:bCs/>
                      <w:sz w:val="18"/>
                      <w:szCs w:val="18"/>
                    </w:rPr>
                  </w:pPr>
                  <w:r>
                    <w:rPr>
                      <w:rFonts w:hint="eastAsia"/>
                      <w:bCs/>
                      <w:color w:val="FF0000"/>
                      <w:sz w:val="18"/>
                      <w:szCs w:val="18"/>
                    </w:rPr>
                    <w:t>0.0155</w:t>
                  </w:r>
                </w:p>
              </w:tc>
              <w:tc>
                <w:tcPr>
                  <w:tcW w:w="201" w:type="pct"/>
                  <w:vAlign w:val="center"/>
                </w:tcPr>
                <w:p>
                  <w:pPr>
                    <w:adjustRightInd w:val="0"/>
                    <w:snapToGrid w:val="0"/>
                    <w:jc w:val="center"/>
                    <w:rPr>
                      <w:bCs/>
                      <w:sz w:val="18"/>
                      <w:szCs w:val="18"/>
                    </w:rPr>
                  </w:pPr>
                  <w:r>
                    <w:rPr>
                      <w:bCs/>
                      <w:sz w:val="18"/>
                      <w:szCs w:val="18"/>
                    </w:rPr>
                    <w:t>/</w:t>
                  </w:r>
                </w:p>
              </w:tc>
              <w:tc>
                <w:tcPr>
                  <w:tcW w:w="323"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206" w:type="pct"/>
                  <w:vAlign w:val="center"/>
                </w:tcPr>
                <w:p>
                  <w:pPr>
                    <w:adjustRightInd w:val="0"/>
                    <w:snapToGrid w:val="0"/>
                    <w:jc w:val="center"/>
                    <w:rPr>
                      <w:bCs/>
                      <w:sz w:val="18"/>
                      <w:szCs w:val="18"/>
                    </w:rPr>
                  </w:pPr>
                  <w:r>
                    <w:rPr>
                      <w:bCs/>
                      <w:sz w:val="18"/>
                      <w:szCs w:val="18"/>
                    </w:rPr>
                    <w:t>/</w:t>
                  </w:r>
                </w:p>
              </w:tc>
              <w:tc>
                <w:tcPr>
                  <w:tcW w:w="249" w:type="pct"/>
                  <w:vAlign w:val="center"/>
                </w:tcPr>
                <w:p>
                  <w:pPr>
                    <w:adjustRightInd w:val="0"/>
                    <w:snapToGrid w:val="0"/>
                    <w:jc w:val="center"/>
                    <w:rPr>
                      <w:bCs/>
                      <w:sz w:val="18"/>
                      <w:szCs w:val="18"/>
                    </w:rPr>
                  </w:pPr>
                  <w:r>
                    <w:rPr>
                      <w:bCs/>
                      <w:sz w:val="18"/>
                      <w:szCs w:val="18"/>
                    </w:rPr>
                    <w:t>/</w:t>
                  </w:r>
                </w:p>
              </w:tc>
              <w:tc>
                <w:tcPr>
                  <w:tcW w:w="282" w:type="pct"/>
                  <w:vAlign w:val="center"/>
                </w:tcPr>
                <w:p>
                  <w:pPr>
                    <w:widowControl/>
                    <w:snapToGrid w:val="0"/>
                    <w:jc w:val="center"/>
                    <w:textAlignment w:val="center"/>
                    <w:rPr>
                      <w:bCs/>
                      <w:sz w:val="18"/>
                      <w:szCs w:val="18"/>
                    </w:rPr>
                  </w:pPr>
                  <w:r>
                    <w:rPr>
                      <w:rFonts w:hint="eastAsia"/>
                      <w:color w:val="FF0000"/>
                      <w:sz w:val="18"/>
                      <w:szCs w:val="18"/>
                    </w:rPr>
                    <w:t>0.0065</w:t>
                  </w:r>
                </w:p>
              </w:tc>
              <w:tc>
                <w:tcPr>
                  <w:tcW w:w="288" w:type="pct"/>
                  <w:vAlign w:val="center"/>
                </w:tcPr>
                <w:p>
                  <w:pPr>
                    <w:widowControl/>
                    <w:snapToGrid w:val="0"/>
                    <w:jc w:val="center"/>
                    <w:textAlignment w:val="center"/>
                    <w:rPr>
                      <w:bCs/>
                      <w:sz w:val="18"/>
                      <w:szCs w:val="18"/>
                    </w:rPr>
                  </w:pPr>
                  <w:r>
                    <w:rPr>
                      <w:rFonts w:hint="eastAsia"/>
                      <w:bCs/>
                      <w:color w:val="FF0000"/>
                      <w:sz w:val="18"/>
                      <w:szCs w:val="18"/>
                    </w:rPr>
                    <w:t>0.0155</w:t>
                  </w:r>
                </w:p>
              </w:tc>
              <w:tc>
                <w:tcPr>
                  <w:tcW w:w="260"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154" w:type="pct"/>
                  <w:vAlign w:val="center"/>
                </w:tcPr>
                <w:p>
                  <w:pPr>
                    <w:adjustRightInd w:val="0"/>
                    <w:snapToGrid w:val="0"/>
                    <w:jc w:val="center"/>
                    <w:rPr>
                      <w:bCs/>
                      <w:sz w:val="18"/>
                      <w:szCs w:val="18"/>
                    </w:rPr>
                  </w:pPr>
                  <w:r>
                    <w:rPr>
                      <w:bCs/>
                      <w:sz w:val="18"/>
                      <w:szCs w:val="18"/>
                    </w:rPr>
                    <w:t>/</w:t>
                  </w:r>
                </w:p>
              </w:tc>
              <w:tc>
                <w:tcPr>
                  <w:tcW w:w="138" w:type="pct"/>
                  <w:vAlign w:val="center"/>
                </w:tcPr>
                <w:p>
                  <w:pPr>
                    <w:adjustRightInd w:val="0"/>
                    <w:snapToGrid w:val="0"/>
                    <w:jc w:val="center"/>
                    <w:rPr>
                      <w:bCs/>
                      <w:sz w:val="18"/>
                      <w:szCs w:val="18"/>
                    </w:rPr>
                  </w:pPr>
                  <w:r>
                    <w:rPr>
                      <w:bCs/>
                      <w:sz w:val="18"/>
                      <w:szCs w:val="18"/>
                    </w:rPr>
                    <w:t>/</w:t>
                  </w:r>
                </w:p>
              </w:tc>
              <w:tc>
                <w:tcPr>
                  <w:tcW w:w="164" w:type="pct"/>
                  <w:vAlign w:val="center"/>
                </w:tcPr>
                <w:p>
                  <w:pPr>
                    <w:adjustRightInd w:val="0"/>
                    <w:snapToGrid w:val="0"/>
                    <w:jc w:val="center"/>
                    <w:rPr>
                      <w:bCs/>
                      <w:sz w:val="18"/>
                      <w:szCs w:val="18"/>
                    </w:rPr>
                  </w:pPr>
                  <w:r>
                    <w:rPr>
                      <w:bCs/>
                      <w:sz w:val="18"/>
                      <w:szCs w:val="18"/>
                    </w:rPr>
                    <w:t>/</w:t>
                  </w:r>
                </w:p>
              </w:tc>
              <w:tc>
                <w:tcPr>
                  <w:tcW w:w="541" w:type="pct"/>
                  <w:vAlign w:val="center"/>
                </w:tcPr>
                <w:p>
                  <w:pPr>
                    <w:adjustRightInd w:val="0"/>
                    <w:snapToGrid w:val="0"/>
                    <w:jc w:val="center"/>
                    <w:rPr>
                      <w:bCs/>
                      <w:sz w:val="18"/>
                      <w:szCs w:val="18"/>
                    </w:rPr>
                  </w:pPr>
                  <w:r>
                    <w:rPr>
                      <w:bCs/>
                      <w:sz w:val="18"/>
                      <w:szCs w:val="18"/>
                    </w:rPr>
                    <w:t>/</w:t>
                  </w:r>
                </w:p>
              </w:tc>
              <w:tc>
                <w:tcPr>
                  <w:tcW w:w="249" w:type="pct"/>
                  <w:vAlign w:val="center"/>
                </w:tcPr>
                <w:p>
                  <w:pPr>
                    <w:widowControl/>
                    <w:snapToGrid w:val="0"/>
                    <w:jc w:val="center"/>
                    <w:textAlignment w:val="center"/>
                    <w:rPr>
                      <w:bCs/>
                      <w:sz w:val="18"/>
                      <w:szCs w:val="18"/>
                    </w:rPr>
                  </w:pPr>
                  <w:r>
                    <w:rPr>
                      <w:bCs/>
                      <w:sz w:val="18"/>
                      <w:szCs w:val="18"/>
                    </w:rPr>
                    <w:t>1.0</w:t>
                  </w:r>
                </w:p>
              </w:tc>
              <w:tc>
                <w:tcPr>
                  <w:tcW w:w="194" w:type="pct"/>
                  <w:vAlign w:val="center"/>
                </w:tcPr>
                <w:p>
                  <w:pPr>
                    <w:adjustRightInd w:val="0"/>
                    <w:snapToGrid w:val="0"/>
                    <w:jc w:val="center"/>
                    <w:rPr>
                      <w:bCs/>
                      <w:sz w:val="18"/>
                      <w:szCs w:val="18"/>
                    </w:rPr>
                  </w:pPr>
                  <w:r>
                    <w:rPr>
                      <w:bCs/>
                      <w:sz w:val="18"/>
                      <w:szCs w:val="18"/>
                    </w:rPr>
                    <w:t>/</w:t>
                  </w:r>
                </w:p>
              </w:tc>
            </w:tr>
          </w:tbl>
          <w:p>
            <w:pPr>
              <w:adjustRightInd w:val="0"/>
              <w:snapToGrid w:val="0"/>
              <w:spacing w:before="120" w:beforeLines="50" w:line="360" w:lineRule="auto"/>
              <w:ind w:firstLine="480" w:firstLineChars="200"/>
              <w:contextualSpacing/>
              <w:rPr>
                <w:sz w:val="24"/>
              </w:rPr>
            </w:pPr>
            <w:r>
              <w:rPr>
                <w:sz w:val="24"/>
              </w:rPr>
              <w:t>（2）污染源强核算过程</w:t>
            </w:r>
          </w:p>
          <w:p>
            <w:pPr>
              <w:adjustRightInd w:val="0"/>
              <w:snapToGrid w:val="0"/>
              <w:spacing w:before="120" w:beforeLines="50" w:line="360" w:lineRule="auto"/>
              <w:ind w:firstLine="480" w:firstLineChars="200"/>
              <w:contextualSpacing/>
              <w:rPr>
                <w:sz w:val="24"/>
              </w:rPr>
            </w:pPr>
            <w:r>
              <w:rPr>
                <w:sz w:val="24"/>
              </w:rPr>
              <w:t>本项目运营期废气主要为焊接烟尘及打磨抛光粉尘。</w:t>
            </w:r>
          </w:p>
          <w:p>
            <w:pPr>
              <w:pStyle w:val="375"/>
              <w:spacing w:line="360" w:lineRule="auto"/>
              <w:ind w:firstLine="480" w:firstLineChars="200"/>
            </w:pPr>
            <w:r>
              <w:t>1）焊接烟尘</w:t>
            </w:r>
          </w:p>
          <w:p>
            <w:pPr>
              <w:tabs>
                <w:tab w:val="left" w:pos="3375"/>
              </w:tabs>
              <w:spacing w:line="360" w:lineRule="auto"/>
              <w:ind w:firstLine="480" w:firstLineChars="200"/>
              <w:rPr>
                <w:sz w:val="24"/>
              </w:rPr>
            </w:pPr>
            <w:r>
              <w:rPr>
                <w:sz w:val="24"/>
              </w:rPr>
              <w:t>项目在焊接工序中会有少量有毒有害气体和焊接烟尘产生，焊接烟尘主要来自焊条的药皮，少量来自焊芯及被焊工件。焊接烟气中的烟尘是一种十分复杂的物质，已在烟尘中发现的元素多大20种以上，其中含量最多的是Fe、Ca、Na等，其次是Si、Al、Mn、Ti、Cu等。焊接烟尘中的主要有害物质为Fe</w:t>
            </w:r>
            <w:r>
              <w:rPr>
                <w:sz w:val="24"/>
                <w:vertAlign w:val="subscript"/>
              </w:rPr>
              <w:t>2</w:t>
            </w:r>
            <w:r>
              <w:rPr>
                <w:sz w:val="24"/>
              </w:rPr>
              <w:t>O</w:t>
            </w:r>
            <w:r>
              <w:rPr>
                <w:sz w:val="24"/>
                <w:vertAlign w:val="subscript"/>
              </w:rPr>
              <w:t>3</w:t>
            </w:r>
            <w:r>
              <w:rPr>
                <w:sz w:val="24"/>
              </w:rPr>
              <w:t>、SiO</w:t>
            </w:r>
            <w:r>
              <w:rPr>
                <w:sz w:val="24"/>
                <w:vertAlign w:val="subscript"/>
              </w:rPr>
              <w:t>2</w:t>
            </w:r>
            <w:r>
              <w:rPr>
                <w:sz w:val="24"/>
              </w:rPr>
              <w:t>、MnO、HF等，其中含量最多的为Fe</w:t>
            </w:r>
            <w:r>
              <w:rPr>
                <w:sz w:val="24"/>
                <w:vertAlign w:val="subscript"/>
              </w:rPr>
              <w:t>2</w:t>
            </w:r>
            <w:r>
              <w:rPr>
                <w:sz w:val="24"/>
              </w:rPr>
              <w:t>O</w:t>
            </w:r>
            <w:r>
              <w:rPr>
                <w:sz w:val="24"/>
                <w:vertAlign w:val="subscript"/>
              </w:rPr>
              <w:t>3</w:t>
            </w:r>
            <w:r>
              <w:rPr>
                <w:sz w:val="24"/>
              </w:rPr>
              <w:t>，一般占烟尘总量的35.56%，其次是SiO</w:t>
            </w:r>
            <w:r>
              <w:rPr>
                <w:sz w:val="24"/>
                <w:vertAlign w:val="subscript"/>
              </w:rPr>
              <w:t>2</w:t>
            </w:r>
            <w:r>
              <w:rPr>
                <w:sz w:val="24"/>
              </w:rPr>
              <w:t>，其含量占10-20%，MnO占5-20%左右。焊接烟气中有毒有害气体的成分主要为CO、CO</w:t>
            </w:r>
            <w:r>
              <w:rPr>
                <w:sz w:val="24"/>
                <w:vertAlign w:val="subscript"/>
              </w:rPr>
              <w:t>2</w:t>
            </w:r>
            <w:r>
              <w:rPr>
                <w:sz w:val="24"/>
              </w:rPr>
              <w:t>、O</w:t>
            </w:r>
            <w:r>
              <w:rPr>
                <w:sz w:val="24"/>
                <w:vertAlign w:val="subscript"/>
              </w:rPr>
              <w:t>3</w:t>
            </w:r>
            <w:r>
              <w:rPr>
                <w:sz w:val="24"/>
              </w:rPr>
              <w:t>、NO</w:t>
            </w:r>
            <w:r>
              <w:rPr>
                <w:sz w:val="24"/>
                <w:vertAlign w:val="subscript"/>
              </w:rPr>
              <w:t>X</w:t>
            </w:r>
            <w:r>
              <w:rPr>
                <w:sz w:val="24"/>
              </w:rPr>
              <w:t>、CH</w:t>
            </w:r>
            <w:r>
              <w:rPr>
                <w:sz w:val="24"/>
                <w:vertAlign w:val="subscript"/>
              </w:rPr>
              <w:t>4</w:t>
            </w:r>
            <w:r>
              <w:rPr>
                <w:sz w:val="24"/>
              </w:rPr>
              <w:t>等，其中以CO所占的比例最大，有毒有害气体产生量不大，且气体成分复杂，较难定量化。</w:t>
            </w:r>
          </w:p>
          <w:p>
            <w:pPr>
              <w:spacing w:line="360" w:lineRule="auto"/>
              <w:ind w:firstLine="480" w:firstLineChars="200"/>
              <w:rPr>
                <w:sz w:val="24"/>
              </w:rPr>
            </w:pPr>
            <w:r>
              <w:rPr>
                <w:sz w:val="24"/>
              </w:rPr>
              <w:t>根据《焊接技术手册》（王文翰主编）、《焊接车间环境污染及控制技术进展》（上海环境科学）介绍，点焊及二氧化碳保护焊的发尘量见表4-</w:t>
            </w:r>
            <w:r>
              <w:rPr>
                <w:rFonts w:hint="eastAsia"/>
                <w:sz w:val="24"/>
              </w:rPr>
              <w:t>2</w:t>
            </w:r>
            <w:r>
              <w:rPr>
                <w:sz w:val="24"/>
              </w:rPr>
              <w:t>，根据项目的焊接材料的使用情况，项目焊接烟尘具体产生情况见表4-</w:t>
            </w:r>
            <w:r>
              <w:rPr>
                <w:rFonts w:hint="eastAsia"/>
                <w:sz w:val="24"/>
              </w:rPr>
              <w:t>3</w:t>
            </w:r>
            <w:r>
              <w:rPr>
                <w:sz w:val="24"/>
              </w:rPr>
              <w:t>。</w:t>
            </w:r>
          </w:p>
          <w:p>
            <w:pPr>
              <w:pStyle w:val="35"/>
              <w:spacing w:before="0" w:beforeAutospacing="0" w:after="0" w:afterAutospacing="0"/>
              <w:jc w:val="center"/>
              <w:textAlignment w:val="baseline"/>
              <w:rPr>
                <w:rFonts w:ascii="Times New Roman" w:hAnsi="Times New Roman"/>
                <w:b/>
                <w:snapToGrid w:val="0"/>
                <w:spacing w:val="4"/>
                <w:kern w:val="18"/>
                <w:sz w:val="21"/>
                <w:szCs w:val="21"/>
              </w:rPr>
            </w:pPr>
            <w:r>
              <w:rPr>
                <w:rFonts w:ascii="Times New Roman" w:hAnsi="Times New Roman"/>
                <w:b/>
                <w:snapToGrid w:val="0"/>
                <w:spacing w:val="4"/>
                <w:kern w:val="18"/>
                <w:sz w:val="21"/>
                <w:szCs w:val="21"/>
              </w:rPr>
              <w:t>表4-</w:t>
            </w:r>
            <w:r>
              <w:rPr>
                <w:rFonts w:hint="eastAsia" w:ascii="Times New Roman" w:hAnsi="Times New Roman"/>
                <w:b/>
                <w:snapToGrid w:val="0"/>
                <w:spacing w:val="4"/>
                <w:kern w:val="18"/>
                <w:sz w:val="21"/>
                <w:szCs w:val="21"/>
              </w:rPr>
              <w:t>2</w:t>
            </w:r>
            <w:r>
              <w:rPr>
                <w:rFonts w:ascii="Times New Roman" w:hAnsi="Times New Roman"/>
                <w:b/>
                <w:snapToGrid w:val="0"/>
                <w:spacing w:val="4"/>
                <w:kern w:val="18"/>
                <w:sz w:val="21"/>
                <w:szCs w:val="21"/>
              </w:rPr>
              <w:t xml:space="preserve">  焊接工序发尘量</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8"/>
              <w:gridCol w:w="2868"/>
              <w:gridCol w:w="2874"/>
              <w:gridCol w:w="2874"/>
              <w:gridCol w:w="2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vAlign w:val="center"/>
                </w:tcPr>
                <w:p>
                  <w:pPr>
                    <w:jc w:val="center"/>
                    <w:rPr>
                      <w:b/>
                      <w:bCs/>
                      <w:szCs w:val="21"/>
                    </w:rPr>
                  </w:pPr>
                  <w:r>
                    <w:rPr>
                      <w:b/>
                      <w:bCs/>
                      <w:szCs w:val="21"/>
                    </w:rPr>
                    <w:t>焊接方法</w:t>
                  </w:r>
                </w:p>
              </w:tc>
              <w:tc>
                <w:tcPr>
                  <w:tcW w:w="998" w:type="pct"/>
                  <w:vAlign w:val="center"/>
                </w:tcPr>
                <w:p>
                  <w:pPr>
                    <w:jc w:val="center"/>
                    <w:rPr>
                      <w:b/>
                      <w:bCs/>
                      <w:szCs w:val="21"/>
                    </w:rPr>
                  </w:pPr>
                  <w:r>
                    <w:rPr>
                      <w:b/>
                      <w:bCs/>
                      <w:szCs w:val="21"/>
                    </w:rPr>
                    <w:t>焊接材料</w:t>
                  </w:r>
                </w:p>
              </w:tc>
              <w:tc>
                <w:tcPr>
                  <w:tcW w:w="1000" w:type="pct"/>
                  <w:vAlign w:val="center"/>
                </w:tcPr>
                <w:p>
                  <w:pPr>
                    <w:jc w:val="center"/>
                    <w:rPr>
                      <w:b/>
                      <w:bCs/>
                      <w:szCs w:val="21"/>
                    </w:rPr>
                  </w:pPr>
                  <w:r>
                    <w:rPr>
                      <w:b/>
                      <w:bCs/>
                      <w:szCs w:val="21"/>
                    </w:rPr>
                    <w:t>施焊时发尘量（mg/min）</w:t>
                  </w:r>
                </w:p>
              </w:tc>
              <w:tc>
                <w:tcPr>
                  <w:tcW w:w="1000" w:type="pct"/>
                  <w:vAlign w:val="center"/>
                </w:tcPr>
                <w:p>
                  <w:pPr>
                    <w:jc w:val="center"/>
                    <w:rPr>
                      <w:b/>
                      <w:bCs/>
                      <w:szCs w:val="21"/>
                    </w:rPr>
                  </w:pPr>
                  <w:r>
                    <w:rPr>
                      <w:b/>
                      <w:bCs/>
                      <w:szCs w:val="21"/>
                    </w:rPr>
                    <w:t>焊接材料发尘量（g/kg）</w:t>
                  </w:r>
                </w:p>
              </w:tc>
              <w:tc>
                <w:tcPr>
                  <w:tcW w:w="1000" w:type="pct"/>
                  <w:vAlign w:val="center"/>
                </w:tcPr>
                <w:p>
                  <w:pPr>
                    <w:jc w:val="center"/>
                    <w:rPr>
                      <w:b/>
                      <w:bCs/>
                      <w:szCs w:val="21"/>
                    </w:rPr>
                  </w:pPr>
                  <w:r>
                    <w:rPr>
                      <w:b/>
                      <w:bCs/>
                      <w:szCs w:val="21"/>
                    </w:rPr>
                    <w:t>本项目焊丝发尘量（g/kg）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vAlign w:val="center"/>
                </w:tcPr>
                <w:p>
                  <w:pPr>
                    <w:jc w:val="center"/>
                    <w:rPr>
                      <w:szCs w:val="21"/>
                    </w:rPr>
                  </w:pPr>
                  <w:r>
                    <w:rPr>
                      <w:szCs w:val="21"/>
                    </w:rPr>
                    <w:t>二氧化碳焊</w:t>
                  </w:r>
                </w:p>
              </w:tc>
              <w:tc>
                <w:tcPr>
                  <w:tcW w:w="998" w:type="pct"/>
                  <w:vAlign w:val="center"/>
                </w:tcPr>
                <w:p>
                  <w:pPr>
                    <w:jc w:val="center"/>
                    <w:rPr>
                      <w:szCs w:val="21"/>
                    </w:rPr>
                  </w:pPr>
                  <w:r>
                    <w:rPr>
                      <w:szCs w:val="21"/>
                    </w:rPr>
                    <w:t>低碳钢焊丝</w:t>
                  </w:r>
                </w:p>
              </w:tc>
              <w:tc>
                <w:tcPr>
                  <w:tcW w:w="1000" w:type="pct"/>
                  <w:vAlign w:val="center"/>
                </w:tcPr>
                <w:p>
                  <w:pPr>
                    <w:jc w:val="center"/>
                    <w:rPr>
                      <w:szCs w:val="21"/>
                    </w:rPr>
                  </w:pPr>
                  <w:r>
                    <w:rPr>
                      <w:szCs w:val="21"/>
                    </w:rPr>
                    <w:t>450-650</w:t>
                  </w:r>
                </w:p>
              </w:tc>
              <w:tc>
                <w:tcPr>
                  <w:tcW w:w="1000" w:type="pct"/>
                  <w:vAlign w:val="center"/>
                </w:tcPr>
                <w:p>
                  <w:pPr>
                    <w:jc w:val="center"/>
                    <w:rPr>
                      <w:szCs w:val="21"/>
                    </w:rPr>
                  </w:pPr>
                  <w:r>
                    <w:rPr>
                      <w:szCs w:val="21"/>
                    </w:rPr>
                    <w:t>5～8</w:t>
                  </w:r>
                </w:p>
              </w:tc>
              <w:tc>
                <w:tcPr>
                  <w:tcW w:w="1000" w:type="pct"/>
                  <w:vAlign w:val="center"/>
                </w:tcPr>
                <w:p>
                  <w:pPr>
                    <w:jc w:val="center"/>
                    <w:rPr>
                      <w:szCs w:val="21"/>
                    </w:rPr>
                  </w:pPr>
                  <w:r>
                    <w:rPr>
                      <w:szCs w:val="21"/>
                    </w:rPr>
                    <w:t>6</w:t>
                  </w:r>
                </w:p>
              </w:tc>
            </w:tr>
          </w:tbl>
          <w:p>
            <w:pPr>
              <w:pStyle w:val="35"/>
              <w:spacing w:before="0" w:beforeAutospacing="0" w:after="0" w:afterAutospacing="0"/>
              <w:jc w:val="center"/>
              <w:textAlignment w:val="baseline"/>
              <w:rPr>
                <w:rFonts w:ascii="Times New Roman" w:hAnsi="Times New Roman"/>
                <w:b/>
                <w:snapToGrid w:val="0"/>
                <w:spacing w:val="4"/>
                <w:kern w:val="18"/>
                <w:sz w:val="21"/>
                <w:szCs w:val="21"/>
              </w:rPr>
            </w:pPr>
            <w:r>
              <w:rPr>
                <w:rFonts w:ascii="Times New Roman" w:hAnsi="Times New Roman"/>
                <w:b/>
                <w:snapToGrid w:val="0"/>
                <w:spacing w:val="4"/>
                <w:kern w:val="18"/>
                <w:sz w:val="21"/>
                <w:szCs w:val="21"/>
              </w:rPr>
              <w:t>表4-</w:t>
            </w:r>
            <w:r>
              <w:rPr>
                <w:rFonts w:hint="eastAsia" w:ascii="Times New Roman" w:hAnsi="Times New Roman"/>
                <w:b/>
                <w:snapToGrid w:val="0"/>
                <w:spacing w:val="4"/>
                <w:kern w:val="18"/>
                <w:sz w:val="21"/>
                <w:szCs w:val="21"/>
              </w:rPr>
              <w:t>3</w:t>
            </w:r>
            <w:r>
              <w:rPr>
                <w:rFonts w:ascii="Times New Roman" w:hAnsi="Times New Roman"/>
                <w:b/>
                <w:snapToGrid w:val="0"/>
                <w:spacing w:val="4"/>
                <w:kern w:val="18"/>
                <w:sz w:val="21"/>
                <w:szCs w:val="21"/>
              </w:rPr>
              <w:t xml:space="preserve">  本项目焊接烟尘产生量</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88"/>
              <w:gridCol w:w="3589"/>
              <w:gridCol w:w="3595"/>
              <w:gridCol w:w="35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restart"/>
                  <w:vAlign w:val="center"/>
                </w:tcPr>
                <w:p>
                  <w:pPr>
                    <w:jc w:val="center"/>
                    <w:rPr>
                      <w:b/>
                      <w:bCs/>
                      <w:szCs w:val="21"/>
                    </w:rPr>
                  </w:pPr>
                  <w:r>
                    <w:rPr>
                      <w:b/>
                      <w:bCs/>
                      <w:szCs w:val="21"/>
                    </w:rPr>
                    <w:t>焊接方法</w:t>
                  </w:r>
                </w:p>
              </w:tc>
              <w:tc>
                <w:tcPr>
                  <w:tcW w:w="2500" w:type="pct"/>
                  <w:gridSpan w:val="2"/>
                  <w:vAlign w:val="center"/>
                </w:tcPr>
                <w:p>
                  <w:pPr>
                    <w:jc w:val="center"/>
                    <w:rPr>
                      <w:b/>
                      <w:bCs/>
                      <w:szCs w:val="21"/>
                    </w:rPr>
                  </w:pPr>
                  <w:r>
                    <w:rPr>
                      <w:b/>
                      <w:bCs/>
                      <w:szCs w:val="21"/>
                    </w:rPr>
                    <w:t>焊接材料</w:t>
                  </w:r>
                </w:p>
              </w:tc>
              <w:tc>
                <w:tcPr>
                  <w:tcW w:w="1250" w:type="pct"/>
                  <w:vMerge w:val="restart"/>
                  <w:vAlign w:val="center"/>
                </w:tcPr>
                <w:p>
                  <w:pPr>
                    <w:jc w:val="center"/>
                    <w:rPr>
                      <w:szCs w:val="21"/>
                    </w:rPr>
                  </w:pPr>
                  <w:r>
                    <w:rPr>
                      <w:b/>
                      <w:bCs/>
                      <w:szCs w:val="21"/>
                    </w:rPr>
                    <w:t>焊接烟尘产生量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vAlign w:val="center"/>
                </w:tcPr>
                <w:p>
                  <w:pPr>
                    <w:jc w:val="center"/>
                    <w:rPr>
                      <w:b/>
                      <w:bCs/>
                      <w:szCs w:val="21"/>
                    </w:rPr>
                  </w:pPr>
                </w:p>
              </w:tc>
              <w:tc>
                <w:tcPr>
                  <w:tcW w:w="1249" w:type="pct"/>
                  <w:vAlign w:val="center"/>
                </w:tcPr>
                <w:p>
                  <w:pPr>
                    <w:jc w:val="center"/>
                    <w:rPr>
                      <w:b/>
                      <w:bCs/>
                      <w:szCs w:val="21"/>
                    </w:rPr>
                  </w:pPr>
                  <w:r>
                    <w:rPr>
                      <w:b/>
                      <w:bCs/>
                      <w:szCs w:val="21"/>
                    </w:rPr>
                    <w:t>名称</w:t>
                  </w:r>
                </w:p>
              </w:tc>
              <w:tc>
                <w:tcPr>
                  <w:tcW w:w="1251" w:type="pct"/>
                  <w:vAlign w:val="center"/>
                </w:tcPr>
                <w:p>
                  <w:pPr>
                    <w:jc w:val="center"/>
                    <w:rPr>
                      <w:b/>
                      <w:bCs/>
                      <w:szCs w:val="21"/>
                    </w:rPr>
                  </w:pPr>
                  <w:r>
                    <w:rPr>
                      <w:b/>
                      <w:bCs/>
                      <w:szCs w:val="21"/>
                    </w:rPr>
                    <w:t>使用量</w:t>
                  </w:r>
                </w:p>
              </w:tc>
              <w:tc>
                <w:tcPr>
                  <w:tcW w:w="1250"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jc w:val="center"/>
                    <w:rPr>
                      <w:szCs w:val="21"/>
                    </w:rPr>
                  </w:pPr>
                  <w:r>
                    <w:rPr>
                      <w:szCs w:val="21"/>
                    </w:rPr>
                    <w:t>二氧化碳焊</w:t>
                  </w:r>
                </w:p>
              </w:tc>
              <w:tc>
                <w:tcPr>
                  <w:tcW w:w="1249" w:type="pct"/>
                  <w:vAlign w:val="center"/>
                </w:tcPr>
                <w:p>
                  <w:pPr>
                    <w:jc w:val="center"/>
                    <w:rPr>
                      <w:szCs w:val="21"/>
                    </w:rPr>
                  </w:pPr>
                  <w:r>
                    <w:rPr>
                      <w:szCs w:val="21"/>
                    </w:rPr>
                    <w:t>低碳钢焊丝</w:t>
                  </w:r>
                </w:p>
              </w:tc>
              <w:tc>
                <w:tcPr>
                  <w:tcW w:w="1251" w:type="pct"/>
                  <w:vAlign w:val="center"/>
                </w:tcPr>
                <w:p>
                  <w:pPr>
                    <w:jc w:val="center"/>
                    <w:rPr>
                      <w:szCs w:val="21"/>
                    </w:rPr>
                  </w:pPr>
                  <w:r>
                    <w:rPr>
                      <w:szCs w:val="21"/>
                    </w:rPr>
                    <w:t>15t/a</w:t>
                  </w:r>
                </w:p>
              </w:tc>
              <w:tc>
                <w:tcPr>
                  <w:tcW w:w="1250" w:type="pct"/>
                  <w:vAlign w:val="center"/>
                </w:tcPr>
                <w:p>
                  <w:pPr>
                    <w:jc w:val="center"/>
                    <w:rPr>
                      <w:szCs w:val="21"/>
                    </w:rPr>
                  </w:pPr>
                  <w:r>
                    <w:rPr>
                      <w:rFonts w:hint="eastAsia"/>
                      <w:szCs w:val="21"/>
                    </w:rPr>
                    <w:t>0.09t</w:t>
                  </w:r>
                  <w:r>
                    <w:rPr>
                      <w:szCs w:val="21"/>
                    </w:rPr>
                    <w:t>/a</w:t>
                  </w:r>
                </w:p>
              </w:tc>
            </w:tr>
          </w:tbl>
          <w:p>
            <w:pPr>
              <w:spacing w:before="120" w:beforeLines="50" w:line="360" w:lineRule="auto"/>
              <w:ind w:firstLine="482"/>
              <w:rPr>
                <w:sz w:val="24"/>
              </w:rPr>
            </w:pPr>
            <w:r>
              <w:rPr>
                <w:sz w:val="24"/>
              </w:rPr>
              <w:t>现有项目焊料的消耗量为15t/a，焊接烟尘产生量为</w:t>
            </w:r>
            <w:r>
              <w:rPr>
                <w:rFonts w:hint="eastAsia"/>
                <w:sz w:val="24"/>
              </w:rPr>
              <w:t>0.09t</w:t>
            </w:r>
            <w:r>
              <w:rPr>
                <w:sz w:val="24"/>
              </w:rPr>
              <w:t>/a，产生速率为</w:t>
            </w:r>
            <w:r>
              <w:rPr>
                <w:rFonts w:hint="eastAsia"/>
                <w:sz w:val="24"/>
              </w:rPr>
              <w:t>0.0375</w:t>
            </w:r>
            <w:r>
              <w:rPr>
                <w:sz w:val="24"/>
              </w:rPr>
              <w:t>kg/h。</w:t>
            </w:r>
            <w:r>
              <w:rPr>
                <w:color w:val="FF0000"/>
                <w:sz w:val="24"/>
              </w:rPr>
              <w:t>为减少焊接烟尘散发在厂房对员工的影响，本评价要求焊接</w:t>
            </w:r>
            <w:r>
              <w:rPr>
                <w:rFonts w:hint="eastAsia"/>
                <w:color w:val="FF0000"/>
                <w:sz w:val="24"/>
              </w:rPr>
              <w:t>采用固定焊接</w:t>
            </w:r>
            <w:r>
              <w:rPr>
                <w:color w:val="FF0000"/>
                <w:sz w:val="24"/>
              </w:rPr>
              <w:t>工位</w:t>
            </w:r>
            <w:r>
              <w:rPr>
                <w:rFonts w:hint="eastAsia"/>
                <w:color w:val="FF0000"/>
                <w:sz w:val="24"/>
              </w:rPr>
              <w:t>，</w:t>
            </w:r>
            <w:r>
              <w:rPr>
                <w:color w:val="FF0000"/>
                <w:sz w:val="24"/>
              </w:rPr>
              <w:t>烟尘采取含三维空间自动定位的烟气捕集手臂的</w:t>
            </w:r>
            <w:r>
              <w:rPr>
                <w:rFonts w:hint="eastAsia"/>
                <w:color w:val="FF0000"/>
                <w:sz w:val="24"/>
              </w:rPr>
              <w:t>固定</w:t>
            </w:r>
            <w:r>
              <w:rPr>
                <w:color w:val="FF0000"/>
                <w:sz w:val="24"/>
              </w:rPr>
              <w:t>式焊烟净化机组进行处理再</w:t>
            </w:r>
            <w:r>
              <w:rPr>
                <w:rFonts w:hint="eastAsia"/>
                <w:color w:val="FF0000"/>
                <w:sz w:val="24"/>
              </w:rPr>
              <w:t>引至15米高排气筒排放，</w:t>
            </w:r>
            <w:r>
              <w:rPr>
                <w:color w:val="FF0000"/>
                <w:sz w:val="24"/>
              </w:rPr>
              <w:t>机组内采用静电除尘器净化处理，该除尘器净化效率为99%，</w:t>
            </w:r>
            <w:r>
              <w:rPr>
                <w:rFonts w:hint="eastAsia"/>
                <w:color w:val="FF0000"/>
                <w:sz w:val="24"/>
              </w:rPr>
              <w:t>收集效率</w:t>
            </w:r>
            <w:r>
              <w:rPr>
                <w:color w:val="FF0000"/>
                <w:sz w:val="24"/>
              </w:rPr>
              <w:t>按</w:t>
            </w:r>
            <w:r>
              <w:rPr>
                <w:rFonts w:hint="eastAsia"/>
                <w:color w:val="FF0000"/>
                <w:sz w:val="24"/>
              </w:rPr>
              <w:t>90</w:t>
            </w:r>
            <w:r>
              <w:rPr>
                <w:color w:val="FF0000"/>
                <w:sz w:val="24"/>
              </w:rPr>
              <w:t>%计</w:t>
            </w:r>
            <w:r>
              <w:rPr>
                <w:rFonts w:hint="eastAsia"/>
                <w:color w:val="FF0000"/>
                <w:sz w:val="24"/>
              </w:rPr>
              <w:t>，</w:t>
            </w:r>
            <w:r>
              <w:rPr>
                <w:color w:val="FF0000"/>
                <w:sz w:val="24"/>
              </w:rPr>
              <w:t>则</w:t>
            </w:r>
            <w:r>
              <w:rPr>
                <w:rFonts w:hint="eastAsia"/>
                <w:color w:val="FF0000"/>
                <w:sz w:val="24"/>
              </w:rPr>
              <w:t>1</w:t>
            </w:r>
            <w:r>
              <w:rPr>
                <w:color w:val="FF0000"/>
                <w:sz w:val="24"/>
              </w:rPr>
              <w:t>#车间焊接烟尘</w:t>
            </w:r>
            <w:r>
              <w:rPr>
                <w:rFonts w:hint="eastAsia"/>
                <w:color w:val="FF0000"/>
                <w:sz w:val="24"/>
              </w:rPr>
              <w:t>有组织</w:t>
            </w:r>
            <w:r>
              <w:rPr>
                <w:color w:val="FF0000"/>
                <w:sz w:val="24"/>
              </w:rPr>
              <w:t>产生量为</w:t>
            </w:r>
            <w:r>
              <w:rPr>
                <w:rFonts w:hint="eastAsia"/>
                <w:color w:val="FF0000"/>
                <w:sz w:val="24"/>
              </w:rPr>
              <w:t>0.0405</w:t>
            </w:r>
            <w:r>
              <w:rPr>
                <w:color w:val="FF0000"/>
                <w:sz w:val="24"/>
              </w:rPr>
              <w:t>t/a</w:t>
            </w:r>
            <w:r>
              <w:rPr>
                <w:rFonts w:hint="eastAsia"/>
                <w:color w:val="FF0000"/>
                <w:sz w:val="24"/>
              </w:rPr>
              <w:t>、无组织</w:t>
            </w:r>
            <w:r>
              <w:rPr>
                <w:color w:val="FF0000"/>
                <w:sz w:val="24"/>
              </w:rPr>
              <w:t>产生量为</w:t>
            </w:r>
            <w:r>
              <w:rPr>
                <w:rFonts w:hint="eastAsia"/>
                <w:color w:val="FF0000"/>
                <w:sz w:val="24"/>
              </w:rPr>
              <w:t>0.0045</w:t>
            </w:r>
            <w:r>
              <w:rPr>
                <w:color w:val="FF0000"/>
                <w:sz w:val="24"/>
              </w:rPr>
              <w:t>t/a</w:t>
            </w:r>
            <w:r>
              <w:rPr>
                <w:rFonts w:hint="eastAsia"/>
                <w:color w:val="FF0000"/>
                <w:sz w:val="24"/>
              </w:rPr>
              <w:t>；2</w:t>
            </w:r>
            <w:r>
              <w:rPr>
                <w:color w:val="FF0000"/>
                <w:sz w:val="24"/>
              </w:rPr>
              <w:t>#车间焊接烟尘</w:t>
            </w:r>
            <w:r>
              <w:rPr>
                <w:rFonts w:hint="eastAsia"/>
                <w:color w:val="FF0000"/>
                <w:sz w:val="24"/>
              </w:rPr>
              <w:t>有组织</w:t>
            </w:r>
            <w:r>
              <w:rPr>
                <w:color w:val="FF0000"/>
                <w:sz w:val="24"/>
              </w:rPr>
              <w:t>产生量为</w:t>
            </w:r>
            <w:r>
              <w:rPr>
                <w:rFonts w:hint="eastAsia"/>
                <w:color w:val="FF0000"/>
                <w:sz w:val="24"/>
              </w:rPr>
              <w:t>0.0405</w:t>
            </w:r>
            <w:r>
              <w:rPr>
                <w:color w:val="FF0000"/>
                <w:sz w:val="24"/>
              </w:rPr>
              <w:t>t/a</w:t>
            </w:r>
            <w:r>
              <w:rPr>
                <w:rFonts w:hint="eastAsia"/>
                <w:color w:val="FF0000"/>
                <w:sz w:val="24"/>
              </w:rPr>
              <w:t>、无组织</w:t>
            </w:r>
            <w:r>
              <w:rPr>
                <w:color w:val="FF0000"/>
                <w:sz w:val="24"/>
              </w:rPr>
              <w:t>产生量为</w:t>
            </w:r>
            <w:r>
              <w:rPr>
                <w:rFonts w:hint="eastAsia"/>
                <w:color w:val="FF0000"/>
                <w:sz w:val="24"/>
              </w:rPr>
              <w:t>0.0045</w:t>
            </w:r>
            <w:r>
              <w:rPr>
                <w:color w:val="FF0000"/>
                <w:sz w:val="24"/>
              </w:rPr>
              <w:t>t/a</w:t>
            </w:r>
            <w:r>
              <w:rPr>
                <w:rFonts w:hint="eastAsia"/>
                <w:color w:val="FF0000"/>
                <w:sz w:val="24"/>
              </w:rPr>
              <w:t>。</w:t>
            </w:r>
          </w:p>
          <w:p>
            <w:pPr>
              <w:adjustRightInd w:val="0"/>
              <w:snapToGrid w:val="0"/>
              <w:spacing w:before="120" w:beforeLines="50" w:line="360" w:lineRule="auto"/>
              <w:ind w:firstLine="480" w:firstLineChars="200"/>
              <w:contextualSpacing/>
              <w:rPr>
                <w:sz w:val="24"/>
              </w:rPr>
            </w:pPr>
            <w:r>
              <w:rPr>
                <w:sz w:val="24"/>
              </w:rPr>
              <w:t>2）</w:t>
            </w:r>
            <w:r>
              <w:rPr>
                <w:rFonts w:hint="eastAsia"/>
                <w:sz w:val="24"/>
              </w:rPr>
              <w:t>打磨抛光</w:t>
            </w:r>
            <w:r>
              <w:rPr>
                <w:sz w:val="24"/>
              </w:rPr>
              <w:t>粉尘</w:t>
            </w:r>
          </w:p>
          <w:p>
            <w:pPr>
              <w:autoSpaceDE w:val="0"/>
              <w:autoSpaceDN w:val="0"/>
              <w:snapToGrid w:val="0"/>
              <w:spacing w:line="360" w:lineRule="auto"/>
              <w:ind w:firstLine="480"/>
              <w:rPr>
                <w:bCs/>
                <w:color w:val="FF0000"/>
                <w:sz w:val="24"/>
              </w:rPr>
            </w:pPr>
            <w:r>
              <w:rPr>
                <w:sz w:val="24"/>
              </w:rPr>
              <w:t>本项目机加工过程中产生</w:t>
            </w:r>
            <w:r>
              <w:rPr>
                <w:rFonts w:hint="eastAsia"/>
                <w:sz w:val="24"/>
              </w:rPr>
              <w:t>打磨抛光</w:t>
            </w:r>
            <w:r>
              <w:rPr>
                <w:sz w:val="24"/>
              </w:rPr>
              <w:t>粉尘，</w:t>
            </w:r>
            <w:r>
              <w:rPr>
                <w:bCs/>
                <w:sz w:val="24"/>
              </w:rPr>
              <w:t>经类比同类型企业的排污状况，本项目</w:t>
            </w:r>
            <w:r>
              <w:rPr>
                <w:rFonts w:hint="eastAsia"/>
                <w:bCs/>
                <w:sz w:val="24"/>
              </w:rPr>
              <w:t>打磨抛光</w:t>
            </w:r>
            <w:r>
              <w:rPr>
                <w:bCs/>
                <w:sz w:val="24"/>
              </w:rPr>
              <w:t>粉尘的产生量大约为原料年用量的0.01%，用于切割的材料年用量为</w:t>
            </w:r>
            <w:r>
              <w:rPr>
                <w:rFonts w:hint="eastAsia"/>
                <w:bCs/>
                <w:sz w:val="24"/>
              </w:rPr>
              <w:t>2200</w:t>
            </w:r>
            <w:r>
              <w:rPr>
                <w:bCs/>
                <w:sz w:val="24"/>
              </w:rPr>
              <w:t>t，则切割粉尘产生量</w:t>
            </w:r>
            <w:r>
              <w:rPr>
                <w:rFonts w:hint="eastAsia"/>
                <w:bCs/>
                <w:sz w:val="24"/>
              </w:rPr>
              <w:t>约</w:t>
            </w:r>
            <w:r>
              <w:rPr>
                <w:bCs/>
                <w:sz w:val="24"/>
              </w:rPr>
              <w:t>为</w:t>
            </w:r>
            <w:r>
              <w:rPr>
                <w:rFonts w:hint="eastAsia"/>
                <w:bCs/>
                <w:sz w:val="24"/>
              </w:rPr>
              <w:t>0.22</w:t>
            </w:r>
            <w:r>
              <w:rPr>
                <w:bCs/>
                <w:sz w:val="24"/>
              </w:rPr>
              <w:t>t/a，</w:t>
            </w:r>
            <w:r>
              <w:rPr>
                <w:rFonts w:hint="eastAsia"/>
                <w:bCs/>
                <w:color w:val="FF0000"/>
                <w:sz w:val="24"/>
              </w:rPr>
              <w:t>项目设置专门</w:t>
            </w:r>
            <w:r>
              <w:rPr>
                <w:bCs/>
                <w:color w:val="FF0000"/>
                <w:sz w:val="24"/>
              </w:rPr>
              <w:t>的打磨抛光间，打磨抛光粉尘经集气罩收集后经布袋除尘器处理后引至</w:t>
            </w:r>
            <w:r>
              <w:rPr>
                <w:rFonts w:hint="eastAsia"/>
                <w:bCs/>
                <w:color w:val="FF0000"/>
                <w:sz w:val="24"/>
              </w:rPr>
              <w:t>15米</w:t>
            </w:r>
            <w:r>
              <w:rPr>
                <w:rFonts w:hint="eastAsia"/>
                <w:color w:val="FF0000"/>
                <w:sz w:val="24"/>
              </w:rPr>
              <w:t>高排气筒排放，</w:t>
            </w:r>
            <w:r>
              <w:rPr>
                <w:color w:val="FF0000"/>
                <w:sz w:val="24"/>
              </w:rPr>
              <w:t>该除尘器净化效率为99%，</w:t>
            </w:r>
            <w:r>
              <w:rPr>
                <w:rFonts w:hint="eastAsia"/>
                <w:color w:val="FF0000"/>
                <w:sz w:val="24"/>
              </w:rPr>
              <w:t>收集效率</w:t>
            </w:r>
            <w:r>
              <w:rPr>
                <w:color w:val="FF0000"/>
                <w:sz w:val="24"/>
              </w:rPr>
              <w:t>按</w:t>
            </w:r>
            <w:r>
              <w:rPr>
                <w:rFonts w:hint="eastAsia"/>
                <w:color w:val="FF0000"/>
                <w:sz w:val="24"/>
              </w:rPr>
              <w:t>90</w:t>
            </w:r>
            <w:r>
              <w:rPr>
                <w:color w:val="FF0000"/>
                <w:sz w:val="24"/>
              </w:rPr>
              <w:t>%计</w:t>
            </w:r>
            <w:r>
              <w:rPr>
                <w:rFonts w:hint="eastAsia"/>
                <w:color w:val="FF0000"/>
                <w:sz w:val="24"/>
              </w:rPr>
              <w:t>，</w:t>
            </w:r>
            <w:r>
              <w:rPr>
                <w:color w:val="FF0000"/>
                <w:sz w:val="24"/>
              </w:rPr>
              <w:t>则</w:t>
            </w:r>
            <w:r>
              <w:rPr>
                <w:rFonts w:hint="eastAsia"/>
                <w:color w:val="FF0000"/>
                <w:sz w:val="24"/>
              </w:rPr>
              <w:t>1</w:t>
            </w:r>
            <w:r>
              <w:rPr>
                <w:color w:val="FF0000"/>
                <w:sz w:val="24"/>
              </w:rPr>
              <w:t>#车间</w:t>
            </w:r>
            <w:r>
              <w:rPr>
                <w:rFonts w:hint="eastAsia"/>
                <w:color w:val="FF0000"/>
                <w:sz w:val="24"/>
              </w:rPr>
              <w:t>打磨抛光</w:t>
            </w:r>
            <w:r>
              <w:rPr>
                <w:color w:val="FF0000"/>
                <w:sz w:val="24"/>
              </w:rPr>
              <w:t>粉尘</w:t>
            </w:r>
            <w:r>
              <w:rPr>
                <w:rFonts w:hint="eastAsia"/>
                <w:color w:val="FF0000"/>
                <w:sz w:val="24"/>
              </w:rPr>
              <w:t>有组织</w:t>
            </w:r>
            <w:r>
              <w:rPr>
                <w:color w:val="FF0000"/>
                <w:sz w:val="24"/>
              </w:rPr>
              <w:t>产生量为</w:t>
            </w:r>
            <w:r>
              <w:rPr>
                <w:rFonts w:hint="eastAsia"/>
                <w:color w:val="FF0000"/>
                <w:sz w:val="24"/>
              </w:rPr>
              <w:t>0.099</w:t>
            </w:r>
            <w:r>
              <w:rPr>
                <w:color w:val="FF0000"/>
                <w:sz w:val="24"/>
              </w:rPr>
              <w:t>t/a</w:t>
            </w:r>
            <w:r>
              <w:rPr>
                <w:rFonts w:hint="eastAsia"/>
                <w:color w:val="FF0000"/>
                <w:sz w:val="24"/>
              </w:rPr>
              <w:t>、无组织</w:t>
            </w:r>
            <w:r>
              <w:rPr>
                <w:color w:val="FF0000"/>
                <w:sz w:val="24"/>
              </w:rPr>
              <w:t>产生量为</w:t>
            </w:r>
            <w:r>
              <w:rPr>
                <w:rFonts w:hint="eastAsia"/>
                <w:color w:val="FF0000"/>
                <w:sz w:val="24"/>
              </w:rPr>
              <w:t>0.0</w:t>
            </w:r>
            <w:r>
              <w:rPr>
                <w:color w:val="FF0000"/>
                <w:sz w:val="24"/>
              </w:rPr>
              <w:t>11t/a</w:t>
            </w:r>
            <w:r>
              <w:rPr>
                <w:rFonts w:hint="eastAsia"/>
                <w:color w:val="FF0000"/>
                <w:sz w:val="24"/>
              </w:rPr>
              <w:t>；2</w:t>
            </w:r>
            <w:r>
              <w:rPr>
                <w:color w:val="FF0000"/>
                <w:sz w:val="24"/>
              </w:rPr>
              <w:t>#车间</w:t>
            </w:r>
            <w:r>
              <w:rPr>
                <w:rFonts w:hint="eastAsia"/>
                <w:color w:val="FF0000"/>
                <w:sz w:val="24"/>
              </w:rPr>
              <w:t>打磨抛光</w:t>
            </w:r>
            <w:r>
              <w:rPr>
                <w:color w:val="FF0000"/>
                <w:sz w:val="24"/>
              </w:rPr>
              <w:t>粉尘</w:t>
            </w:r>
            <w:r>
              <w:rPr>
                <w:rFonts w:hint="eastAsia"/>
                <w:color w:val="FF0000"/>
                <w:sz w:val="24"/>
              </w:rPr>
              <w:t>有组织</w:t>
            </w:r>
            <w:r>
              <w:rPr>
                <w:color w:val="FF0000"/>
                <w:sz w:val="24"/>
              </w:rPr>
              <w:t>产生量为</w:t>
            </w:r>
            <w:r>
              <w:rPr>
                <w:rFonts w:hint="eastAsia"/>
                <w:color w:val="FF0000"/>
                <w:sz w:val="24"/>
              </w:rPr>
              <w:t>0.099</w:t>
            </w:r>
            <w:r>
              <w:rPr>
                <w:color w:val="FF0000"/>
                <w:sz w:val="24"/>
              </w:rPr>
              <w:t>t/a</w:t>
            </w:r>
            <w:r>
              <w:rPr>
                <w:rFonts w:hint="eastAsia"/>
                <w:color w:val="FF0000"/>
                <w:sz w:val="24"/>
              </w:rPr>
              <w:t>、无组织</w:t>
            </w:r>
            <w:r>
              <w:rPr>
                <w:color w:val="FF0000"/>
                <w:sz w:val="24"/>
              </w:rPr>
              <w:t>产生量为</w:t>
            </w:r>
            <w:r>
              <w:rPr>
                <w:rFonts w:hint="eastAsia"/>
                <w:color w:val="FF0000"/>
                <w:sz w:val="24"/>
              </w:rPr>
              <w:t>0.0</w:t>
            </w:r>
            <w:r>
              <w:rPr>
                <w:color w:val="FF0000"/>
                <w:sz w:val="24"/>
              </w:rPr>
              <w:t>11t/a</w:t>
            </w:r>
            <w:r>
              <w:rPr>
                <w:rFonts w:hint="eastAsia"/>
                <w:color w:val="FF0000"/>
                <w:sz w:val="24"/>
              </w:rPr>
              <w:t>。</w:t>
            </w:r>
          </w:p>
          <w:p>
            <w:pPr>
              <w:spacing w:line="360" w:lineRule="auto"/>
              <w:ind w:firstLine="480" w:firstLineChars="200"/>
              <w:rPr>
                <w:sz w:val="24"/>
              </w:rPr>
            </w:pPr>
            <w:r>
              <w:rPr>
                <w:sz w:val="24"/>
              </w:rPr>
              <w:t>（3）废气治理设施可行性分析</w:t>
            </w:r>
          </w:p>
          <w:p>
            <w:pPr>
              <w:spacing w:line="360" w:lineRule="auto"/>
              <w:ind w:firstLine="482"/>
              <w:rPr>
                <w:sz w:val="24"/>
              </w:rPr>
            </w:pPr>
            <w:r>
              <w:rPr>
                <w:sz w:val="24"/>
              </w:rPr>
              <w:t>根据上述分析，本项目焊接烟尘采用</w:t>
            </w:r>
            <w:r>
              <w:rPr>
                <w:rFonts w:hint="eastAsia"/>
                <w:sz w:val="24"/>
              </w:rPr>
              <w:t>固定</w:t>
            </w:r>
            <w:r>
              <w:rPr>
                <w:sz w:val="24"/>
              </w:rPr>
              <w:t>式焊烟净化机组处理，其处理原理是通过风机引力作用，焊烟废气经万向吸尘罩吸入设备进风口，设备进风口处设有阻火器，火花经阻火器被阻留，烟尘气体进入沉降室，利用重力与上行气流，首先将</w:t>
            </w:r>
            <w:r>
              <w:fldChar w:fldCharType="begin"/>
            </w:r>
            <w:r>
              <w:instrText xml:space="preserve"> HYPERLINK "https://baike.so.com/doc/481833-510236.html" \t "https://baike.so.com/doc/_blank" </w:instrText>
            </w:r>
            <w:r>
              <w:fldChar w:fldCharType="separate"/>
            </w:r>
            <w:r>
              <w:rPr>
                <w:sz w:val="24"/>
              </w:rPr>
              <w:t>粗粒</w:t>
            </w:r>
            <w:r>
              <w:rPr>
                <w:sz w:val="24"/>
              </w:rPr>
              <w:fldChar w:fldCharType="end"/>
            </w:r>
            <w:r>
              <w:rPr>
                <w:sz w:val="24"/>
              </w:rPr>
              <w:t>尘直接降至灰斗，微粒烟尘被滤芯捕集在外表面，洁净气体经滤芯过滤净化后，由滤芯中心流入洁净室，洁净空气又经</w:t>
            </w:r>
            <w:r>
              <w:fldChar w:fldCharType="begin"/>
            </w:r>
            <w:r>
              <w:instrText xml:space="preserve"> HYPERLINK "https://baike.so.com/doc/8464426-8784494.html" \t "https://baike.so.com/doc/_blank" </w:instrText>
            </w:r>
            <w:r>
              <w:fldChar w:fldCharType="separate"/>
            </w:r>
            <w:r>
              <w:rPr>
                <w:sz w:val="24"/>
              </w:rPr>
              <w:t>活性碳过滤器</w:t>
            </w:r>
            <w:r>
              <w:rPr>
                <w:sz w:val="24"/>
              </w:rPr>
              <w:fldChar w:fldCharType="end"/>
            </w:r>
            <w:r>
              <w:rPr>
                <w:sz w:val="24"/>
              </w:rPr>
              <w:t>吸附进一步净化后经出风口达标排出。本项目使用的</w:t>
            </w:r>
            <w:r>
              <w:rPr>
                <w:rFonts w:hint="eastAsia"/>
                <w:sz w:val="24"/>
              </w:rPr>
              <w:t>固定</w:t>
            </w:r>
            <w:r>
              <w:rPr>
                <w:sz w:val="24"/>
              </w:rPr>
              <w:t>式焊烟净化机组收集效率为90%，处理效率高达99%</w:t>
            </w:r>
            <w:r>
              <w:rPr>
                <w:rFonts w:hint="eastAsia"/>
                <w:sz w:val="24"/>
              </w:rPr>
              <w:t>。</w:t>
            </w:r>
          </w:p>
          <w:p>
            <w:pPr>
              <w:spacing w:line="360" w:lineRule="auto"/>
              <w:ind w:firstLine="482"/>
              <w:rPr>
                <w:color w:val="FF0000"/>
                <w:sz w:val="24"/>
              </w:rPr>
            </w:pPr>
            <w:r>
              <w:rPr>
                <w:rFonts w:hint="eastAsia"/>
                <w:color w:val="FF0000"/>
                <w:sz w:val="24"/>
              </w:rPr>
              <w:t>布袋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r>
              <w:rPr>
                <w:color w:val="FF0000"/>
                <w:sz w:val="24"/>
              </w:rPr>
              <w:t>。本项目使用</w:t>
            </w:r>
            <w:r>
              <w:rPr>
                <w:rFonts w:hint="eastAsia"/>
                <w:color w:val="FF0000"/>
                <w:sz w:val="24"/>
              </w:rPr>
              <w:t>布袋除尘器</w:t>
            </w:r>
            <w:r>
              <w:rPr>
                <w:color w:val="FF0000"/>
                <w:sz w:val="24"/>
              </w:rPr>
              <w:t>收集效率为90%，处理效率高达99%</w:t>
            </w:r>
            <w:r>
              <w:rPr>
                <w:rFonts w:hint="eastAsia"/>
                <w:color w:val="FF0000"/>
                <w:sz w:val="24"/>
              </w:rPr>
              <w:t>。</w:t>
            </w:r>
          </w:p>
          <w:p>
            <w:pPr>
              <w:spacing w:line="360" w:lineRule="auto"/>
              <w:ind w:firstLine="482"/>
              <w:rPr>
                <w:color w:val="FF0000"/>
                <w:sz w:val="24"/>
              </w:rPr>
            </w:pPr>
            <w:r>
              <w:rPr>
                <w:color w:val="FF0000"/>
                <w:sz w:val="24"/>
              </w:rPr>
              <w:t>建设单位在厂房安装排风设施加强通风，减小烟尘对车间内工作环境的影响，厂界的烟尘浓度能够满足《大气污染物综合排放标准》（GB16297-1996）表2中无组织排放监控浓度限值要求。</w:t>
            </w:r>
          </w:p>
          <w:p>
            <w:pPr>
              <w:pStyle w:val="231"/>
              <w:spacing w:line="360" w:lineRule="auto"/>
              <w:ind w:firstLine="480" w:firstLineChars="200"/>
              <w:rPr>
                <w:rFonts w:ascii="Times New Roman" w:cs="Times New Roman"/>
                <w:color w:val="auto"/>
                <w:kern w:val="21"/>
                <w:sz w:val="21"/>
                <w:szCs w:val="21"/>
              </w:rPr>
            </w:pPr>
            <w:r>
              <w:rPr>
                <w:rFonts w:ascii="Times New Roman" w:cs="Times New Roman"/>
                <w:color w:val="auto"/>
              </w:rPr>
              <w:t>项目废气均得到有效的处置，废气治理措施均采用普遍、经验较成熟的方案，且均为《污染防治可行技术指南》、《排污许可技术规范中可行技术》中可行技术，废气可以实现稳定达标排放，符合相关环境标准。因此本项目大气防治措施是可行的。项目各项污染物排放均可满足相关排放标准，对周边环境影响较小</w:t>
            </w:r>
            <w:r>
              <w:rPr>
                <w:rFonts w:ascii="Times New Roman" w:cs="Times New Roman"/>
                <w:color w:val="auto"/>
                <w:spacing w:val="-4"/>
                <w:sz w:val="21"/>
                <w:szCs w:val="21"/>
              </w:rPr>
              <w:t>。</w:t>
            </w:r>
          </w:p>
          <w:p>
            <w:pPr>
              <w:spacing w:line="360" w:lineRule="auto"/>
              <w:ind w:firstLine="480" w:firstLineChars="200"/>
              <w:rPr>
                <w:b/>
                <w:color w:val="FF0000"/>
                <w:kern w:val="0"/>
                <w:sz w:val="24"/>
              </w:rPr>
            </w:pPr>
            <w:r>
              <w:rPr>
                <w:color w:val="FF0000"/>
                <w:sz w:val="24"/>
              </w:rPr>
              <w:t>（</w:t>
            </w:r>
            <w:r>
              <w:rPr>
                <w:rFonts w:hint="eastAsia"/>
                <w:color w:val="FF0000"/>
                <w:sz w:val="24"/>
              </w:rPr>
              <w:t>4</w:t>
            </w:r>
            <w:r>
              <w:rPr>
                <w:color w:val="FF0000"/>
                <w:sz w:val="24"/>
              </w:rPr>
              <w:t>）废气监测要求</w:t>
            </w:r>
            <w:commentRangeStart w:id="3"/>
          </w:p>
          <w:p>
            <w:pPr>
              <w:autoSpaceDE w:val="0"/>
              <w:autoSpaceDN w:val="0"/>
              <w:spacing w:line="360" w:lineRule="auto"/>
              <w:ind w:firstLine="480" w:firstLineChars="200"/>
              <w:rPr>
                <w:b/>
                <w:bCs/>
                <w:szCs w:val="21"/>
              </w:rPr>
            </w:pPr>
            <w:r>
              <w:rPr>
                <w:sz w:val="24"/>
                <w:lang w:val="zh-CN"/>
              </w:rPr>
              <w:t>建设单位应定期委托有检测资质单位对废气污染源进行监测。</w:t>
            </w:r>
            <w:r>
              <w:rPr>
                <w:kern w:val="0"/>
                <w:sz w:val="24"/>
                <w:szCs w:val="22"/>
              </w:rPr>
              <w:t>根据</w:t>
            </w:r>
            <w:r>
              <w:rPr>
                <w:rFonts w:hint="eastAsia"/>
                <w:color w:val="FF0000"/>
                <w:kern w:val="0"/>
                <w:sz w:val="24"/>
                <w:szCs w:val="22"/>
              </w:rPr>
              <w:t>《排污许可证申请与核发技术规范 汽车制造业》（</w:t>
            </w:r>
            <w:r>
              <w:rPr>
                <w:color w:val="FF0000"/>
                <w:kern w:val="0"/>
                <w:sz w:val="24"/>
                <w:szCs w:val="22"/>
              </w:rPr>
              <w:t>HJ 971-2018</w:t>
            </w:r>
            <w:r>
              <w:rPr>
                <w:rFonts w:hint="eastAsia"/>
                <w:color w:val="FF0000"/>
                <w:kern w:val="0"/>
                <w:sz w:val="24"/>
                <w:szCs w:val="22"/>
              </w:rPr>
              <w:t>）</w:t>
            </w:r>
            <w:commentRangeEnd w:id="3"/>
            <w:r>
              <w:commentReference w:id="3"/>
            </w:r>
            <w:r>
              <w:rPr>
                <w:kern w:val="0"/>
                <w:sz w:val="24"/>
                <w:szCs w:val="22"/>
              </w:rPr>
              <w:t>，制定本项目大气监测计划如下：</w:t>
            </w:r>
          </w:p>
          <w:p>
            <w:pPr>
              <w:autoSpaceDE w:val="0"/>
              <w:autoSpaceDN w:val="0"/>
              <w:spacing w:before="120" w:beforeLines="50"/>
              <w:jc w:val="center"/>
              <w:rPr>
                <w:b/>
                <w:bCs/>
                <w:color w:val="FF0000"/>
                <w:szCs w:val="21"/>
                <w:lang w:val="zh-CN"/>
              </w:rPr>
            </w:pPr>
            <w:r>
              <w:rPr>
                <w:b/>
                <w:bCs/>
                <w:color w:val="FF0000"/>
                <w:szCs w:val="21"/>
                <w:lang w:val="zh-CN"/>
              </w:rPr>
              <w:t>表</w:t>
            </w:r>
            <w:r>
              <w:rPr>
                <w:b/>
                <w:bCs/>
                <w:color w:val="FF0000"/>
                <w:szCs w:val="21"/>
              </w:rPr>
              <w:t xml:space="preserve">4-4  </w:t>
            </w:r>
            <w:r>
              <w:rPr>
                <w:b/>
                <w:bCs/>
                <w:color w:val="FF0000"/>
                <w:szCs w:val="21"/>
                <w:lang w:val="zh-CN"/>
              </w:rPr>
              <w:t>废气监测计划一览表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2569"/>
              <w:gridCol w:w="2569"/>
              <w:gridCol w:w="1224"/>
              <w:gridCol w:w="8008"/>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26" w:hRule="atLeast"/>
                <w:jc w:val="center"/>
              </w:trPr>
              <w:tc>
                <w:tcPr>
                  <w:tcW w:w="2569" w:type="dxa"/>
                  <w:vAlign w:val="center"/>
                </w:tcPr>
                <w:p>
                  <w:pPr>
                    <w:snapToGrid w:val="0"/>
                    <w:spacing w:line="240" w:lineRule="atLeast"/>
                    <w:jc w:val="center"/>
                    <w:rPr>
                      <w:b/>
                      <w:bCs/>
                      <w:szCs w:val="21"/>
                    </w:rPr>
                  </w:pPr>
                  <w:r>
                    <w:rPr>
                      <w:b/>
                      <w:bCs/>
                      <w:szCs w:val="21"/>
                    </w:rPr>
                    <w:t>监测点位</w:t>
                  </w:r>
                </w:p>
              </w:tc>
              <w:tc>
                <w:tcPr>
                  <w:tcW w:w="2569" w:type="dxa"/>
                  <w:vAlign w:val="center"/>
                </w:tcPr>
                <w:p>
                  <w:pPr>
                    <w:snapToGrid w:val="0"/>
                    <w:spacing w:line="240" w:lineRule="atLeast"/>
                    <w:jc w:val="center"/>
                    <w:rPr>
                      <w:b/>
                      <w:bCs/>
                      <w:szCs w:val="21"/>
                    </w:rPr>
                  </w:pPr>
                  <w:r>
                    <w:rPr>
                      <w:b/>
                      <w:bCs/>
                      <w:szCs w:val="21"/>
                    </w:rPr>
                    <w:t>监测指标</w:t>
                  </w:r>
                </w:p>
              </w:tc>
              <w:tc>
                <w:tcPr>
                  <w:tcW w:w="1224" w:type="dxa"/>
                  <w:vAlign w:val="center"/>
                </w:tcPr>
                <w:p>
                  <w:pPr>
                    <w:snapToGrid w:val="0"/>
                    <w:spacing w:line="240" w:lineRule="atLeast"/>
                    <w:jc w:val="center"/>
                    <w:rPr>
                      <w:b/>
                      <w:bCs/>
                      <w:szCs w:val="21"/>
                    </w:rPr>
                  </w:pPr>
                  <w:r>
                    <w:rPr>
                      <w:b/>
                      <w:bCs/>
                      <w:szCs w:val="21"/>
                    </w:rPr>
                    <w:t>监测频次</w:t>
                  </w:r>
                </w:p>
              </w:tc>
              <w:tc>
                <w:tcPr>
                  <w:tcW w:w="8008" w:type="dxa"/>
                  <w:vAlign w:val="center"/>
                </w:tcPr>
                <w:p>
                  <w:pPr>
                    <w:snapToGrid w:val="0"/>
                    <w:spacing w:line="240" w:lineRule="atLeast"/>
                    <w:jc w:val="center"/>
                    <w:rPr>
                      <w:b/>
                      <w:bCs/>
                      <w:szCs w:val="21"/>
                    </w:rPr>
                  </w:pPr>
                  <w:r>
                    <w:rPr>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67" w:hRule="atLeast"/>
                <w:jc w:val="center"/>
              </w:trPr>
              <w:tc>
                <w:tcPr>
                  <w:tcW w:w="2569" w:type="dxa"/>
                  <w:vAlign w:val="center"/>
                </w:tcPr>
                <w:p>
                  <w:pPr>
                    <w:jc w:val="center"/>
                    <w:rPr>
                      <w:szCs w:val="21"/>
                    </w:rPr>
                  </w:pPr>
                  <w:r>
                    <w:rPr>
                      <w:rFonts w:hint="eastAsia"/>
                      <w:bCs/>
                      <w:color w:val="FF0000"/>
                      <w:sz w:val="18"/>
                      <w:szCs w:val="18"/>
                    </w:rPr>
                    <w:t>D</w:t>
                  </w:r>
                  <w:r>
                    <w:rPr>
                      <w:bCs/>
                      <w:color w:val="FF0000"/>
                      <w:sz w:val="18"/>
                      <w:szCs w:val="18"/>
                    </w:rPr>
                    <w:t>A001 1#</w:t>
                  </w:r>
                  <w:r>
                    <w:rPr>
                      <w:rFonts w:hint="eastAsia"/>
                      <w:bCs/>
                      <w:color w:val="FF0000"/>
                      <w:sz w:val="18"/>
                      <w:szCs w:val="18"/>
                    </w:rPr>
                    <w:t>车间</w:t>
                  </w:r>
                  <w:r>
                    <w:rPr>
                      <w:bCs/>
                      <w:color w:val="FF0000"/>
                      <w:sz w:val="18"/>
                      <w:szCs w:val="18"/>
                    </w:rPr>
                    <w:t>排气筒</w:t>
                  </w:r>
                </w:p>
              </w:tc>
              <w:tc>
                <w:tcPr>
                  <w:tcW w:w="2569" w:type="dxa"/>
                  <w:vAlign w:val="center"/>
                </w:tcPr>
                <w:p>
                  <w:pPr>
                    <w:pStyle w:val="39"/>
                    <w:tabs>
                      <w:tab w:val="left" w:pos="420"/>
                      <w:tab w:val="left" w:pos="870"/>
                      <w:tab w:val="left" w:pos="3150"/>
                    </w:tabs>
                    <w:snapToGrid w:val="0"/>
                    <w:spacing w:after="0" w:line="240" w:lineRule="atLeast"/>
                    <w:ind w:left="0" w:leftChars="0" w:firstLine="0" w:firstLineChars="0"/>
                    <w:jc w:val="center"/>
                    <w:rPr>
                      <w:color w:val="FF0000"/>
                      <w:szCs w:val="21"/>
                    </w:rPr>
                  </w:pPr>
                  <w:r>
                    <w:rPr>
                      <w:color w:val="FF0000"/>
                      <w:szCs w:val="21"/>
                    </w:rPr>
                    <w:t>颗粒物</w:t>
                  </w:r>
                </w:p>
              </w:tc>
              <w:tc>
                <w:tcPr>
                  <w:tcW w:w="1224" w:type="dxa"/>
                  <w:vAlign w:val="center"/>
                </w:tcPr>
                <w:p>
                  <w:pPr>
                    <w:snapToGrid w:val="0"/>
                    <w:spacing w:line="240" w:lineRule="atLeast"/>
                    <w:jc w:val="center"/>
                    <w:rPr>
                      <w:color w:val="FF0000"/>
                      <w:szCs w:val="21"/>
                    </w:rPr>
                  </w:pPr>
                  <w:r>
                    <w:rPr>
                      <w:rFonts w:hint="eastAsia"/>
                      <w:color w:val="FF0000"/>
                      <w:szCs w:val="21"/>
                    </w:rPr>
                    <w:t>1次/年</w:t>
                  </w:r>
                </w:p>
              </w:tc>
              <w:tc>
                <w:tcPr>
                  <w:tcW w:w="8008" w:type="dxa"/>
                  <w:vAlign w:val="center"/>
                </w:tcPr>
                <w:p>
                  <w:pPr>
                    <w:snapToGrid w:val="0"/>
                    <w:spacing w:line="240" w:lineRule="atLeast"/>
                    <w:jc w:val="center"/>
                    <w:rPr>
                      <w:color w:val="FF0000"/>
                      <w:szCs w:val="21"/>
                    </w:rPr>
                  </w:pPr>
                  <w:r>
                    <w:rPr>
                      <w:rFonts w:hint="eastAsia"/>
                      <w:color w:val="FF0000"/>
                      <w:szCs w:val="21"/>
                    </w:rPr>
                    <w:t>《大气污染物综合排放标准》（GB16297-1996）表2中二级标准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267" w:hRule="atLeast"/>
                <w:jc w:val="center"/>
              </w:trPr>
              <w:tc>
                <w:tcPr>
                  <w:tcW w:w="2569" w:type="dxa"/>
                  <w:vAlign w:val="center"/>
                </w:tcPr>
                <w:p>
                  <w:pPr>
                    <w:jc w:val="center"/>
                    <w:rPr>
                      <w:szCs w:val="21"/>
                    </w:rPr>
                  </w:pPr>
                  <w:r>
                    <w:rPr>
                      <w:rFonts w:hint="eastAsia"/>
                      <w:bCs/>
                      <w:color w:val="FF0000"/>
                      <w:sz w:val="18"/>
                      <w:szCs w:val="18"/>
                    </w:rPr>
                    <w:t>D</w:t>
                  </w:r>
                  <w:r>
                    <w:rPr>
                      <w:bCs/>
                      <w:color w:val="FF0000"/>
                      <w:sz w:val="18"/>
                      <w:szCs w:val="18"/>
                    </w:rPr>
                    <w:t>A002 2#</w:t>
                  </w:r>
                  <w:r>
                    <w:rPr>
                      <w:rFonts w:hint="eastAsia"/>
                      <w:bCs/>
                      <w:color w:val="FF0000"/>
                      <w:sz w:val="18"/>
                      <w:szCs w:val="18"/>
                    </w:rPr>
                    <w:t>车间</w:t>
                  </w:r>
                  <w:r>
                    <w:rPr>
                      <w:bCs/>
                      <w:color w:val="FF0000"/>
                      <w:sz w:val="18"/>
                      <w:szCs w:val="18"/>
                    </w:rPr>
                    <w:t>排气筒</w:t>
                  </w:r>
                </w:p>
              </w:tc>
              <w:tc>
                <w:tcPr>
                  <w:tcW w:w="2569" w:type="dxa"/>
                  <w:vAlign w:val="center"/>
                </w:tcPr>
                <w:p>
                  <w:pPr>
                    <w:pStyle w:val="39"/>
                    <w:tabs>
                      <w:tab w:val="left" w:pos="420"/>
                      <w:tab w:val="left" w:pos="870"/>
                      <w:tab w:val="left" w:pos="3150"/>
                    </w:tabs>
                    <w:snapToGrid w:val="0"/>
                    <w:spacing w:after="0" w:line="240" w:lineRule="atLeast"/>
                    <w:ind w:left="0" w:leftChars="0" w:firstLine="0" w:firstLineChars="0"/>
                    <w:jc w:val="center"/>
                    <w:rPr>
                      <w:color w:val="FF0000"/>
                      <w:szCs w:val="21"/>
                    </w:rPr>
                  </w:pPr>
                  <w:r>
                    <w:rPr>
                      <w:color w:val="FF0000"/>
                      <w:szCs w:val="21"/>
                    </w:rPr>
                    <w:t>颗粒物</w:t>
                  </w:r>
                </w:p>
              </w:tc>
              <w:tc>
                <w:tcPr>
                  <w:tcW w:w="1224" w:type="dxa"/>
                  <w:vAlign w:val="center"/>
                </w:tcPr>
                <w:p>
                  <w:pPr>
                    <w:snapToGrid w:val="0"/>
                    <w:spacing w:line="240" w:lineRule="atLeast"/>
                    <w:jc w:val="center"/>
                    <w:rPr>
                      <w:color w:val="FF0000"/>
                      <w:szCs w:val="21"/>
                    </w:rPr>
                  </w:pPr>
                  <w:r>
                    <w:rPr>
                      <w:rFonts w:hint="eastAsia"/>
                      <w:color w:val="FF0000"/>
                      <w:szCs w:val="21"/>
                    </w:rPr>
                    <w:t>1次/年</w:t>
                  </w:r>
                </w:p>
              </w:tc>
              <w:tc>
                <w:tcPr>
                  <w:tcW w:w="8008" w:type="dxa"/>
                  <w:vAlign w:val="center"/>
                </w:tcPr>
                <w:p>
                  <w:pPr>
                    <w:snapToGrid w:val="0"/>
                    <w:spacing w:line="240" w:lineRule="atLeast"/>
                    <w:jc w:val="center"/>
                    <w:rPr>
                      <w:szCs w:val="21"/>
                    </w:rPr>
                  </w:pPr>
                  <w:r>
                    <w:rPr>
                      <w:rFonts w:hint="eastAsia"/>
                      <w:color w:val="FF0000"/>
                      <w:szCs w:val="21"/>
                    </w:rPr>
                    <w:t>《大气污染物综合排放标准》（GB16297-1996）表2中二级标准</w:t>
                  </w:r>
                </w:p>
              </w:tc>
            </w:tr>
          </w:tbl>
          <w:p>
            <w:pPr>
              <w:pStyle w:val="4"/>
              <w:ind w:firstLine="482" w:firstLineChars="200"/>
              <w:rPr>
                <w:rFonts w:ascii="Times New Roman"/>
              </w:rPr>
            </w:pPr>
            <w:r>
              <w:rPr>
                <w:rFonts w:ascii="Times New Roman"/>
              </w:rPr>
              <w:t>2、废水</w:t>
            </w:r>
          </w:p>
          <w:p>
            <w:pPr>
              <w:spacing w:line="360" w:lineRule="auto"/>
              <w:ind w:firstLine="482"/>
              <w:rPr>
                <w:sz w:val="24"/>
              </w:rPr>
            </w:pPr>
            <w:r>
              <w:rPr>
                <w:sz w:val="24"/>
              </w:rPr>
              <w:t>（1）废水污染源情况</w:t>
            </w:r>
          </w:p>
          <w:p>
            <w:pPr>
              <w:autoSpaceDE w:val="0"/>
              <w:autoSpaceDN w:val="0"/>
              <w:jc w:val="center"/>
              <w:rPr>
                <w:b/>
                <w:bCs/>
                <w:szCs w:val="21"/>
                <w:lang w:val="zh-CN"/>
              </w:rPr>
            </w:pPr>
            <w:r>
              <w:rPr>
                <w:b/>
                <w:bCs/>
                <w:szCs w:val="21"/>
                <w:lang w:val="zh-CN"/>
              </w:rPr>
              <w:t>表</w:t>
            </w:r>
            <w:r>
              <w:rPr>
                <w:b/>
                <w:bCs/>
                <w:szCs w:val="21"/>
              </w:rPr>
              <w:t>4-5</w:t>
            </w:r>
            <w:r>
              <w:rPr>
                <w:b/>
                <w:bCs/>
                <w:szCs w:val="21"/>
                <w:lang w:val="zh-CN"/>
              </w:rPr>
              <w:t xml:space="preserve">  废水污染源产生、排放汇总表</w:t>
            </w:r>
          </w:p>
          <w:tbl>
            <w:tblPr>
              <w:tblStyle w:val="40"/>
              <w:tblW w:w="14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641"/>
              <w:gridCol w:w="870"/>
              <w:gridCol w:w="801"/>
              <w:gridCol w:w="711"/>
              <w:gridCol w:w="711"/>
              <w:gridCol w:w="649"/>
              <w:gridCol w:w="541"/>
              <w:gridCol w:w="523"/>
              <w:gridCol w:w="554"/>
              <w:gridCol w:w="801"/>
              <w:gridCol w:w="711"/>
              <w:gridCol w:w="634"/>
              <w:gridCol w:w="510"/>
              <w:gridCol w:w="593"/>
              <w:gridCol w:w="759"/>
              <w:gridCol w:w="966"/>
              <w:gridCol w:w="501"/>
              <w:gridCol w:w="1650"/>
              <w:gridCol w:w="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vAlign w:val="center"/>
                </w:tcPr>
                <w:p>
                  <w:pPr>
                    <w:adjustRightInd w:val="0"/>
                    <w:snapToGrid w:val="0"/>
                    <w:spacing w:line="240" w:lineRule="atLeast"/>
                    <w:jc w:val="center"/>
                    <w:rPr>
                      <w:b/>
                      <w:bCs/>
                      <w:sz w:val="18"/>
                      <w:szCs w:val="18"/>
                    </w:rPr>
                  </w:pPr>
                  <w:r>
                    <w:rPr>
                      <w:b/>
                      <w:bCs/>
                      <w:sz w:val="18"/>
                      <w:szCs w:val="18"/>
                    </w:rPr>
                    <w:t>产排污环节</w:t>
                  </w:r>
                </w:p>
              </w:tc>
              <w:tc>
                <w:tcPr>
                  <w:tcW w:w="641" w:type="dxa"/>
                  <w:vMerge w:val="restart"/>
                  <w:vAlign w:val="center"/>
                </w:tcPr>
                <w:p>
                  <w:pPr>
                    <w:adjustRightInd w:val="0"/>
                    <w:snapToGrid w:val="0"/>
                    <w:spacing w:line="240" w:lineRule="atLeast"/>
                    <w:jc w:val="center"/>
                    <w:rPr>
                      <w:b/>
                      <w:bCs/>
                      <w:sz w:val="18"/>
                      <w:szCs w:val="18"/>
                    </w:rPr>
                  </w:pPr>
                  <w:r>
                    <w:rPr>
                      <w:b/>
                      <w:bCs/>
                      <w:sz w:val="18"/>
                      <w:szCs w:val="18"/>
                    </w:rPr>
                    <w:t>类别</w:t>
                  </w:r>
                </w:p>
              </w:tc>
              <w:tc>
                <w:tcPr>
                  <w:tcW w:w="870" w:type="dxa"/>
                  <w:vMerge w:val="restart"/>
                  <w:vAlign w:val="center"/>
                </w:tcPr>
                <w:p>
                  <w:pPr>
                    <w:adjustRightInd w:val="0"/>
                    <w:snapToGrid w:val="0"/>
                    <w:spacing w:line="240" w:lineRule="atLeast"/>
                    <w:jc w:val="center"/>
                    <w:rPr>
                      <w:b/>
                      <w:bCs/>
                      <w:sz w:val="18"/>
                      <w:szCs w:val="18"/>
                    </w:rPr>
                  </w:pPr>
                  <w:r>
                    <w:rPr>
                      <w:b/>
                      <w:bCs/>
                      <w:sz w:val="18"/>
                      <w:szCs w:val="18"/>
                    </w:rPr>
                    <w:t>污染物</w:t>
                  </w:r>
                </w:p>
                <w:p>
                  <w:pPr>
                    <w:adjustRightInd w:val="0"/>
                    <w:snapToGrid w:val="0"/>
                    <w:spacing w:line="240" w:lineRule="atLeast"/>
                    <w:jc w:val="center"/>
                    <w:rPr>
                      <w:b/>
                      <w:bCs/>
                      <w:sz w:val="18"/>
                      <w:szCs w:val="18"/>
                    </w:rPr>
                  </w:pPr>
                  <w:r>
                    <w:rPr>
                      <w:b/>
                      <w:bCs/>
                      <w:sz w:val="18"/>
                      <w:szCs w:val="18"/>
                    </w:rPr>
                    <w:t>种类</w:t>
                  </w:r>
                </w:p>
              </w:tc>
              <w:tc>
                <w:tcPr>
                  <w:tcW w:w="2223" w:type="dxa"/>
                  <w:gridSpan w:val="3"/>
                  <w:vAlign w:val="center"/>
                </w:tcPr>
                <w:p>
                  <w:pPr>
                    <w:adjustRightInd w:val="0"/>
                    <w:snapToGrid w:val="0"/>
                    <w:spacing w:line="240" w:lineRule="atLeast"/>
                    <w:jc w:val="center"/>
                    <w:rPr>
                      <w:b/>
                      <w:bCs/>
                      <w:sz w:val="18"/>
                      <w:szCs w:val="18"/>
                    </w:rPr>
                  </w:pPr>
                  <w:r>
                    <w:rPr>
                      <w:b/>
                      <w:bCs/>
                      <w:sz w:val="18"/>
                      <w:szCs w:val="18"/>
                    </w:rPr>
                    <w:t>污染物产生量和浓度</w:t>
                  </w:r>
                </w:p>
              </w:tc>
              <w:tc>
                <w:tcPr>
                  <w:tcW w:w="2267" w:type="dxa"/>
                  <w:gridSpan w:val="4"/>
                  <w:vAlign w:val="center"/>
                </w:tcPr>
                <w:p>
                  <w:pPr>
                    <w:adjustRightInd w:val="0"/>
                    <w:snapToGrid w:val="0"/>
                    <w:spacing w:line="240" w:lineRule="atLeast"/>
                    <w:jc w:val="center"/>
                    <w:rPr>
                      <w:b/>
                      <w:bCs/>
                      <w:sz w:val="18"/>
                      <w:szCs w:val="18"/>
                    </w:rPr>
                  </w:pPr>
                  <w:r>
                    <w:rPr>
                      <w:b/>
                      <w:bCs/>
                      <w:sz w:val="18"/>
                      <w:szCs w:val="18"/>
                    </w:rPr>
                    <w:t>污染治理设施</w:t>
                  </w:r>
                </w:p>
              </w:tc>
              <w:tc>
                <w:tcPr>
                  <w:tcW w:w="2146" w:type="dxa"/>
                  <w:gridSpan w:val="3"/>
                  <w:vAlign w:val="center"/>
                </w:tcPr>
                <w:p>
                  <w:pPr>
                    <w:adjustRightInd w:val="0"/>
                    <w:snapToGrid w:val="0"/>
                    <w:spacing w:line="240" w:lineRule="atLeast"/>
                    <w:jc w:val="center"/>
                    <w:rPr>
                      <w:b/>
                      <w:bCs/>
                      <w:sz w:val="18"/>
                      <w:szCs w:val="18"/>
                    </w:rPr>
                  </w:pPr>
                  <w:r>
                    <w:rPr>
                      <w:b/>
                      <w:bCs/>
                      <w:sz w:val="18"/>
                      <w:szCs w:val="18"/>
                    </w:rPr>
                    <w:t>污染物排放量和浓度</w:t>
                  </w:r>
                </w:p>
              </w:tc>
              <w:tc>
                <w:tcPr>
                  <w:tcW w:w="4979" w:type="dxa"/>
                  <w:gridSpan w:val="6"/>
                  <w:vAlign w:val="center"/>
                </w:tcPr>
                <w:p>
                  <w:pPr>
                    <w:adjustRightInd w:val="0"/>
                    <w:snapToGrid w:val="0"/>
                    <w:spacing w:line="240" w:lineRule="atLeast"/>
                    <w:jc w:val="center"/>
                    <w:rPr>
                      <w:b/>
                      <w:bCs/>
                      <w:sz w:val="18"/>
                      <w:szCs w:val="18"/>
                    </w:rPr>
                  </w:pPr>
                  <w:r>
                    <w:rPr>
                      <w:b/>
                      <w:bCs/>
                      <w:sz w:val="18"/>
                      <w:szCs w:val="18"/>
                    </w:rPr>
                    <w:t>排放口基本情况</w:t>
                  </w:r>
                </w:p>
              </w:tc>
              <w:tc>
                <w:tcPr>
                  <w:tcW w:w="609" w:type="dxa"/>
                  <w:vAlign w:val="center"/>
                </w:tcPr>
                <w:p>
                  <w:pPr>
                    <w:adjustRightInd w:val="0"/>
                    <w:snapToGrid w:val="0"/>
                    <w:spacing w:line="240" w:lineRule="atLeast"/>
                    <w:jc w:val="center"/>
                    <w:rPr>
                      <w:b/>
                      <w:bCs/>
                      <w:sz w:val="18"/>
                      <w:szCs w:val="18"/>
                    </w:rPr>
                  </w:pPr>
                  <w:r>
                    <w:rPr>
                      <w:b/>
                      <w:bCs/>
                      <w:sz w:val="18"/>
                      <w:szCs w:val="18"/>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vAlign w:val="center"/>
                </w:tcPr>
                <w:p>
                  <w:pPr>
                    <w:adjustRightInd w:val="0"/>
                    <w:snapToGrid w:val="0"/>
                    <w:spacing w:line="240" w:lineRule="atLeast"/>
                    <w:jc w:val="center"/>
                    <w:rPr>
                      <w:b/>
                      <w:bCs/>
                      <w:sz w:val="18"/>
                      <w:szCs w:val="18"/>
                    </w:rPr>
                  </w:pPr>
                </w:p>
              </w:tc>
              <w:tc>
                <w:tcPr>
                  <w:tcW w:w="641" w:type="dxa"/>
                  <w:vMerge w:val="continue"/>
                  <w:vAlign w:val="center"/>
                </w:tcPr>
                <w:p>
                  <w:pPr>
                    <w:adjustRightInd w:val="0"/>
                    <w:snapToGrid w:val="0"/>
                    <w:spacing w:line="240" w:lineRule="atLeast"/>
                    <w:jc w:val="center"/>
                    <w:rPr>
                      <w:b/>
                      <w:bCs/>
                      <w:sz w:val="18"/>
                      <w:szCs w:val="18"/>
                    </w:rPr>
                  </w:pPr>
                </w:p>
              </w:tc>
              <w:tc>
                <w:tcPr>
                  <w:tcW w:w="870" w:type="dxa"/>
                  <w:vMerge w:val="continue"/>
                  <w:vAlign w:val="center"/>
                </w:tcPr>
                <w:p>
                  <w:pPr>
                    <w:adjustRightInd w:val="0"/>
                    <w:snapToGrid w:val="0"/>
                    <w:spacing w:line="240" w:lineRule="atLeast"/>
                    <w:jc w:val="center"/>
                    <w:rPr>
                      <w:b/>
                      <w:bCs/>
                      <w:sz w:val="18"/>
                      <w:szCs w:val="18"/>
                    </w:rPr>
                  </w:pPr>
                </w:p>
              </w:tc>
              <w:tc>
                <w:tcPr>
                  <w:tcW w:w="801" w:type="dxa"/>
                  <w:vAlign w:val="center"/>
                </w:tcPr>
                <w:p>
                  <w:pPr>
                    <w:adjustRightInd w:val="0"/>
                    <w:snapToGrid w:val="0"/>
                    <w:spacing w:line="240" w:lineRule="atLeast"/>
                    <w:jc w:val="center"/>
                    <w:rPr>
                      <w:b/>
                      <w:bCs/>
                      <w:sz w:val="18"/>
                      <w:szCs w:val="18"/>
                    </w:rPr>
                  </w:pPr>
                  <w:r>
                    <w:rPr>
                      <w:b/>
                      <w:bCs/>
                      <w:sz w:val="18"/>
                      <w:szCs w:val="18"/>
                    </w:rPr>
                    <w:t>废水量</w:t>
                  </w:r>
                </w:p>
              </w:tc>
              <w:tc>
                <w:tcPr>
                  <w:tcW w:w="711" w:type="dxa"/>
                  <w:vAlign w:val="center"/>
                </w:tcPr>
                <w:p>
                  <w:pPr>
                    <w:adjustRightInd w:val="0"/>
                    <w:snapToGrid w:val="0"/>
                    <w:spacing w:line="240" w:lineRule="atLeast"/>
                    <w:jc w:val="center"/>
                    <w:rPr>
                      <w:b/>
                      <w:bCs/>
                      <w:sz w:val="18"/>
                      <w:szCs w:val="18"/>
                    </w:rPr>
                  </w:pPr>
                  <w:r>
                    <w:rPr>
                      <w:b/>
                      <w:bCs/>
                      <w:sz w:val="18"/>
                      <w:szCs w:val="18"/>
                    </w:rPr>
                    <w:t>产生浓度</w:t>
                  </w:r>
                </w:p>
              </w:tc>
              <w:tc>
                <w:tcPr>
                  <w:tcW w:w="711" w:type="dxa"/>
                  <w:vAlign w:val="center"/>
                </w:tcPr>
                <w:p>
                  <w:pPr>
                    <w:adjustRightInd w:val="0"/>
                    <w:snapToGrid w:val="0"/>
                    <w:spacing w:line="240" w:lineRule="atLeast"/>
                    <w:jc w:val="center"/>
                    <w:rPr>
                      <w:b/>
                      <w:bCs/>
                      <w:sz w:val="18"/>
                      <w:szCs w:val="18"/>
                    </w:rPr>
                  </w:pPr>
                  <w:r>
                    <w:rPr>
                      <w:b/>
                      <w:bCs/>
                      <w:sz w:val="18"/>
                      <w:szCs w:val="18"/>
                    </w:rPr>
                    <w:t>产生量</w:t>
                  </w:r>
                </w:p>
              </w:tc>
              <w:tc>
                <w:tcPr>
                  <w:tcW w:w="649" w:type="dxa"/>
                  <w:vAlign w:val="center"/>
                </w:tcPr>
                <w:p>
                  <w:pPr>
                    <w:adjustRightInd w:val="0"/>
                    <w:snapToGrid w:val="0"/>
                    <w:spacing w:line="240" w:lineRule="atLeast"/>
                    <w:jc w:val="center"/>
                    <w:rPr>
                      <w:b/>
                      <w:bCs/>
                      <w:sz w:val="18"/>
                      <w:szCs w:val="18"/>
                    </w:rPr>
                  </w:pPr>
                  <w:r>
                    <w:rPr>
                      <w:b/>
                      <w:bCs/>
                      <w:sz w:val="18"/>
                      <w:szCs w:val="18"/>
                    </w:rPr>
                    <w:t>处理能力</w:t>
                  </w:r>
                </w:p>
              </w:tc>
              <w:tc>
                <w:tcPr>
                  <w:tcW w:w="541" w:type="dxa"/>
                  <w:vMerge w:val="restart"/>
                  <w:vAlign w:val="center"/>
                </w:tcPr>
                <w:p>
                  <w:pPr>
                    <w:adjustRightInd w:val="0"/>
                    <w:snapToGrid w:val="0"/>
                    <w:spacing w:line="240" w:lineRule="atLeast"/>
                    <w:jc w:val="center"/>
                    <w:rPr>
                      <w:b/>
                      <w:bCs/>
                      <w:sz w:val="18"/>
                      <w:szCs w:val="18"/>
                    </w:rPr>
                  </w:pPr>
                  <w:r>
                    <w:rPr>
                      <w:b/>
                      <w:bCs/>
                      <w:sz w:val="18"/>
                      <w:szCs w:val="18"/>
                    </w:rPr>
                    <w:t>主要治理工艺</w:t>
                  </w:r>
                </w:p>
              </w:tc>
              <w:tc>
                <w:tcPr>
                  <w:tcW w:w="523" w:type="dxa"/>
                  <w:vAlign w:val="center"/>
                </w:tcPr>
                <w:p>
                  <w:pPr>
                    <w:adjustRightInd w:val="0"/>
                    <w:snapToGrid w:val="0"/>
                    <w:spacing w:line="240" w:lineRule="atLeast"/>
                    <w:jc w:val="center"/>
                    <w:rPr>
                      <w:b/>
                      <w:bCs/>
                      <w:sz w:val="18"/>
                      <w:szCs w:val="18"/>
                    </w:rPr>
                  </w:pPr>
                  <w:r>
                    <w:rPr>
                      <w:b/>
                      <w:bCs/>
                      <w:sz w:val="18"/>
                      <w:szCs w:val="18"/>
                    </w:rPr>
                    <w:t>去除效率</w:t>
                  </w:r>
                </w:p>
              </w:tc>
              <w:tc>
                <w:tcPr>
                  <w:tcW w:w="554" w:type="dxa"/>
                  <w:vMerge w:val="restart"/>
                  <w:vAlign w:val="center"/>
                </w:tcPr>
                <w:p>
                  <w:pPr>
                    <w:adjustRightInd w:val="0"/>
                    <w:snapToGrid w:val="0"/>
                    <w:spacing w:line="240" w:lineRule="atLeast"/>
                    <w:jc w:val="center"/>
                    <w:rPr>
                      <w:b/>
                      <w:bCs/>
                      <w:sz w:val="18"/>
                      <w:szCs w:val="18"/>
                    </w:rPr>
                  </w:pPr>
                  <w:r>
                    <w:rPr>
                      <w:b/>
                      <w:bCs/>
                      <w:sz w:val="18"/>
                      <w:szCs w:val="18"/>
                    </w:rPr>
                    <w:t>是否可行技术</w:t>
                  </w:r>
                </w:p>
              </w:tc>
              <w:tc>
                <w:tcPr>
                  <w:tcW w:w="801" w:type="dxa"/>
                  <w:vAlign w:val="center"/>
                </w:tcPr>
                <w:p>
                  <w:pPr>
                    <w:adjustRightInd w:val="0"/>
                    <w:snapToGrid w:val="0"/>
                    <w:spacing w:line="240" w:lineRule="atLeast"/>
                    <w:jc w:val="center"/>
                    <w:rPr>
                      <w:b/>
                      <w:bCs/>
                      <w:sz w:val="18"/>
                      <w:szCs w:val="18"/>
                    </w:rPr>
                  </w:pPr>
                  <w:r>
                    <w:rPr>
                      <w:b/>
                      <w:bCs/>
                      <w:sz w:val="18"/>
                      <w:szCs w:val="18"/>
                    </w:rPr>
                    <w:t>废水量</w:t>
                  </w:r>
                </w:p>
              </w:tc>
              <w:tc>
                <w:tcPr>
                  <w:tcW w:w="711" w:type="dxa"/>
                  <w:vAlign w:val="center"/>
                </w:tcPr>
                <w:p>
                  <w:pPr>
                    <w:adjustRightInd w:val="0"/>
                    <w:snapToGrid w:val="0"/>
                    <w:spacing w:line="240" w:lineRule="atLeast"/>
                    <w:jc w:val="center"/>
                    <w:rPr>
                      <w:b/>
                      <w:bCs/>
                      <w:sz w:val="18"/>
                      <w:szCs w:val="18"/>
                    </w:rPr>
                  </w:pPr>
                  <w:r>
                    <w:rPr>
                      <w:b/>
                      <w:bCs/>
                      <w:sz w:val="18"/>
                      <w:szCs w:val="18"/>
                    </w:rPr>
                    <w:t>排放浓度</w:t>
                  </w:r>
                </w:p>
              </w:tc>
              <w:tc>
                <w:tcPr>
                  <w:tcW w:w="634" w:type="dxa"/>
                  <w:vAlign w:val="center"/>
                </w:tcPr>
                <w:p>
                  <w:pPr>
                    <w:adjustRightInd w:val="0"/>
                    <w:snapToGrid w:val="0"/>
                    <w:spacing w:line="240" w:lineRule="atLeast"/>
                    <w:jc w:val="center"/>
                    <w:rPr>
                      <w:b/>
                      <w:bCs/>
                      <w:sz w:val="18"/>
                      <w:szCs w:val="18"/>
                    </w:rPr>
                  </w:pPr>
                  <w:r>
                    <w:rPr>
                      <w:b/>
                      <w:bCs/>
                      <w:sz w:val="18"/>
                      <w:szCs w:val="18"/>
                    </w:rPr>
                    <w:t>排放量</w:t>
                  </w:r>
                </w:p>
              </w:tc>
              <w:tc>
                <w:tcPr>
                  <w:tcW w:w="510" w:type="dxa"/>
                  <w:vAlign w:val="center"/>
                </w:tcPr>
                <w:p>
                  <w:pPr>
                    <w:adjustRightInd w:val="0"/>
                    <w:snapToGrid w:val="0"/>
                    <w:spacing w:line="240" w:lineRule="atLeast"/>
                    <w:jc w:val="center"/>
                    <w:rPr>
                      <w:b/>
                      <w:bCs/>
                      <w:spacing w:val="-10"/>
                      <w:sz w:val="18"/>
                      <w:szCs w:val="18"/>
                    </w:rPr>
                  </w:pPr>
                  <w:r>
                    <w:rPr>
                      <w:b/>
                      <w:bCs/>
                      <w:spacing w:val="-10"/>
                      <w:sz w:val="18"/>
                      <w:szCs w:val="18"/>
                    </w:rPr>
                    <w:t>排放</w:t>
                  </w:r>
                </w:p>
                <w:p>
                  <w:pPr>
                    <w:adjustRightInd w:val="0"/>
                    <w:snapToGrid w:val="0"/>
                    <w:spacing w:line="240" w:lineRule="atLeast"/>
                    <w:jc w:val="center"/>
                    <w:rPr>
                      <w:b/>
                      <w:bCs/>
                      <w:spacing w:val="-10"/>
                      <w:sz w:val="18"/>
                      <w:szCs w:val="18"/>
                    </w:rPr>
                  </w:pPr>
                  <w:r>
                    <w:rPr>
                      <w:b/>
                      <w:bCs/>
                      <w:spacing w:val="-10"/>
                      <w:sz w:val="18"/>
                      <w:szCs w:val="18"/>
                    </w:rPr>
                    <w:t>方式</w:t>
                  </w:r>
                </w:p>
              </w:tc>
              <w:tc>
                <w:tcPr>
                  <w:tcW w:w="593" w:type="dxa"/>
                  <w:vAlign w:val="center"/>
                </w:tcPr>
                <w:p>
                  <w:pPr>
                    <w:adjustRightInd w:val="0"/>
                    <w:snapToGrid w:val="0"/>
                    <w:spacing w:line="240" w:lineRule="atLeast"/>
                    <w:jc w:val="center"/>
                    <w:rPr>
                      <w:b/>
                      <w:bCs/>
                      <w:sz w:val="18"/>
                      <w:szCs w:val="18"/>
                    </w:rPr>
                  </w:pPr>
                  <w:r>
                    <w:rPr>
                      <w:b/>
                      <w:bCs/>
                      <w:sz w:val="18"/>
                      <w:szCs w:val="18"/>
                    </w:rPr>
                    <w:t>排放去向</w:t>
                  </w:r>
                </w:p>
              </w:tc>
              <w:tc>
                <w:tcPr>
                  <w:tcW w:w="759" w:type="dxa"/>
                  <w:vAlign w:val="center"/>
                </w:tcPr>
                <w:p>
                  <w:pPr>
                    <w:adjustRightInd w:val="0"/>
                    <w:snapToGrid w:val="0"/>
                    <w:spacing w:line="240" w:lineRule="atLeast"/>
                    <w:jc w:val="center"/>
                    <w:rPr>
                      <w:b/>
                      <w:bCs/>
                      <w:sz w:val="18"/>
                      <w:szCs w:val="18"/>
                    </w:rPr>
                  </w:pPr>
                  <w:r>
                    <w:rPr>
                      <w:b/>
                      <w:bCs/>
                      <w:sz w:val="18"/>
                      <w:szCs w:val="18"/>
                    </w:rPr>
                    <w:t>排放规律</w:t>
                  </w:r>
                </w:p>
              </w:tc>
              <w:tc>
                <w:tcPr>
                  <w:tcW w:w="966" w:type="dxa"/>
                  <w:vAlign w:val="center"/>
                </w:tcPr>
                <w:p>
                  <w:pPr>
                    <w:adjustRightInd w:val="0"/>
                    <w:snapToGrid w:val="0"/>
                    <w:spacing w:line="240" w:lineRule="atLeast"/>
                    <w:jc w:val="center"/>
                    <w:rPr>
                      <w:b/>
                      <w:bCs/>
                      <w:sz w:val="18"/>
                      <w:szCs w:val="18"/>
                    </w:rPr>
                  </w:pPr>
                  <w:r>
                    <w:rPr>
                      <w:b/>
                      <w:bCs/>
                      <w:sz w:val="18"/>
                      <w:szCs w:val="18"/>
                    </w:rPr>
                    <w:t>排放编号及名称</w:t>
                  </w:r>
                </w:p>
              </w:tc>
              <w:tc>
                <w:tcPr>
                  <w:tcW w:w="501" w:type="dxa"/>
                  <w:vAlign w:val="center"/>
                </w:tcPr>
                <w:p>
                  <w:pPr>
                    <w:adjustRightInd w:val="0"/>
                    <w:snapToGrid w:val="0"/>
                    <w:spacing w:line="240" w:lineRule="atLeast"/>
                    <w:jc w:val="center"/>
                    <w:rPr>
                      <w:b/>
                      <w:bCs/>
                      <w:sz w:val="18"/>
                      <w:szCs w:val="18"/>
                    </w:rPr>
                  </w:pPr>
                  <w:r>
                    <w:rPr>
                      <w:b/>
                      <w:bCs/>
                      <w:sz w:val="18"/>
                      <w:szCs w:val="18"/>
                    </w:rPr>
                    <w:t>排放类型</w:t>
                  </w:r>
                </w:p>
              </w:tc>
              <w:tc>
                <w:tcPr>
                  <w:tcW w:w="1650" w:type="dxa"/>
                  <w:vAlign w:val="center"/>
                </w:tcPr>
                <w:p>
                  <w:pPr>
                    <w:adjustRightInd w:val="0"/>
                    <w:snapToGrid w:val="0"/>
                    <w:spacing w:line="240" w:lineRule="atLeast"/>
                    <w:jc w:val="center"/>
                    <w:rPr>
                      <w:b/>
                      <w:bCs/>
                      <w:sz w:val="18"/>
                      <w:szCs w:val="18"/>
                    </w:rPr>
                  </w:pPr>
                  <w:r>
                    <w:rPr>
                      <w:b/>
                      <w:bCs/>
                      <w:sz w:val="18"/>
                      <w:szCs w:val="18"/>
                    </w:rPr>
                    <w:t>地理</w:t>
                  </w:r>
                </w:p>
                <w:p>
                  <w:pPr>
                    <w:adjustRightInd w:val="0"/>
                    <w:snapToGrid w:val="0"/>
                    <w:spacing w:line="240" w:lineRule="atLeast"/>
                    <w:jc w:val="center"/>
                    <w:rPr>
                      <w:b/>
                      <w:bCs/>
                      <w:sz w:val="18"/>
                      <w:szCs w:val="18"/>
                    </w:rPr>
                  </w:pPr>
                  <w:r>
                    <w:rPr>
                      <w:b/>
                      <w:bCs/>
                      <w:sz w:val="18"/>
                      <w:szCs w:val="18"/>
                    </w:rPr>
                    <w:t>坐标</w:t>
                  </w:r>
                </w:p>
              </w:tc>
              <w:tc>
                <w:tcPr>
                  <w:tcW w:w="609" w:type="dxa"/>
                  <w:vMerge w:val="restart"/>
                  <w:vAlign w:val="center"/>
                </w:tcPr>
                <w:p>
                  <w:pPr>
                    <w:adjustRightInd w:val="0"/>
                    <w:snapToGrid w:val="0"/>
                    <w:spacing w:line="240" w:lineRule="atLeast"/>
                    <w:jc w:val="center"/>
                    <w:rPr>
                      <w:b/>
                      <w:bCs/>
                      <w:sz w:val="18"/>
                      <w:szCs w:val="18"/>
                    </w:rPr>
                  </w:pPr>
                  <w:r>
                    <w:rPr>
                      <w:b/>
                      <w:bCs/>
                      <w:sz w:val="18"/>
                      <w:szCs w:val="18"/>
                    </w:rPr>
                    <w:t>浓度</w:t>
                  </w:r>
                </w:p>
                <w:p>
                  <w:pPr>
                    <w:adjustRightInd w:val="0"/>
                    <w:snapToGrid w:val="0"/>
                    <w:spacing w:line="240" w:lineRule="atLeast"/>
                    <w:jc w:val="center"/>
                    <w:rPr>
                      <w:b/>
                      <w:bCs/>
                      <w:sz w:val="18"/>
                      <w:szCs w:val="18"/>
                    </w:rPr>
                  </w:pPr>
                  <w:r>
                    <w:rPr>
                      <w:b/>
                      <w:bCs/>
                      <w:sz w:val="18"/>
                      <w:szCs w:val="18"/>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vAlign w:val="center"/>
                </w:tcPr>
                <w:p>
                  <w:pPr>
                    <w:adjustRightInd w:val="0"/>
                    <w:snapToGrid w:val="0"/>
                    <w:spacing w:line="240" w:lineRule="atLeast"/>
                    <w:jc w:val="center"/>
                    <w:rPr>
                      <w:bCs/>
                      <w:sz w:val="18"/>
                      <w:szCs w:val="18"/>
                    </w:rPr>
                  </w:pPr>
                </w:p>
              </w:tc>
              <w:tc>
                <w:tcPr>
                  <w:tcW w:w="641" w:type="dxa"/>
                  <w:vMerge w:val="continue"/>
                  <w:vAlign w:val="center"/>
                </w:tcPr>
                <w:p>
                  <w:pPr>
                    <w:adjustRightInd w:val="0"/>
                    <w:snapToGrid w:val="0"/>
                    <w:spacing w:line="240" w:lineRule="atLeast"/>
                    <w:jc w:val="center"/>
                    <w:rPr>
                      <w:bCs/>
                      <w:sz w:val="18"/>
                      <w:szCs w:val="18"/>
                    </w:rPr>
                  </w:pPr>
                </w:p>
              </w:tc>
              <w:tc>
                <w:tcPr>
                  <w:tcW w:w="870" w:type="dxa"/>
                  <w:vMerge w:val="continue"/>
                  <w:vAlign w:val="center"/>
                </w:tcPr>
                <w:p>
                  <w:pPr>
                    <w:adjustRightInd w:val="0"/>
                    <w:snapToGrid w:val="0"/>
                    <w:spacing w:line="240" w:lineRule="atLeast"/>
                    <w:jc w:val="center"/>
                    <w:rPr>
                      <w:bCs/>
                      <w:sz w:val="18"/>
                      <w:szCs w:val="18"/>
                    </w:rPr>
                  </w:pPr>
                </w:p>
              </w:tc>
              <w:tc>
                <w:tcPr>
                  <w:tcW w:w="801" w:type="dxa"/>
                  <w:vAlign w:val="center"/>
                </w:tcPr>
                <w:p>
                  <w:pPr>
                    <w:adjustRightInd w:val="0"/>
                    <w:snapToGrid w:val="0"/>
                    <w:spacing w:line="240" w:lineRule="atLeast"/>
                    <w:jc w:val="center"/>
                    <w:rPr>
                      <w:b/>
                      <w:bCs/>
                      <w:sz w:val="18"/>
                      <w:szCs w:val="18"/>
                    </w:rPr>
                  </w:pPr>
                  <w:r>
                    <w:rPr>
                      <w:b/>
                      <w:bCs/>
                      <w:sz w:val="18"/>
                      <w:szCs w:val="18"/>
                    </w:rPr>
                    <w:t>m</w:t>
                  </w:r>
                  <w:r>
                    <w:rPr>
                      <w:b/>
                      <w:bCs/>
                      <w:sz w:val="18"/>
                      <w:szCs w:val="18"/>
                      <w:vertAlign w:val="superscript"/>
                    </w:rPr>
                    <w:t>3</w:t>
                  </w:r>
                  <w:r>
                    <w:rPr>
                      <w:b/>
                      <w:bCs/>
                      <w:sz w:val="18"/>
                      <w:szCs w:val="18"/>
                    </w:rPr>
                    <w:t>/a</w:t>
                  </w:r>
                </w:p>
              </w:tc>
              <w:tc>
                <w:tcPr>
                  <w:tcW w:w="711" w:type="dxa"/>
                  <w:vAlign w:val="center"/>
                </w:tcPr>
                <w:p>
                  <w:pPr>
                    <w:adjustRightInd w:val="0"/>
                    <w:snapToGrid w:val="0"/>
                    <w:spacing w:line="240" w:lineRule="atLeast"/>
                    <w:jc w:val="center"/>
                    <w:rPr>
                      <w:b/>
                      <w:bCs/>
                      <w:sz w:val="18"/>
                      <w:szCs w:val="18"/>
                    </w:rPr>
                  </w:pPr>
                  <w:r>
                    <w:rPr>
                      <w:b/>
                      <w:bCs/>
                      <w:sz w:val="18"/>
                      <w:szCs w:val="18"/>
                    </w:rPr>
                    <w:t>mg/l</w:t>
                  </w:r>
                </w:p>
              </w:tc>
              <w:tc>
                <w:tcPr>
                  <w:tcW w:w="711" w:type="dxa"/>
                  <w:vAlign w:val="center"/>
                </w:tcPr>
                <w:p>
                  <w:pPr>
                    <w:adjustRightInd w:val="0"/>
                    <w:snapToGrid w:val="0"/>
                    <w:spacing w:line="240" w:lineRule="atLeast"/>
                    <w:jc w:val="center"/>
                    <w:rPr>
                      <w:b/>
                      <w:bCs/>
                      <w:sz w:val="18"/>
                      <w:szCs w:val="18"/>
                    </w:rPr>
                  </w:pPr>
                  <w:r>
                    <w:rPr>
                      <w:b/>
                      <w:bCs/>
                      <w:sz w:val="18"/>
                      <w:szCs w:val="18"/>
                    </w:rPr>
                    <w:t>t/a</w:t>
                  </w:r>
                </w:p>
              </w:tc>
              <w:tc>
                <w:tcPr>
                  <w:tcW w:w="649" w:type="dxa"/>
                  <w:vAlign w:val="center"/>
                </w:tcPr>
                <w:p>
                  <w:pPr>
                    <w:adjustRightInd w:val="0"/>
                    <w:snapToGrid w:val="0"/>
                    <w:spacing w:line="240" w:lineRule="atLeast"/>
                    <w:jc w:val="center"/>
                    <w:rPr>
                      <w:b/>
                      <w:bCs/>
                      <w:sz w:val="18"/>
                      <w:szCs w:val="18"/>
                    </w:rPr>
                  </w:pPr>
                  <w:r>
                    <w:rPr>
                      <w:b/>
                      <w:bCs/>
                      <w:sz w:val="18"/>
                      <w:szCs w:val="18"/>
                    </w:rPr>
                    <w:t>m</w:t>
                  </w:r>
                  <w:r>
                    <w:rPr>
                      <w:b/>
                      <w:bCs/>
                      <w:sz w:val="18"/>
                      <w:szCs w:val="18"/>
                      <w:vertAlign w:val="superscript"/>
                    </w:rPr>
                    <w:t>3</w:t>
                  </w:r>
                  <w:r>
                    <w:rPr>
                      <w:b/>
                      <w:bCs/>
                      <w:sz w:val="18"/>
                      <w:szCs w:val="18"/>
                    </w:rPr>
                    <w:t>/d</w:t>
                  </w:r>
                </w:p>
              </w:tc>
              <w:tc>
                <w:tcPr>
                  <w:tcW w:w="541" w:type="dxa"/>
                  <w:vMerge w:val="continue"/>
                  <w:vAlign w:val="center"/>
                </w:tcPr>
                <w:p>
                  <w:pPr>
                    <w:adjustRightInd w:val="0"/>
                    <w:snapToGrid w:val="0"/>
                    <w:spacing w:line="240" w:lineRule="atLeast"/>
                    <w:jc w:val="center"/>
                    <w:rPr>
                      <w:b/>
                      <w:bCs/>
                      <w:sz w:val="18"/>
                      <w:szCs w:val="18"/>
                    </w:rPr>
                  </w:pPr>
                </w:p>
              </w:tc>
              <w:tc>
                <w:tcPr>
                  <w:tcW w:w="523" w:type="dxa"/>
                  <w:vAlign w:val="center"/>
                </w:tcPr>
                <w:p>
                  <w:pPr>
                    <w:adjustRightInd w:val="0"/>
                    <w:snapToGrid w:val="0"/>
                    <w:spacing w:line="240" w:lineRule="atLeast"/>
                    <w:jc w:val="center"/>
                    <w:rPr>
                      <w:b/>
                      <w:bCs/>
                      <w:sz w:val="18"/>
                      <w:szCs w:val="18"/>
                    </w:rPr>
                  </w:pPr>
                  <w:r>
                    <w:rPr>
                      <w:b/>
                      <w:bCs/>
                      <w:sz w:val="18"/>
                      <w:szCs w:val="18"/>
                    </w:rPr>
                    <w:t>%</w:t>
                  </w:r>
                </w:p>
              </w:tc>
              <w:tc>
                <w:tcPr>
                  <w:tcW w:w="554" w:type="dxa"/>
                  <w:vMerge w:val="continue"/>
                  <w:vAlign w:val="center"/>
                </w:tcPr>
                <w:p>
                  <w:pPr>
                    <w:adjustRightInd w:val="0"/>
                    <w:snapToGrid w:val="0"/>
                    <w:spacing w:line="240" w:lineRule="atLeast"/>
                    <w:jc w:val="center"/>
                    <w:rPr>
                      <w:bCs/>
                      <w:sz w:val="18"/>
                      <w:szCs w:val="18"/>
                    </w:rPr>
                  </w:pPr>
                </w:p>
              </w:tc>
              <w:tc>
                <w:tcPr>
                  <w:tcW w:w="801" w:type="dxa"/>
                  <w:vAlign w:val="center"/>
                </w:tcPr>
                <w:p>
                  <w:pPr>
                    <w:adjustRightInd w:val="0"/>
                    <w:snapToGrid w:val="0"/>
                    <w:spacing w:line="240" w:lineRule="atLeast"/>
                    <w:jc w:val="center"/>
                    <w:rPr>
                      <w:b/>
                      <w:bCs/>
                      <w:sz w:val="18"/>
                      <w:szCs w:val="18"/>
                    </w:rPr>
                  </w:pPr>
                  <w:r>
                    <w:rPr>
                      <w:b/>
                      <w:bCs/>
                      <w:sz w:val="18"/>
                      <w:szCs w:val="18"/>
                    </w:rPr>
                    <w:t>m</w:t>
                  </w:r>
                  <w:r>
                    <w:rPr>
                      <w:b/>
                      <w:bCs/>
                      <w:sz w:val="18"/>
                      <w:szCs w:val="18"/>
                      <w:vertAlign w:val="superscript"/>
                    </w:rPr>
                    <w:t>3</w:t>
                  </w:r>
                  <w:r>
                    <w:rPr>
                      <w:b/>
                      <w:bCs/>
                      <w:sz w:val="18"/>
                      <w:szCs w:val="18"/>
                    </w:rPr>
                    <w:t>/a</w:t>
                  </w:r>
                </w:p>
              </w:tc>
              <w:tc>
                <w:tcPr>
                  <w:tcW w:w="711" w:type="dxa"/>
                  <w:vAlign w:val="center"/>
                </w:tcPr>
                <w:p>
                  <w:pPr>
                    <w:adjustRightInd w:val="0"/>
                    <w:snapToGrid w:val="0"/>
                    <w:spacing w:line="240" w:lineRule="atLeast"/>
                    <w:jc w:val="center"/>
                    <w:rPr>
                      <w:b/>
                      <w:bCs/>
                      <w:sz w:val="18"/>
                      <w:szCs w:val="18"/>
                    </w:rPr>
                  </w:pPr>
                  <w:r>
                    <w:rPr>
                      <w:b/>
                      <w:bCs/>
                      <w:sz w:val="18"/>
                      <w:szCs w:val="18"/>
                    </w:rPr>
                    <w:t>mg/l</w:t>
                  </w:r>
                </w:p>
              </w:tc>
              <w:tc>
                <w:tcPr>
                  <w:tcW w:w="634" w:type="dxa"/>
                  <w:vAlign w:val="center"/>
                </w:tcPr>
                <w:p>
                  <w:pPr>
                    <w:adjustRightInd w:val="0"/>
                    <w:snapToGrid w:val="0"/>
                    <w:spacing w:line="240" w:lineRule="atLeast"/>
                    <w:jc w:val="center"/>
                    <w:rPr>
                      <w:b/>
                      <w:bCs/>
                      <w:sz w:val="18"/>
                      <w:szCs w:val="18"/>
                    </w:rPr>
                  </w:pPr>
                  <w:r>
                    <w:rPr>
                      <w:b/>
                      <w:bCs/>
                      <w:sz w:val="18"/>
                      <w:szCs w:val="18"/>
                    </w:rPr>
                    <w:t>t/a</w:t>
                  </w:r>
                </w:p>
              </w:tc>
              <w:tc>
                <w:tcPr>
                  <w:tcW w:w="510" w:type="dxa"/>
                  <w:vAlign w:val="center"/>
                </w:tcPr>
                <w:p>
                  <w:pPr>
                    <w:adjustRightInd w:val="0"/>
                    <w:snapToGrid w:val="0"/>
                    <w:spacing w:line="240" w:lineRule="atLeast"/>
                    <w:jc w:val="center"/>
                    <w:rPr>
                      <w:b/>
                      <w:bCs/>
                      <w:sz w:val="18"/>
                      <w:szCs w:val="18"/>
                    </w:rPr>
                  </w:pPr>
                  <w:r>
                    <w:rPr>
                      <w:b/>
                      <w:bCs/>
                      <w:sz w:val="18"/>
                      <w:szCs w:val="18"/>
                    </w:rPr>
                    <w:t>/</w:t>
                  </w:r>
                </w:p>
              </w:tc>
              <w:tc>
                <w:tcPr>
                  <w:tcW w:w="593" w:type="dxa"/>
                  <w:vAlign w:val="center"/>
                </w:tcPr>
                <w:p>
                  <w:pPr>
                    <w:adjustRightInd w:val="0"/>
                    <w:snapToGrid w:val="0"/>
                    <w:spacing w:line="240" w:lineRule="atLeast"/>
                    <w:jc w:val="center"/>
                    <w:rPr>
                      <w:b/>
                      <w:bCs/>
                      <w:sz w:val="18"/>
                      <w:szCs w:val="18"/>
                    </w:rPr>
                  </w:pPr>
                  <w:r>
                    <w:rPr>
                      <w:b/>
                      <w:bCs/>
                      <w:sz w:val="18"/>
                      <w:szCs w:val="18"/>
                    </w:rPr>
                    <w:t>/</w:t>
                  </w:r>
                </w:p>
              </w:tc>
              <w:tc>
                <w:tcPr>
                  <w:tcW w:w="759" w:type="dxa"/>
                  <w:vAlign w:val="center"/>
                </w:tcPr>
                <w:p>
                  <w:pPr>
                    <w:adjustRightInd w:val="0"/>
                    <w:snapToGrid w:val="0"/>
                    <w:spacing w:line="240" w:lineRule="atLeast"/>
                    <w:jc w:val="center"/>
                    <w:rPr>
                      <w:b/>
                      <w:bCs/>
                      <w:sz w:val="18"/>
                      <w:szCs w:val="18"/>
                    </w:rPr>
                  </w:pPr>
                  <w:r>
                    <w:rPr>
                      <w:b/>
                      <w:bCs/>
                      <w:sz w:val="18"/>
                      <w:szCs w:val="18"/>
                    </w:rPr>
                    <w:t>/</w:t>
                  </w:r>
                </w:p>
              </w:tc>
              <w:tc>
                <w:tcPr>
                  <w:tcW w:w="966" w:type="dxa"/>
                  <w:vAlign w:val="center"/>
                </w:tcPr>
                <w:p>
                  <w:pPr>
                    <w:adjustRightInd w:val="0"/>
                    <w:snapToGrid w:val="0"/>
                    <w:spacing w:line="240" w:lineRule="atLeast"/>
                    <w:jc w:val="center"/>
                    <w:rPr>
                      <w:b/>
                      <w:bCs/>
                      <w:sz w:val="18"/>
                      <w:szCs w:val="18"/>
                    </w:rPr>
                  </w:pPr>
                  <w:r>
                    <w:rPr>
                      <w:b/>
                      <w:bCs/>
                      <w:sz w:val="18"/>
                      <w:szCs w:val="18"/>
                    </w:rPr>
                    <w:t>/</w:t>
                  </w:r>
                </w:p>
              </w:tc>
              <w:tc>
                <w:tcPr>
                  <w:tcW w:w="501" w:type="dxa"/>
                  <w:vAlign w:val="center"/>
                </w:tcPr>
                <w:p>
                  <w:pPr>
                    <w:adjustRightInd w:val="0"/>
                    <w:snapToGrid w:val="0"/>
                    <w:spacing w:line="240" w:lineRule="atLeast"/>
                    <w:jc w:val="center"/>
                    <w:rPr>
                      <w:b/>
                      <w:bCs/>
                      <w:sz w:val="18"/>
                      <w:szCs w:val="18"/>
                    </w:rPr>
                  </w:pPr>
                  <w:r>
                    <w:rPr>
                      <w:b/>
                      <w:bCs/>
                      <w:sz w:val="18"/>
                      <w:szCs w:val="18"/>
                    </w:rPr>
                    <w:t>/</w:t>
                  </w:r>
                </w:p>
              </w:tc>
              <w:tc>
                <w:tcPr>
                  <w:tcW w:w="1650" w:type="dxa"/>
                  <w:vAlign w:val="center"/>
                </w:tcPr>
                <w:p>
                  <w:pPr>
                    <w:adjustRightInd w:val="0"/>
                    <w:snapToGrid w:val="0"/>
                    <w:spacing w:line="240" w:lineRule="atLeast"/>
                    <w:jc w:val="center"/>
                    <w:rPr>
                      <w:b/>
                      <w:bCs/>
                      <w:sz w:val="18"/>
                      <w:szCs w:val="18"/>
                    </w:rPr>
                  </w:pPr>
                  <w:r>
                    <w:rPr>
                      <w:b/>
                      <w:bCs/>
                      <w:sz w:val="18"/>
                      <w:szCs w:val="18"/>
                    </w:rPr>
                    <w:t>/</w:t>
                  </w:r>
                </w:p>
              </w:tc>
              <w:tc>
                <w:tcPr>
                  <w:tcW w:w="609" w:type="dxa"/>
                  <w:vMerge w:val="continue"/>
                  <w:vAlign w:val="center"/>
                </w:tcPr>
                <w:p>
                  <w:pPr>
                    <w:adjustRightInd w:val="0"/>
                    <w:snapToGrid w:val="0"/>
                    <w:spacing w:line="240" w:lineRule="atLeast"/>
                    <w:jc w:val="center"/>
                    <w:rPr>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vAlign w:val="center"/>
                </w:tcPr>
                <w:p>
                  <w:pPr>
                    <w:adjustRightInd w:val="0"/>
                    <w:snapToGrid w:val="0"/>
                    <w:spacing w:line="240" w:lineRule="atLeast"/>
                    <w:jc w:val="center"/>
                    <w:rPr>
                      <w:bCs/>
                      <w:sz w:val="18"/>
                      <w:szCs w:val="18"/>
                    </w:rPr>
                  </w:pPr>
                  <w:r>
                    <w:rPr>
                      <w:bCs/>
                      <w:sz w:val="18"/>
                      <w:szCs w:val="18"/>
                    </w:rPr>
                    <w:t>员工生活</w:t>
                  </w:r>
                </w:p>
              </w:tc>
              <w:tc>
                <w:tcPr>
                  <w:tcW w:w="641" w:type="dxa"/>
                  <w:vMerge w:val="restart"/>
                  <w:vAlign w:val="center"/>
                </w:tcPr>
                <w:p>
                  <w:pPr>
                    <w:adjustRightInd w:val="0"/>
                    <w:snapToGrid w:val="0"/>
                    <w:spacing w:line="240" w:lineRule="atLeast"/>
                    <w:jc w:val="center"/>
                    <w:rPr>
                      <w:bCs/>
                      <w:sz w:val="18"/>
                      <w:szCs w:val="18"/>
                    </w:rPr>
                  </w:pPr>
                  <w:r>
                    <w:rPr>
                      <w:bCs/>
                      <w:sz w:val="18"/>
                      <w:szCs w:val="18"/>
                    </w:rPr>
                    <w:t>生活污水</w:t>
                  </w:r>
                </w:p>
              </w:tc>
              <w:tc>
                <w:tcPr>
                  <w:tcW w:w="870" w:type="dxa"/>
                  <w:vAlign w:val="center"/>
                </w:tcPr>
                <w:p>
                  <w:pPr>
                    <w:adjustRightInd w:val="0"/>
                    <w:snapToGrid w:val="0"/>
                    <w:spacing w:line="240" w:lineRule="atLeast"/>
                    <w:jc w:val="center"/>
                    <w:rPr>
                      <w:bCs/>
                      <w:sz w:val="18"/>
                      <w:szCs w:val="18"/>
                    </w:rPr>
                  </w:pPr>
                  <w:r>
                    <w:rPr>
                      <w:bCs/>
                      <w:sz w:val="18"/>
                      <w:szCs w:val="18"/>
                    </w:rPr>
                    <w:t>pH</w:t>
                  </w:r>
                </w:p>
              </w:tc>
              <w:tc>
                <w:tcPr>
                  <w:tcW w:w="801" w:type="dxa"/>
                  <w:vMerge w:val="restart"/>
                  <w:vAlign w:val="center"/>
                </w:tcPr>
                <w:p>
                  <w:pPr>
                    <w:adjustRightInd w:val="0"/>
                    <w:snapToGrid w:val="0"/>
                    <w:spacing w:line="240" w:lineRule="atLeast"/>
                    <w:jc w:val="center"/>
                    <w:rPr>
                      <w:bCs/>
                      <w:sz w:val="18"/>
                      <w:szCs w:val="18"/>
                    </w:rPr>
                  </w:pPr>
                  <w:r>
                    <w:rPr>
                      <w:bCs/>
                      <w:sz w:val="18"/>
                      <w:szCs w:val="18"/>
                    </w:rPr>
                    <w:t>2112</w:t>
                  </w:r>
                </w:p>
              </w:tc>
              <w:tc>
                <w:tcPr>
                  <w:tcW w:w="711" w:type="dxa"/>
                  <w:vAlign w:val="center"/>
                </w:tcPr>
                <w:p>
                  <w:pPr>
                    <w:widowControl/>
                    <w:snapToGrid w:val="0"/>
                    <w:spacing w:line="240" w:lineRule="atLeast"/>
                    <w:jc w:val="center"/>
                    <w:textAlignment w:val="top"/>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w:t>
                  </w:r>
                </w:p>
              </w:tc>
              <w:tc>
                <w:tcPr>
                  <w:tcW w:w="649" w:type="dxa"/>
                  <w:vMerge w:val="restart"/>
                  <w:vAlign w:val="center"/>
                </w:tcPr>
                <w:p>
                  <w:pPr>
                    <w:adjustRightInd w:val="0"/>
                    <w:snapToGrid w:val="0"/>
                    <w:spacing w:line="240" w:lineRule="atLeast"/>
                    <w:jc w:val="center"/>
                    <w:rPr>
                      <w:bCs/>
                      <w:color w:val="FF00FF"/>
                      <w:sz w:val="18"/>
                      <w:szCs w:val="18"/>
                    </w:rPr>
                  </w:pPr>
                  <w:r>
                    <w:rPr>
                      <w:rFonts w:hint="eastAsia"/>
                      <w:bCs/>
                      <w:color w:val="FF00FF"/>
                      <w:sz w:val="18"/>
                      <w:szCs w:val="18"/>
                    </w:rPr>
                    <w:t>10</w:t>
                  </w:r>
                </w:p>
              </w:tc>
              <w:tc>
                <w:tcPr>
                  <w:tcW w:w="541" w:type="dxa"/>
                  <w:vMerge w:val="restart"/>
                  <w:vAlign w:val="center"/>
                </w:tcPr>
                <w:p>
                  <w:pPr>
                    <w:adjustRightInd w:val="0"/>
                    <w:snapToGrid w:val="0"/>
                    <w:spacing w:line="240" w:lineRule="atLeast"/>
                    <w:jc w:val="center"/>
                    <w:rPr>
                      <w:bCs/>
                      <w:sz w:val="18"/>
                      <w:szCs w:val="18"/>
                    </w:rPr>
                  </w:pPr>
                  <w:r>
                    <w:rPr>
                      <w:bCs/>
                      <w:sz w:val="18"/>
                      <w:szCs w:val="18"/>
                    </w:rPr>
                    <w:t>化粪池</w:t>
                  </w:r>
                </w:p>
              </w:tc>
              <w:tc>
                <w:tcPr>
                  <w:tcW w:w="523" w:type="dxa"/>
                  <w:vAlign w:val="center"/>
                </w:tcPr>
                <w:p>
                  <w:pPr>
                    <w:adjustRightInd w:val="0"/>
                    <w:snapToGrid w:val="0"/>
                    <w:spacing w:line="240" w:lineRule="atLeast"/>
                    <w:jc w:val="center"/>
                    <w:rPr>
                      <w:bCs/>
                      <w:sz w:val="18"/>
                      <w:szCs w:val="18"/>
                    </w:rPr>
                  </w:pPr>
                  <w:r>
                    <w:rPr>
                      <w:bCs/>
                      <w:sz w:val="18"/>
                      <w:szCs w:val="18"/>
                    </w:rPr>
                    <w:t>/</w:t>
                  </w:r>
                </w:p>
              </w:tc>
              <w:tc>
                <w:tcPr>
                  <w:tcW w:w="554" w:type="dxa"/>
                  <w:vMerge w:val="restart"/>
                  <w:vAlign w:val="center"/>
                </w:tcPr>
                <w:p>
                  <w:pPr>
                    <w:adjustRightInd w:val="0"/>
                    <w:snapToGrid w:val="0"/>
                    <w:spacing w:line="240" w:lineRule="atLeast"/>
                    <w:jc w:val="center"/>
                    <w:rPr>
                      <w:bCs/>
                      <w:sz w:val="18"/>
                      <w:szCs w:val="18"/>
                    </w:rPr>
                  </w:pPr>
                  <w:r>
                    <w:rPr>
                      <w:bCs/>
                      <w:sz w:val="18"/>
                      <w:szCs w:val="18"/>
                    </w:rPr>
                    <w:t>是</w:t>
                  </w:r>
                </w:p>
              </w:tc>
              <w:tc>
                <w:tcPr>
                  <w:tcW w:w="801" w:type="dxa"/>
                  <w:vMerge w:val="restart"/>
                  <w:vAlign w:val="center"/>
                </w:tcPr>
                <w:p>
                  <w:pPr>
                    <w:adjustRightInd w:val="0"/>
                    <w:snapToGrid w:val="0"/>
                    <w:spacing w:line="240" w:lineRule="atLeast"/>
                    <w:jc w:val="center"/>
                    <w:rPr>
                      <w:bCs/>
                      <w:sz w:val="18"/>
                      <w:szCs w:val="18"/>
                    </w:rPr>
                  </w:pPr>
                  <w:r>
                    <w:rPr>
                      <w:bCs/>
                      <w:sz w:val="18"/>
                      <w:szCs w:val="18"/>
                    </w:rPr>
                    <w:t>2112</w:t>
                  </w:r>
                </w:p>
              </w:tc>
              <w:tc>
                <w:tcPr>
                  <w:tcW w:w="711" w:type="dxa"/>
                  <w:vAlign w:val="center"/>
                </w:tcPr>
                <w:p>
                  <w:pPr>
                    <w:widowControl/>
                    <w:snapToGrid w:val="0"/>
                    <w:spacing w:line="240" w:lineRule="atLeast"/>
                    <w:jc w:val="center"/>
                    <w:textAlignment w:val="top"/>
                    <w:rPr>
                      <w:bCs/>
                      <w:sz w:val="18"/>
                      <w:szCs w:val="18"/>
                    </w:rPr>
                  </w:pPr>
                </w:p>
              </w:tc>
              <w:tc>
                <w:tcPr>
                  <w:tcW w:w="634" w:type="dxa"/>
                  <w:vAlign w:val="center"/>
                </w:tcPr>
                <w:p>
                  <w:pPr>
                    <w:jc w:val="center"/>
                    <w:rPr>
                      <w:sz w:val="18"/>
                      <w:szCs w:val="18"/>
                    </w:rPr>
                  </w:pPr>
                  <w:r>
                    <w:rPr>
                      <w:sz w:val="18"/>
                      <w:szCs w:val="18"/>
                    </w:rPr>
                    <w:t>/</w:t>
                  </w:r>
                </w:p>
              </w:tc>
              <w:tc>
                <w:tcPr>
                  <w:tcW w:w="510" w:type="dxa"/>
                  <w:vMerge w:val="restart"/>
                  <w:vAlign w:val="center"/>
                </w:tcPr>
                <w:p>
                  <w:pPr>
                    <w:adjustRightInd w:val="0"/>
                    <w:snapToGrid w:val="0"/>
                    <w:spacing w:line="240" w:lineRule="atLeast"/>
                    <w:jc w:val="center"/>
                    <w:rPr>
                      <w:bCs/>
                      <w:sz w:val="18"/>
                      <w:szCs w:val="18"/>
                    </w:rPr>
                  </w:pPr>
                  <w:r>
                    <w:rPr>
                      <w:bCs/>
                      <w:sz w:val="18"/>
                      <w:szCs w:val="18"/>
                    </w:rPr>
                    <w:t>间接排放</w:t>
                  </w:r>
                </w:p>
              </w:tc>
              <w:tc>
                <w:tcPr>
                  <w:tcW w:w="593" w:type="dxa"/>
                  <w:vMerge w:val="restart"/>
                  <w:vAlign w:val="center"/>
                </w:tcPr>
                <w:p>
                  <w:pPr>
                    <w:adjustRightInd w:val="0"/>
                    <w:snapToGrid w:val="0"/>
                    <w:spacing w:line="240" w:lineRule="atLeast"/>
                    <w:jc w:val="center"/>
                    <w:rPr>
                      <w:bCs/>
                      <w:sz w:val="18"/>
                      <w:szCs w:val="18"/>
                    </w:rPr>
                  </w:pPr>
                  <w:r>
                    <w:rPr>
                      <w:bCs/>
                      <w:sz w:val="18"/>
                      <w:szCs w:val="18"/>
                    </w:rPr>
                    <w:t>小蓝污水处理厂</w:t>
                  </w:r>
                </w:p>
              </w:tc>
              <w:tc>
                <w:tcPr>
                  <w:tcW w:w="759" w:type="dxa"/>
                  <w:vMerge w:val="restart"/>
                  <w:vAlign w:val="center"/>
                </w:tcPr>
                <w:p>
                  <w:pPr>
                    <w:adjustRightInd w:val="0"/>
                    <w:snapToGrid w:val="0"/>
                    <w:spacing w:line="240" w:lineRule="atLeast"/>
                    <w:jc w:val="center"/>
                    <w:rPr>
                      <w:bCs/>
                      <w:sz w:val="18"/>
                      <w:szCs w:val="18"/>
                    </w:rPr>
                  </w:pPr>
                  <w:r>
                    <w:rPr>
                      <w:bCs/>
                      <w:sz w:val="18"/>
                      <w:szCs w:val="18"/>
                    </w:rPr>
                    <w:t>排放期间流量不稳定，但有周期性规律</w:t>
                  </w:r>
                </w:p>
              </w:tc>
              <w:tc>
                <w:tcPr>
                  <w:tcW w:w="966" w:type="dxa"/>
                  <w:vMerge w:val="restart"/>
                  <w:vAlign w:val="center"/>
                </w:tcPr>
                <w:p>
                  <w:pPr>
                    <w:adjustRightInd w:val="0"/>
                    <w:snapToGrid w:val="0"/>
                    <w:spacing w:line="240" w:lineRule="atLeast"/>
                    <w:jc w:val="center"/>
                    <w:rPr>
                      <w:bCs/>
                      <w:sz w:val="18"/>
                      <w:szCs w:val="18"/>
                    </w:rPr>
                  </w:pPr>
                  <w:r>
                    <w:rPr>
                      <w:bCs/>
                      <w:sz w:val="18"/>
                      <w:szCs w:val="18"/>
                    </w:rPr>
                    <w:t>DW01，废水总排口</w:t>
                  </w:r>
                </w:p>
              </w:tc>
              <w:tc>
                <w:tcPr>
                  <w:tcW w:w="501" w:type="dxa"/>
                  <w:vMerge w:val="restart"/>
                  <w:vAlign w:val="center"/>
                </w:tcPr>
                <w:p>
                  <w:pPr>
                    <w:adjustRightInd w:val="0"/>
                    <w:snapToGrid w:val="0"/>
                    <w:spacing w:line="240" w:lineRule="atLeast"/>
                    <w:jc w:val="center"/>
                    <w:rPr>
                      <w:bCs/>
                      <w:sz w:val="18"/>
                      <w:szCs w:val="18"/>
                    </w:rPr>
                  </w:pPr>
                  <w:r>
                    <w:rPr>
                      <w:bCs/>
                      <w:sz w:val="18"/>
                      <w:szCs w:val="18"/>
                    </w:rPr>
                    <w:t>一般排放口</w:t>
                  </w:r>
                </w:p>
              </w:tc>
              <w:tc>
                <w:tcPr>
                  <w:tcW w:w="1650" w:type="dxa"/>
                  <w:vMerge w:val="restart"/>
                  <w:vAlign w:val="center"/>
                </w:tcPr>
                <w:p>
                  <w:pPr>
                    <w:adjustRightInd w:val="0"/>
                    <w:snapToGrid w:val="0"/>
                    <w:spacing w:line="240" w:lineRule="atLeast"/>
                    <w:jc w:val="center"/>
                    <w:rPr>
                      <w:bCs/>
                      <w:sz w:val="18"/>
                      <w:szCs w:val="18"/>
                    </w:rPr>
                  </w:pPr>
                  <w:r>
                    <w:rPr>
                      <w:rFonts w:hint="eastAsia"/>
                      <w:bCs/>
                      <w:sz w:val="18"/>
                      <w:szCs w:val="18"/>
                    </w:rPr>
                    <w:t>东经115°52'34.295"，北纬28°30'41.306"</w:t>
                  </w:r>
                </w:p>
              </w:tc>
              <w:tc>
                <w:tcPr>
                  <w:tcW w:w="609" w:type="dxa"/>
                  <w:vAlign w:val="center"/>
                </w:tcPr>
                <w:p>
                  <w:pPr>
                    <w:pStyle w:val="39"/>
                    <w:tabs>
                      <w:tab w:val="left" w:pos="420"/>
                      <w:tab w:val="left" w:pos="870"/>
                      <w:tab w:val="left" w:pos="3150"/>
                    </w:tabs>
                    <w:snapToGrid w:val="0"/>
                    <w:spacing w:after="0" w:line="240" w:lineRule="atLeast"/>
                    <w:ind w:left="0" w:leftChars="0" w:firstLine="0" w:firstLineChars="0"/>
                    <w:jc w:val="center"/>
                    <w:rPr>
                      <w:rFonts w:ascii="Times New Roman" w:hAnsi="Times New Roman"/>
                      <w:bCs/>
                      <w:sz w:val="18"/>
                      <w:szCs w:val="18"/>
                    </w:rPr>
                  </w:pPr>
                  <w:r>
                    <w:rPr>
                      <w:rFonts w:ascii="Times New Roman" w:hAnsi="Times New Roman"/>
                      <w:sz w:val="18"/>
                      <w:szCs w:val="18"/>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vAlign w:val="center"/>
                </w:tcPr>
                <w:p>
                  <w:pPr>
                    <w:adjustRightInd w:val="0"/>
                    <w:snapToGrid w:val="0"/>
                    <w:spacing w:line="240" w:lineRule="atLeast"/>
                    <w:jc w:val="center"/>
                    <w:rPr>
                      <w:bCs/>
                      <w:sz w:val="18"/>
                      <w:szCs w:val="18"/>
                    </w:rPr>
                  </w:pPr>
                </w:p>
              </w:tc>
              <w:tc>
                <w:tcPr>
                  <w:tcW w:w="641" w:type="dxa"/>
                  <w:vMerge w:val="continue"/>
                  <w:vAlign w:val="center"/>
                </w:tcPr>
                <w:p>
                  <w:pPr>
                    <w:adjustRightInd w:val="0"/>
                    <w:snapToGrid w:val="0"/>
                    <w:spacing w:line="240" w:lineRule="atLeast"/>
                    <w:jc w:val="center"/>
                    <w:rPr>
                      <w:bCs/>
                      <w:sz w:val="18"/>
                      <w:szCs w:val="18"/>
                    </w:rPr>
                  </w:pPr>
                </w:p>
              </w:tc>
              <w:tc>
                <w:tcPr>
                  <w:tcW w:w="870" w:type="dxa"/>
                  <w:vAlign w:val="center"/>
                </w:tcPr>
                <w:p>
                  <w:pPr>
                    <w:adjustRightInd w:val="0"/>
                    <w:snapToGrid w:val="0"/>
                    <w:spacing w:line="240" w:lineRule="atLeast"/>
                    <w:jc w:val="center"/>
                    <w:rPr>
                      <w:bCs/>
                      <w:sz w:val="18"/>
                      <w:szCs w:val="18"/>
                    </w:rPr>
                  </w:pPr>
                  <w:r>
                    <w:rPr>
                      <w:bCs/>
                      <w:sz w:val="18"/>
                      <w:szCs w:val="18"/>
                    </w:rPr>
                    <w:t>CODcr</w:t>
                  </w:r>
                </w:p>
              </w:tc>
              <w:tc>
                <w:tcPr>
                  <w:tcW w:w="801" w:type="dxa"/>
                  <w:vMerge w:val="continue"/>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250</w:t>
                  </w:r>
                </w:p>
              </w:tc>
              <w:tc>
                <w:tcPr>
                  <w:tcW w:w="711" w:type="dxa"/>
                  <w:vAlign w:val="center"/>
                </w:tcPr>
                <w:p>
                  <w:pPr>
                    <w:widowControl/>
                    <w:snapToGrid w:val="0"/>
                    <w:spacing w:line="240" w:lineRule="atLeast"/>
                    <w:jc w:val="center"/>
                    <w:textAlignment w:val="top"/>
                    <w:rPr>
                      <w:bCs/>
                      <w:sz w:val="18"/>
                      <w:szCs w:val="18"/>
                    </w:rPr>
                  </w:pPr>
                  <w:r>
                    <w:rPr>
                      <w:rFonts w:hint="eastAsia"/>
                      <w:color w:val="000000"/>
                      <w:sz w:val="18"/>
                      <w:szCs w:val="18"/>
                    </w:rPr>
                    <w:t>0.528</w:t>
                  </w:r>
                </w:p>
              </w:tc>
              <w:tc>
                <w:tcPr>
                  <w:tcW w:w="649" w:type="dxa"/>
                  <w:vMerge w:val="continue"/>
                  <w:vAlign w:val="center"/>
                </w:tcPr>
                <w:p>
                  <w:pPr>
                    <w:adjustRightInd w:val="0"/>
                    <w:snapToGrid w:val="0"/>
                    <w:spacing w:line="240" w:lineRule="atLeast"/>
                    <w:jc w:val="center"/>
                    <w:rPr>
                      <w:bCs/>
                      <w:sz w:val="18"/>
                      <w:szCs w:val="18"/>
                    </w:rPr>
                  </w:pPr>
                </w:p>
              </w:tc>
              <w:tc>
                <w:tcPr>
                  <w:tcW w:w="541" w:type="dxa"/>
                  <w:vMerge w:val="continue"/>
                  <w:vAlign w:val="center"/>
                </w:tcPr>
                <w:p>
                  <w:pPr>
                    <w:adjustRightInd w:val="0"/>
                    <w:snapToGrid w:val="0"/>
                    <w:spacing w:line="240" w:lineRule="atLeast"/>
                    <w:jc w:val="center"/>
                    <w:rPr>
                      <w:bCs/>
                      <w:sz w:val="18"/>
                      <w:szCs w:val="18"/>
                    </w:rPr>
                  </w:pPr>
                </w:p>
              </w:tc>
              <w:tc>
                <w:tcPr>
                  <w:tcW w:w="523" w:type="dxa"/>
                  <w:vAlign w:val="center"/>
                </w:tcPr>
                <w:p>
                  <w:pPr>
                    <w:adjustRightInd w:val="0"/>
                    <w:snapToGrid w:val="0"/>
                    <w:spacing w:line="240" w:lineRule="atLeast"/>
                    <w:jc w:val="center"/>
                    <w:rPr>
                      <w:bCs/>
                      <w:sz w:val="18"/>
                      <w:szCs w:val="18"/>
                    </w:rPr>
                  </w:pPr>
                  <w:r>
                    <w:rPr>
                      <w:bCs/>
                      <w:sz w:val="18"/>
                      <w:szCs w:val="18"/>
                    </w:rPr>
                    <w:t>12</w:t>
                  </w:r>
                </w:p>
              </w:tc>
              <w:tc>
                <w:tcPr>
                  <w:tcW w:w="554" w:type="dxa"/>
                  <w:vMerge w:val="continue"/>
                  <w:vAlign w:val="center"/>
                </w:tcPr>
                <w:p>
                  <w:pPr>
                    <w:adjustRightInd w:val="0"/>
                    <w:snapToGrid w:val="0"/>
                    <w:spacing w:line="240" w:lineRule="atLeast"/>
                    <w:jc w:val="center"/>
                    <w:rPr>
                      <w:bCs/>
                      <w:sz w:val="18"/>
                      <w:szCs w:val="18"/>
                    </w:rPr>
                  </w:pPr>
                </w:p>
              </w:tc>
              <w:tc>
                <w:tcPr>
                  <w:tcW w:w="801" w:type="dxa"/>
                  <w:vMerge w:val="continue"/>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220</w:t>
                  </w:r>
                </w:p>
              </w:tc>
              <w:tc>
                <w:tcPr>
                  <w:tcW w:w="634" w:type="dxa"/>
                  <w:vAlign w:val="center"/>
                </w:tcPr>
                <w:p>
                  <w:pPr>
                    <w:jc w:val="center"/>
                    <w:rPr>
                      <w:sz w:val="18"/>
                      <w:szCs w:val="18"/>
                    </w:rPr>
                  </w:pPr>
                  <w:r>
                    <w:rPr>
                      <w:rFonts w:hint="eastAsia"/>
                      <w:color w:val="000000"/>
                      <w:sz w:val="18"/>
                      <w:szCs w:val="18"/>
                    </w:rPr>
                    <w:t>0.464</w:t>
                  </w:r>
                </w:p>
              </w:tc>
              <w:tc>
                <w:tcPr>
                  <w:tcW w:w="510" w:type="dxa"/>
                  <w:vMerge w:val="continue"/>
                  <w:vAlign w:val="center"/>
                </w:tcPr>
                <w:p>
                  <w:pPr>
                    <w:adjustRightInd w:val="0"/>
                    <w:snapToGrid w:val="0"/>
                    <w:spacing w:line="240" w:lineRule="atLeast"/>
                    <w:jc w:val="center"/>
                    <w:rPr>
                      <w:bCs/>
                      <w:sz w:val="18"/>
                      <w:szCs w:val="18"/>
                    </w:rPr>
                  </w:pPr>
                </w:p>
              </w:tc>
              <w:tc>
                <w:tcPr>
                  <w:tcW w:w="593" w:type="dxa"/>
                  <w:vMerge w:val="continue"/>
                  <w:vAlign w:val="center"/>
                </w:tcPr>
                <w:p>
                  <w:pPr>
                    <w:adjustRightInd w:val="0"/>
                    <w:snapToGrid w:val="0"/>
                    <w:spacing w:line="240" w:lineRule="atLeast"/>
                    <w:jc w:val="center"/>
                    <w:rPr>
                      <w:b/>
                      <w:bCs/>
                      <w:sz w:val="18"/>
                      <w:szCs w:val="18"/>
                    </w:rPr>
                  </w:pPr>
                </w:p>
              </w:tc>
              <w:tc>
                <w:tcPr>
                  <w:tcW w:w="759" w:type="dxa"/>
                  <w:vMerge w:val="continue"/>
                  <w:vAlign w:val="center"/>
                </w:tcPr>
                <w:p>
                  <w:pPr>
                    <w:adjustRightInd w:val="0"/>
                    <w:snapToGrid w:val="0"/>
                    <w:spacing w:line="240" w:lineRule="atLeast"/>
                    <w:jc w:val="center"/>
                    <w:rPr>
                      <w:b/>
                      <w:bCs/>
                      <w:sz w:val="18"/>
                      <w:szCs w:val="18"/>
                    </w:rPr>
                  </w:pPr>
                </w:p>
              </w:tc>
              <w:tc>
                <w:tcPr>
                  <w:tcW w:w="966" w:type="dxa"/>
                  <w:vMerge w:val="continue"/>
                  <w:vAlign w:val="center"/>
                </w:tcPr>
                <w:p>
                  <w:pPr>
                    <w:adjustRightInd w:val="0"/>
                    <w:snapToGrid w:val="0"/>
                    <w:spacing w:line="240" w:lineRule="atLeast"/>
                    <w:jc w:val="center"/>
                    <w:rPr>
                      <w:b/>
                      <w:bCs/>
                      <w:sz w:val="18"/>
                      <w:szCs w:val="18"/>
                    </w:rPr>
                  </w:pPr>
                </w:p>
              </w:tc>
              <w:tc>
                <w:tcPr>
                  <w:tcW w:w="501" w:type="dxa"/>
                  <w:vMerge w:val="continue"/>
                  <w:vAlign w:val="center"/>
                </w:tcPr>
                <w:p>
                  <w:pPr>
                    <w:adjustRightInd w:val="0"/>
                    <w:snapToGrid w:val="0"/>
                    <w:spacing w:line="240" w:lineRule="atLeast"/>
                    <w:jc w:val="center"/>
                    <w:rPr>
                      <w:b/>
                      <w:bCs/>
                      <w:sz w:val="18"/>
                      <w:szCs w:val="18"/>
                    </w:rPr>
                  </w:pPr>
                </w:p>
              </w:tc>
              <w:tc>
                <w:tcPr>
                  <w:tcW w:w="1650" w:type="dxa"/>
                  <w:vMerge w:val="continue"/>
                  <w:vAlign w:val="center"/>
                </w:tcPr>
                <w:p>
                  <w:pPr>
                    <w:adjustRightInd w:val="0"/>
                    <w:snapToGrid w:val="0"/>
                    <w:spacing w:line="240" w:lineRule="atLeast"/>
                    <w:jc w:val="center"/>
                    <w:rPr>
                      <w:b/>
                      <w:bCs/>
                      <w:sz w:val="18"/>
                      <w:szCs w:val="18"/>
                    </w:rPr>
                  </w:pPr>
                </w:p>
              </w:tc>
              <w:tc>
                <w:tcPr>
                  <w:tcW w:w="609" w:type="dxa"/>
                  <w:vAlign w:val="center"/>
                </w:tcPr>
                <w:p>
                  <w:pPr>
                    <w:pStyle w:val="39"/>
                    <w:tabs>
                      <w:tab w:val="left" w:pos="420"/>
                      <w:tab w:val="left" w:pos="870"/>
                      <w:tab w:val="left" w:pos="3150"/>
                    </w:tabs>
                    <w:snapToGrid w:val="0"/>
                    <w:spacing w:after="0" w:line="240" w:lineRule="atLeast"/>
                    <w:ind w:left="0" w:leftChars="0" w:firstLine="0" w:firstLineChars="0"/>
                    <w:jc w:val="center"/>
                    <w:rPr>
                      <w:rFonts w:ascii="Times New Roman" w:hAnsi="Times New Roman"/>
                      <w:bCs/>
                      <w:sz w:val="18"/>
                      <w:szCs w:val="18"/>
                    </w:rPr>
                  </w:pPr>
                  <w:r>
                    <w:rPr>
                      <w:rFonts w:ascii="Times New Roman" w:hAnsi="Times New Roman"/>
                      <w:bCs/>
                      <w:sz w:val="18"/>
                      <w:szCs w:val="1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vAlign w:val="center"/>
                </w:tcPr>
                <w:p>
                  <w:pPr>
                    <w:adjustRightInd w:val="0"/>
                    <w:snapToGrid w:val="0"/>
                    <w:spacing w:line="240" w:lineRule="atLeast"/>
                    <w:jc w:val="center"/>
                    <w:rPr>
                      <w:bCs/>
                      <w:sz w:val="18"/>
                      <w:szCs w:val="18"/>
                    </w:rPr>
                  </w:pPr>
                </w:p>
              </w:tc>
              <w:tc>
                <w:tcPr>
                  <w:tcW w:w="641" w:type="dxa"/>
                  <w:vMerge w:val="continue"/>
                  <w:vAlign w:val="center"/>
                </w:tcPr>
                <w:p>
                  <w:pPr>
                    <w:adjustRightInd w:val="0"/>
                    <w:snapToGrid w:val="0"/>
                    <w:spacing w:line="240" w:lineRule="atLeast"/>
                    <w:jc w:val="center"/>
                    <w:rPr>
                      <w:bCs/>
                      <w:sz w:val="18"/>
                      <w:szCs w:val="18"/>
                    </w:rPr>
                  </w:pPr>
                </w:p>
              </w:tc>
              <w:tc>
                <w:tcPr>
                  <w:tcW w:w="870" w:type="dxa"/>
                  <w:vAlign w:val="center"/>
                </w:tcPr>
                <w:p>
                  <w:pPr>
                    <w:adjustRightInd w:val="0"/>
                    <w:snapToGrid w:val="0"/>
                    <w:spacing w:line="240" w:lineRule="atLeast"/>
                    <w:jc w:val="center"/>
                    <w:rPr>
                      <w:bCs/>
                      <w:sz w:val="18"/>
                      <w:szCs w:val="18"/>
                    </w:rPr>
                  </w:pPr>
                  <w:r>
                    <w:rPr>
                      <w:bCs/>
                      <w:sz w:val="18"/>
                      <w:szCs w:val="18"/>
                    </w:rPr>
                    <w:t>BOD</w:t>
                  </w:r>
                  <w:r>
                    <w:rPr>
                      <w:bCs/>
                      <w:sz w:val="18"/>
                      <w:szCs w:val="18"/>
                      <w:vertAlign w:val="subscript"/>
                    </w:rPr>
                    <w:t>5</w:t>
                  </w:r>
                </w:p>
              </w:tc>
              <w:tc>
                <w:tcPr>
                  <w:tcW w:w="801" w:type="dxa"/>
                  <w:vMerge w:val="continue"/>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150</w:t>
                  </w:r>
                </w:p>
              </w:tc>
              <w:tc>
                <w:tcPr>
                  <w:tcW w:w="711" w:type="dxa"/>
                  <w:vAlign w:val="center"/>
                </w:tcPr>
                <w:p>
                  <w:pPr>
                    <w:widowControl/>
                    <w:snapToGrid w:val="0"/>
                    <w:spacing w:line="240" w:lineRule="atLeast"/>
                    <w:jc w:val="center"/>
                    <w:textAlignment w:val="top"/>
                    <w:rPr>
                      <w:bCs/>
                      <w:sz w:val="18"/>
                      <w:szCs w:val="18"/>
                    </w:rPr>
                  </w:pPr>
                  <w:r>
                    <w:rPr>
                      <w:rFonts w:hint="eastAsia"/>
                      <w:color w:val="000000"/>
                      <w:sz w:val="18"/>
                      <w:szCs w:val="18"/>
                    </w:rPr>
                    <w:t>0.316</w:t>
                  </w:r>
                </w:p>
              </w:tc>
              <w:tc>
                <w:tcPr>
                  <w:tcW w:w="649" w:type="dxa"/>
                  <w:vMerge w:val="continue"/>
                  <w:vAlign w:val="center"/>
                </w:tcPr>
                <w:p>
                  <w:pPr>
                    <w:adjustRightInd w:val="0"/>
                    <w:snapToGrid w:val="0"/>
                    <w:spacing w:line="240" w:lineRule="atLeast"/>
                    <w:jc w:val="center"/>
                    <w:rPr>
                      <w:bCs/>
                      <w:sz w:val="18"/>
                      <w:szCs w:val="18"/>
                    </w:rPr>
                  </w:pPr>
                </w:p>
              </w:tc>
              <w:tc>
                <w:tcPr>
                  <w:tcW w:w="541" w:type="dxa"/>
                  <w:vMerge w:val="continue"/>
                  <w:vAlign w:val="center"/>
                </w:tcPr>
                <w:p>
                  <w:pPr>
                    <w:adjustRightInd w:val="0"/>
                    <w:snapToGrid w:val="0"/>
                    <w:spacing w:line="240" w:lineRule="atLeast"/>
                    <w:jc w:val="center"/>
                    <w:rPr>
                      <w:bCs/>
                      <w:sz w:val="18"/>
                      <w:szCs w:val="18"/>
                    </w:rPr>
                  </w:pPr>
                </w:p>
              </w:tc>
              <w:tc>
                <w:tcPr>
                  <w:tcW w:w="523" w:type="dxa"/>
                  <w:vAlign w:val="center"/>
                </w:tcPr>
                <w:p>
                  <w:pPr>
                    <w:adjustRightInd w:val="0"/>
                    <w:snapToGrid w:val="0"/>
                    <w:spacing w:line="240" w:lineRule="atLeast"/>
                    <w:jc w:val="center"/>
                    <w:rPr>
                      <w:bCs/>
                      <w:sz w:val="18"/>
                      <w:szCs w:val="18"/>
                    </w:rPr>
                  </w:pPr>
                  <w:r>
                    <w:rPr>
                      <w:bCs/>
                      <w:sz w:val="18"/>
                      <w:szCs w:val="18"/>
                    </w:rPr>
                    <w:t>20</w:t>
                  </w:r>
                </w:p>
              </w:tc>
              <w:tc>
                <w:tcPr>
                  <w:tcW w:w="554" w:type="dxa"/>
                  <w:vMerge w:val="continue"/>
                  <w:vAlign w:val="center"/>
                </w:tcPr>
                <w:p>
                  <w:pPr>
                    <w:adjustRightInd w:val="0"/>
                    <w:snapToGrid w:val="0"/>
                    <w:spacing w:line="240" w:lineRule="atLeast"/>
                    <w:jc w:val="center"/>
                    <w:rPr>
                      <w:bCs/>
                      <w:sz w:val="18"/>
                      <w:szCs w:val="18"/>
                    </w:rPr>
                  </w:pPr>
                </w:p>
              </w:tc>
              <w:tc>
                <w:tcPr>
                  <w:tcW w:w="801" w:type="dxa"/>
                  <w:vMerge w:val="continue"/>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120</w:t>
                  </w:r>
                </w:p>
              </w:tc>
              <w:tc>
                <w:tcPr>
                  <w:tcW w:w="634" w:type="dxa"/>
                  <w:vAlign w:val="center"/>
                </w:tcPr>
                <w:p>
                  <w:pPr>
                    <w:jc w:val="center"/>
                    <w:rPr>
                      <w:sz w:val="18"/>
                      <w:szCs w:val="18"/>
                    </w:rPr>
                  </w:pPr>
                  <w:r>
                    <w:rPr>
                      <w:rFonts w:hint="eastAsia"/>
                      <w:color w:val="000000"/>
                      <w:sz w:val="18"/>
                      <w:szCs w:val="18"/>
                    </w:rPr>
                    <w:t>0.252</w:t>
                  </w:r>
                </w:p>
              </w:tc>
              <w:tc>
                <w:tcPr>
                  <w:tcW w:w="510" w:type="dxa"/>
                  <w:vMerge w:val="continue"/>
                  <w:vAlign w:val="center"/>
                </w:tcPr>
                <w:p>
                  <w:pPr>
                    <w:adjustRightInd w:val="0"/>
                    <w:snapToGrid w:val="0"/>
                    <w:spacing w:line="240" w:lineRule="atLeast"/>
                    <w:jc w:val="center"/>
                    <w:rPr>
                      <w:bCs/>
                      <w:sz w:val="18"/>
                      <w:szCs w:val="18"/>
                    </w:rPr>
                  </w:pPr>
                </w:p>
              </w:tc>
              <w:tc>
                <w:tcPr>
                  <w:tcW w:w="593" w:type="dxa"/>
                  <w:vMerge w:val="continue"/>
                  <w:vAlign w:val="center"/>
                </w:tcPr>
                <w:p>
                  <w:pPr>
                    <w:adjustRightInd w:val="0"/>
                    <w:snapToGrid w:val="0"/>
                    <w:spacing w:line="240" w:lineRule="atLeast"/>
                    <w:jc w:val="center"/>
                    <w:rPr>
                      <w:b/>
                      <w:bCs/>
                      <w:sz w:val="18"/>
                      <w:szCs w:val="18"/>
                    </w:rPr>
                  </w:pPr>
                </w:p>
              </w:tc>
              <w:tc>
                <w:tcPr>
                  <w:tcW w:w="759" w:type="dxa"/>
                  <w:vMerge w:val="continue"/>
                  <w:vAlign w:val="center"/>
                </w:tcPr>
                <w:p>
                  <w:pPr>
                    <w:adjustRightInd w:val="0"/>
                    <w:snapToGrid w:val="0"/>
                    <w:spacing w:line="240" w:lineRule="atLeast"/>
                    <w:jc w:val="center"/>
                    <w:rPr>
                      <w:b/>
                      <w:bCs/>
                      <w:sz w:val="18"/>
                      <w:szCs w:val="18"/>
                    </w:rPr>
                  </w:pPr>
                </w:p>
              </w:tc>
              <w:tc>
                <w:tcPr>
                  <w:tcW w:w="966" w:type="dxa"/>
                  <w:vMerge w:val="continue"/>
                  <w:vAlign w:val="center"/>
                </w:tcPr>
                <w:p>
                  <w:pPr>
                    <w:adjustRightInd w:val="0"/>
                    <w:snapToGrid w:val="0"/>
                    <w:spacing w:line="240" w:lineRule="atLeast"/>
                    <w:jc w:val="center"/>
                    <w:rPr>
                      <w:b/>
                      <w:bCs/>
                      <w:sz w:val="18"/>
                      <w:szCs w:val="18"/>
                    </w:rPr>
                  </w:pPr>
                </w:p>
              </w:tc>
              <w:tc>
                <w:tcPr>
                  <w:tcW w:w="501" w:type="dxa"/>
                  <w:vMerge w:val="continue"/>
                  <w:vAlign w:val="center"/>
                </w:tcPr>
                <w:p>
                  <w:pPr>
                    <w:adjustRightInd w:val="0"/>
                    <w:snapToGrid w:val="0"/>
                    <w:spacing w:line="240" w:lineRule="atLeast"/>
                    <w:jc w:val="center"/>
                    <w:rPr>
                      <w:b/>
                      <w:bCs/>
                      <w:sz w:val="18"/>
                      <w:szCs w:val="18"/>
                    </w:rPr>
                  </w:pPr>
                </w:p>
              </w:tc>
              <w:tc>
                <w:tcPr>
                  <w:tcW w:w="1650" w:type="dxa"/>
                  <w:vMerge w:val="continue"/>
                  <w:vAlign w:val="center"/>
                </w:tcPr>
                <w:p>
                  <w:pPr>
                    <w:adjustRightInd w:val="0"/>
                    <w:snapToGrid w:val="0"/>
                    <w:spacing w:line="240" w:lineRule="atLeast"/>
                    <w:jc w:val="center"/>
                    <w:rPr>
                      <w:b/>
                      <w:bCs/>
                      <w:sz w:val="18"/>
                      <w:szCs w:val="18"/>
                    </w:rPr>
                  </w:pPr>
                </w:p>
              </w:tc>
              <w:tc>
                <w:tcPr>
                  <w:tcW w:w="609" w:type="dxa"/>
                  <w:vAlign w:val="center"/>
                </w:tcPr>
                <w:p>
                  <w:pPr>
                    <w:pStyle w:val="39"/>
                    <w:tabs>
                      <w:tab w:val="left" w:pos="420"/>
                      <w:tab w:val="left" w:pos="870"/>
                      <w:tab w:val="left" w:pos="3150"/>
                    </w:tabs>
                    <w:snapToGrid w:val="0"/>
                    <w:spacing w:after="0" w:line="240" w:lineRule="atLeast"/>
                    <w:ind w:left="0" w:leftChars="0" w:firstLine="0" w:firstLineChars="0"/>
                    <w:jc w:val="center"/>
                    <w:rPr>
                      <w:rFonts w:ascii="Times New Roman" w:hAnsi="Times New Roman"/>
                      <w:bCs/>
                      <w:sz w:val="18"/>
                      <w:szCs w:val="18"/>
                    </w:rPr>
                  </w:pPr>
                  <w:r>
                    <w:rPr>
                      <w:rFonts w:ascii="Times New Roman" w:hAnsi="Times New Roman"/>
                      <w:bCs/>
                      <w:sz w:val="18"/>
                      <w:szCs w:val="1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vAlign w:val="center"/>
                </w:tcPr>
                <w:p>
                  <w:pPr>
                    <w:adjustRightInd w:val="0"/>
                    <w:snapToGrid w:val="0"/>
                    <w:spacing w:line="240" w:lineRule="atLeast"/>
                    <w:jc w:val="center"/>
                    <w:rPr>
                      <w:bCs/>
                      <w:sz w:val="18"/>
                      <w:szCs w:val="18"/>
                    </w:rPr>
                  </w:pPr>
                </w:p>
              </w:tc>
              <w:tc>
                <w:tcPr>
                  <w:tcW w:w="641" w:type="dxa"/>
                  <w:vMerge w:val="continue"/>
                  <w:vAlign w:val="center"/>
                </w:tcPr>
                <w:p>
                  <w:pPr>
                    <w:adjustRightInd w:val="0"/>
                    <w:snapToGrid w:val="0"/>
                    <w:spacing w:line="240" w:lineRule="atLeast"/>
                    <w:jc w:val="center"/>
                    <w:rPr>
                      <w:bCs/>
                      <w:sz w:val="18"/>
                      <w:szCs w:val="18"/>
                    </w:rPr>
                  </w:pPr>
                </w:p>
              </w:tc>
              <w:tc>
                <w:tcPr>
                  <w:tcW w:w="870" w:type="dxa"/>
                  <w:vAlign w:val="center"/>
                </w:tcPr>
                <w:p>
                  <w:pPr>
                    <w:adjustRightInd w:val="0"/>
                    <w:snapToGrid w:val="0"/>
                    <w:spacing w:line="240" w:lineRule="atLeast"/>
                    <w:jc w:val="center"/>
                    <w:rPr>
                      <w:bCs/>
                      <w:sz w:val="18"/>
                      <w:szCs w:val="18"/>
                    </w:rPr>
                  </w:pPr>
                  <w:r>
                    <w:rPr>
                      <w:bCs/>
                      <w:sz w:val="18"/>
                      <w:szCs w:val="18"/>
                    </w:rPr>
                    <w:t>SS</w:t>
                  </w:r>
                </w:p>
              </w:tc>
              <w:tc>
                <w:tcPr>
                  <w:tcW w:w="801" w:type="dxa"/>
                  <w:vMerge w:val="continue"/>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200</w:t>
                  </w:r>
                </w:p>
              </w:tc>
              <w:tc>
                <w:tcPr>
                  <w:tcW w:w="711" w:type="dxa"/>
                  <w:vAlign w:val="center"/>
                </w:tcPr>
                <w:p>
                  <w:pPr>
                    <w:widowControl/>
                    <w:snapToGrid w:val="0"/>
                    <w:spacing w:line="240" w:lineRule="atLeast"/>
                    <w:jc w:val="center"/>
                    <w:textAlignment w:val="top"/>
                    <w:rPr>
                      <w:bCs/>
                      <w:sz w:val="18"/>
                      <w:szCs w:val="18"/>
                    </w:rPr>
                  </w:pPr>
                  <w:r>
                    <w:rPr>
                      <w:rFonts w:hint="eastAsia"/>
                      <w:color w:val="000000"/>
                      <w:sz w:val="18"/>
                      <w:szCs w:val="18"/>
                    </w:rPr>
                    <w:t>0.424</w:t>
                  </w:r>
                </w:p>
              </w:tc>
              <w:tc>
                <w:tcPr>
                  <w:tcW w:w="649" w:type="dxa"/>
                  <w:vMerge w:val="continue"/>
                  <w:vAlign w:val="center"/>
                </w:tcPr>
                <w:p>
                  <w:pPr>
                    <w:adjustRightInd w:val="0"/>
                    <w:snapToGrid w:val="0"/>
                    <w:spacing w:line="240" w:lineRule="atLeast"/>
                    <w:jc w:val="center"/>
                    <w:rPr>
                      <w:bCs/>
                      <w:sz w:val="18"/>
                      <w:szCs w:val="18"/>
                    </w:rPr>
                  </w:pPr>
                </w:p>
              </w:tc>
              <w:tc>
                <w:tcPr>
                  <w:tcW w:w="541" w:type="dxa"/>
                  <w:vMerge w:val="continue"/>
                  <w:vAlign w:val="center"/>
                </w:tcPr>
                <w:p>
                  <w:pPr>
                    <w:adjustRightInd w:val="0"/>
                    <w:snapToGrid w:val="0"/>
                    <w:spacing w:line="240" w:lineRule="atLeast"/>
                    <w:jc w:val="center"/>
                    <w:rPr>
                      <w:bCs/>
                      <w:sz w:val="18"/>
                      <w:szCs w:val="18"/>
                    </w:rPr>
                  </w:pPr>
                </w:p>
              </w:tc>
              <w:tc>
                <w:tcPr>
                  <w:tcW w:w="523" w:type="dxa"/>
                  <w:vAlign w:val="center"/>
                </w:tcPr>
                <w:p>
                  <w:pPr>
                    <w:adjustRightInd w:val="0"/>
                    <w:snapToGrid w:val="0"/>
                    <w:spacing w:line="240" w:lineRule="atLeast"/>
                    <w:jc w:val="center"/>
                    <w:rPr>
                      <w:bCs/>
                      <w:sz w:val="18"/>
                      <w:szCs w:val="18"/>
                    </w:rPr>
                  </w:pPr>
                  <w:r>
                    <w:rPr>
                      <w:bCs/>
                      <w:sz w:val="18"/>
                      <w:szCs w:val="18"/>
                    </w:rPr>
                    <w:t>25</w:t>
                  </w:r>
                </w:p>
              </w:tc>
              <w:tc>
                <w:tcPr>
                  <w:tcW w:w="554" w:type="dxa"/>
                  <w:vMerge w:val="continue"/>
                  <w:vAlign w:val="center"/>
                </w:tcPr>
                <w:p>
                  <w:pPr>
                    <w:adjustRightInd w:val="0"/>
                    <w:snapToGrid w:val="0"/>
                    <w:spacing w:line="240" w:lineRule="atLeast"/>
                    <w:jc w:val="center"/>
                    <w:rPr>
                      <w:bCs/>
                      <w:sz w:val="18"/>
                      <w:szCs w:val="18"/>
                    </w:rPr>
                  </w:pPr>
                </w:p>
              </w:tc>
              <w:tc>
                <w:tcPr>
                  <w:tcW w:w="801" w:type="dxa"/>
                  <w:vMerge w:val="continue"/>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150</w:t>
                  </w:r>
                </w:p>
              </w:tc>
              <w:tc>
                <w:tcPr>
                  <w:tcW w:w="634" w:type="dxa"/>
                  <w:vAlign w:val="center"/>
                </w:tcPr>
                <w:p>
                  <w:pPr>
                    <w:jc w:val="center"/>
                    <w:rPr>
                      <w:sz w:val="18"/>
                      <w:szCs w:val="18"/>
                    </w:rPr>
                  </w:pPr>
                  <w:r>
                    <w:rPr>
                      <w:rFonts w:hint="eastAsia"/>
                      <w:color w:val="000000"/>
                      <w:sz w:val="18"/>
                      <w:szCs w:val="18"/>
                    </w:rPr>
                    <w:t>0.292</w:t>
                  </w:r>
                </w:p>
              </w:tc>
              <w:tc>
                <w:tcPr>
                  <w:tcW w:w="510" w:type="dxa"/>
                  <w:vMerge w:val="continue"/>
                  <w:vAlign w:val="center"/>
                </w:tcPr>
                <w:p>
                  <w:pPr>
                    <w:adjustRightInd w:val="0"/>
                    <w:snapToGrid w:val="0"/>
                    <w:spacing w:line="240" w:lineRule="atLeast"/>
                    <w:jc w:val="center"/>
                    <w:rPr>
                      <w:bCs/>
                      <w:sz w:val="18"/>
                      <w:szCs w:val="18"/>
                    </w:rPr>
                  </w:pPr>
                </w:p>
              </w:tc>
              <w:tc>
                <w:tcPr>
                  <w:tcW w:w="593" w:type="dxa"/>
                  <w:vMerge w:val="continue"/>
                  <w:vAlign w:val="center"/>
                </w:tcPr>
                <w:p>
                  <w:pPr>
                    <w:adjustRightInd w:val="0"/>
                    <w:snapToGrid w:val="0"/>
                    <w:spacing w:line="240" w:lineRule="atLeast"/>
                    <w:jc w:val="center"/>
                    <w:rPr>
                      <w:b/>
                      <w:bCs/>
                      <w:sz w:val="18"/>
                      <w:szCs w:val="18"/>
                    </w:rPr>
                  </w:pPr>
                </w:p>
              </w:tc>
              <w:tc>
                <w:tcPr>
                  <w:tcW w:w="759" w:type="dxa"/>
                  <w:vMerge w:val="continue"/>
                  <w:vAlign w:val="center"/>
                </w:tcPr>
                <w:p>
                  <w:pPr>
                    <w:adjustRightInd w:val="0"/>
                    <w:snapToGrid w:val="0"/>
                    <w:spacing w:line="240" w:lineRule="atLeast"/>
                    <w:jc w:val="center"/>
                    <w:rPr>
                      <w:b/>
                      <w:bCs/>
                      <w:sz w:val="18"/>
                      <w:szCs w:val="18"/>
                    </w:rPr>
                  </w:pPr>
                </w:p>
              </w:tc>
              <w:tc>
                <w:tcPr>
                  <w:tcW w:w="966" w:type="dxa"/>
                  <w:vMerge w:val="continue"/>
                  <w:vAlign w:val="center"/>
                </w:tcPr>
                <w:p>
                  <w:pPr>
                    <w:adjustRightInd w:val="0"/>
                    <w:snapToGrid w:val="0"/>
                    <w:spacing w:line="240" w:lineRule="atLeast"/>
                    <w:jc w:val="center"/>
                    <w:rPr>
                      <w:b/>
                      <w:bCs/>
                      <w:sz w:val="18"/>
                      <w:szCs w:val="18"/>
                    </w:rPr>
                  </w:pPr>
                </w:p>
              </w:tc>
              <w:tc>
                <w:tcPr>
                  <w:tcW w:w="501" w:type="dxa"/>
                  <w:vMerge w:val="continue"/>
                  <w:vAlign w:val="center"/>
                </w:tcPr>
                <w:p>
                  <w:pPr>
                    <w:adjustRightInd w:val="0"/>
                    <w:snapToGrid w:val="0"/>
                    <w:spacing w:line="240" w:lineRule="atLeast"/>
                    <w:jc w:val="center"/>
                    <w:rPr>
                      <w:b/>
                      <w:bCs/>
                      <w:sz w:val="18"/>
                      <w:szCs w:val="18"/>
                    </w:rPr>
                  </w:pPr>
                </w:p>
              </w:tc>
              <w:tc>
                <w:tcPr>
                  <w:tcW w:w="1650" w:type="dxa"/>
                  <w:vMerge w:val="continue"/>
                  <w:vAlign w:val="center"/>
                </w:tcPr>
                <w:p>
                  <w:pPr>
                    <w:adjustRightInd w:val="0"/>
                    <w:snapToGrid w:val="0"/>
                    <w:spacing w:line="240" w:lineRule="atLeast"/>
                    <w:jc w:val="center"/>
                    <w:rPr>
                      <w:b/>
                      <w:bCs/>
                      <w:sz w:val="18"/>
                      <w:szCs w:val="18"/>
                    </w:rPr>
                  </w:pPr>
                </w:p>
              </w:tc>
              <w:tc>
                <w:tcPr>
                  <w:tcW w:w="609" w:type="dxa"/>
                  <w:vAlign w:val="center"/>
                </w:tcPr>
                <w:p>
                  <w:pPr>
                    <w:pStyle w:val="39"/>
                    <w:tabs>
                      <w:tab w:val="left" w:pos="420"/>
                      <w:tab w:val="left" w:pos="870"/>
                      <w:tab w:val="left" w:pos="3150"/>
                    </w:tabs>
                    <w:snapToGrid w:val="0"/>
                    <w:spacing w:after="0" w:line="240" w:lineRule="atLeast"/>
                    <w:ind w:left="0" w:leftChars="0" w:firstLine="0" w:firstLineChars="0"/>
                    <w:jc w:val="center"/>
                    <w:rPr>
                      <w:rFonts w:ascii="Times New Roman" w:hAnsi="Times New Roman"/>
                      <w:bCs/>
                      <w:sz w:val="18"/>
                      <w:szCs w:val="18"/>
                    </w:rPr>
                  </w:pPr>
                  <w:r>
                    <w:rPr>
                      <w:rFonts w:ascii="Times New Roman" w:hAnsi="Times New Roman"/>
                      <w:bCs/>
                      <w:sz w:val="18"/>
                      <w:szCs w:val="1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641"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870" w:type="dxa"/>
                  <w:vAlign w:val="center"/>
                </w:tcPr>
                <w:p>
                  <w:pPr>
                    <w:adjustRightInd w:val="0"/>
                    <w:snapToGrid w:val="0"/>
                    <w:spacing w:line="240" w:lineRule="atLeast"/>
                    <w:jc w:val="center"/>
                    <w:rPr>
                      <w:bCs/>
                      <w:sz w:val="18"/>
                      <w:szCs w:val="18"/>
                    </w:rPr>
                  </w:pPr>
                  <w:r>
                    <w:rPr>
                      <w:bCs/>
                      <w:sz w:val="18"/>
                      <w:szCs w:val="18"/>
                    </w:rPr>
                    <w:t>NH</w:t>
                  </w:r>
                  <w:r>
                    <w:rPr>
                      <w:bCs/>
                      <w:sz w:val="18"/>
                      <w:szCs w:val="18"/>
                      <w:vertAlign w:val="subscript"/>
                    </w:rPr>
                    <w:t>3</w:t>
                  </w:r>
                  <w:r>
                    <w:rPr>
                      <w:bCs/>
                      <w:sz w:val="18"/>
                      <w:szCs w:val="18"/>
                    </w:rPr>
                    <w:t>-N</w:t>
                  </w:r>
                </w:p>
              </w:tc>
              <w:tc>
                <w:tcPr>
                  <w:tcW w:w="801"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711" w:type="dxa"/>
                  <w:vAlign w:val="center"/>
                </w:tcPr>
                <w:p>
                  <w:pPr>
                    <w:widowControl/>
                    <w:snapToGrid w:val="0"/>
                    <w:spacing w:line="240" w:lineRule="atLeast"/>
                    <w:jc w:val="center"/>
                    <w:textAlignment w:val="top"/>
                    <w:rPr>
                      <w:bCs/>
                      <w:sz w:val="18"/>
                      <w:szCs w:val="18"/>
                    </w:rPr>
                  </w:pPr>
                  <w:r>
                    <w:rPr>
                      <w:bCs/>
                      <w:sz w:val="18"/>
                      <w:szCs w:val="18"/>
                    </w:rPr>
                    <w:t>25</w:t>
                  </w:r>
                </w:p>
              </w:tc>
              <w:tc>
                <w:tcPr>
                  <w:tcW w:w="711" w:type="dxa"/>
                  <w:tcBorders>
                    <w:bottom w:val="single" w:color="000000" w:sz="12" w:space="0"/>
                  </w:tcBorders>
                  <w:vAlign w:val="center"/>
                </w:tcPr>
                <w:p>
                  <w:pPr>
                    <w:widowControl/>
                    <w:snapToGrid w:val="0"/>
                    <w:spacing w:line="240" w:lineRule="atLeast"/>
                    <w:jc w:val="center"/>
                    <w:textAlignment w:val="top"/>
                    <w:rPr>
                      <w:bCs/>
                      <w:sz w:val="18"/>
                      <w:szCs w:val="18"/>
                    </w:rPr>
                  </w:pPr>
                  <w:r>
                    <w:rPr>
                      <w:rFonts w:hint="eastAsia"/>
                      <w:color w:val="000000"/>
                      <w:sz w:val="18"/>
                      <w:szCs w:val="18"/>
                    </w:rPr>
                    <w:t>0.052</w:t>
                  </w:r>
                </w:p>
              </w:tc>
              <w:tc>
                <w:tcPr>
                  <w:tcW w:w="649"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541"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523" w:type="dxa"/>
                  <w:tcBorders>
                    <w:bottom w:val="single" w:color="000000" w:sz="12" w:space="0"/>
                  </w:tcBorders>
                  <w:vAlign w:val="center"/>
                </w:tcPr>
                <w:p>
                  <w:pPr>
                    <w:adjustRightInd w:val="0"/>
                    <w:snapToGrid w:val="0"/>
                    <w:spacing w:line="240" w:lineRule="atLeast"/>
                    <w:jc w:val="center"/>
                    <w:rPr>
                      <w:bCs/>
                      <w:sz w:val="18"/>
                      <w:szCs w:val="18"/>
                    </w:rPr>
                  </w:pPr>
                  <w:r>
                    <w:rPr>
                      <w:bCs/>
                      <w:sz w:val="18"/>
                      <w:szCs w:val="18"/>
                    </w:rPr>
                    <w:t>20</w:t>
                  </w:r>
                </w:p>
              </w:tc>
              <w:tc>
                <w:tcPr>
                  <w:tcW w:w="554"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801"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711" w:type="dxa"/>
                  <w:tcBorders>
                    <w:bottom w:val="single" w:color="000000" w:sz="12" w:space="0"/>
                  </w:tcBorders>
                  <w:vAlign w:val="center"/>
                </w:tcPr>
                <w:p>
                  <w:pPr>
                    <w:widowControl/>
                    <w:snapToGrid w:val="0"/>
                    <w:spacing w:line="240" w:lineRule="atLeast"/>
                    <w:jc w:val="center"/>
                    <w:textAlignment w:val="top"/>
                    <w:rPr>
                      <w:bCs/>
                      <w:sz w:val="18"/>
                      <w:szCs w:val="18"/>
                    </w:rPr>
                  </w:pPr>
                  <w:r>
                    <w:rPr>
                      <w:bCs/>
                      <w:sz w:val="18"/>
                      <w:szCs w:val="18"/>
                    </w:rPr>
                    <w:t>20</w:t>
                  </w:r>
                </w:p>
              </w:tc>
              <w:tc>
                <w:tcPr>
                  <w:tcW w:w="634" w:type="dxa"/>
                  <w:tcBorders>
                    <w:bottom w:val="single" w:color="000000" w:sz="12" w:space="0"/>
                  </w:tcBorders>
                  <w:vAlign w:val="center"/>
                </w:tcPr>
                <w:p>
                  <w:pPr>
                    <w:jc w:val="center"/>
                    <w:rPr>
                      <w:sz w:val="18"/>
                      <w:szCs w:val="18"/>
                    </w:rPr>
                  </w:pPr>
                  <w:r>
                    <w:rPr>
                      <w:rFonts w:hint="eastAsia"/>
                      <w:color w:val="000000"/>
                      <w:sz w:val="18"/>
                      <w:szCs w:val="18"/>
                    </w:rPr>
                    <w:t>0.044</w:t>
                  </w:r>
                </w:p>
              </w:tc>
              <w:tc>
                <w:tcPr>
                  <w:tcW w:w="510" w:type="dxa"/>
                  <w:vMerge w:val="continue"/>
                  <w:tcBorders>
                    <w:bottom w:val="single" w:color="000000" w:sz="12" w:space="0"/>
                  </w:tcBorders>
                  <w:vAlign w:val="center"/>
                </w:tcPr>
                <w:p>
                  <w:pPr>
                    <w:adjustRightInd w:val="0"/>
                    <w:snapToGrid w:val="0"/>
                    <w:spacing w:line="240" w:lineRule="atLeast"/>
                    <w:jc w:val="center"/>
                    <w:rPr>
                      <w:bCs/>
                      <w:sz w:val="18"/>
                      <w:szCs w:val="18"/>
                    </w:rPr>
                  </w:pPr>
                </w:p>
              </w:tc>
              <w:tc>
                <w:tcPr>
                  <w:tcW w:w="593" w:type="dxa"/>
                  <w:vMerge w:val="continue"/>
                  <w:tcBorders>
                    <w:bottom w:val="single" w:color="000000" w:sz="12" w:space="0"/>
                  </w:tcBorders>
                  <w:vAlign w:val="center"/>
                </w:tcPr>
                <w:p>
                  <w:pPr>
                    <w:adjustRightInd w:val="0"/>
                    <w:snapToGrid w:val="0"/>
                    <w:spacing w:line="240" w:lineRule="atLeast"/>
                    <w:jc w:val="center"/>
                    <w:rPr>
                      <w:b/>
                      <w:bCs/>
                      <w:sz w:val="18"/>
                      <w:szCs w:val="18"/>
                    </w:rPr>
                  </w:pPr>
                </w:p>
              </w:tc>
              <w:tc>
                <w:tcPr>
                  <w:tcW w:w="759" w:type="dxa"/>
                  <w:vMerge w:val="continue"/>
                  <w:tcBorders>
                    <w:bottom w:val="single" w:color="000000" w:sz="12" w:space="0"/>
                  </w:tcBorders>
                  <w:vAlign w:val="center"/>
                </w:tcPr>
                <w:p>
                  <w:pPr>
                    <w:adjustRightInd w:val="0"/>
                    <w:snapToGrid w:val="0"/>
                    <w:spacing w:line="240" w:lineRule="atLeast"/>
                    <w:jc w:val="center"/>
                    <w:rPr>
                      <w:b/>
                      <w:bCs/>
                      <w:sz w:val="18"/>
                      <w:szCs w:val="18"/>
                    </w:rPr>
                  </w:pPr>
                </w:p>
              </w:tc>
              <w:tc>
                <w:tcPr>
                  <w:tcW w:w="966" w:type="dxa"/>
                  <w:vMerge w:val="continue"/>
                  <w:tcBorders>
                    <w:bottom w:val="single" w:color="000000" w:sz="12" w:space="0"/>
                  </w:tcBorders>
                  <w:vAlign w:val="center"/>
                </w:tcPr>
                <w:p>
                  <w:pPr>
                    <w:adjustRightInd w:val="0"/>
                    <w:snapToGrid w:val="0"/>
                    <w:spacing w:line="240" w:lineRule="atLeast"/>
                    <w:jc w:val="center"/>
                    <w:rPr>
                      <w:b/>
                      <w:bCs/>
                      <w:sz w:val="18"/>
                      <w:szCs w:val="18"/>
                    </w:rPr>
                  </w:pPr>
                </w:p>
              </w:tc>
              <w:tc>
                <w:tcPr>
                  <w:tcW w:w="501" w:type="dxa"/>
                  <w:vMerge w:val="continue"/>
                  <w:tcBorders>
                    <w:bottom w:val="single" w:color="000000" w:sz="12" w:space="0"/>
                  </w:tcBorders>
                  <w:vAlign w:val="center"/>
                </w:tcPr>
                <w:p>
                  <w:pPr>
                    <w:adjustRightInd w:val="0"/>
                    <w:snapToGrid w:val="0"/>
                    <w:spacing w:line="240" w:lineRule="atLeast"/>
                    <w:jc w:val="center"/>
                    <w:rPr>
                      <w:b/>
                      <w:bCs/>
                      <w:sz w:val="18"/>
                      <w:szCs w:val="18"/>
                    </w:rPr>
                  </w:pPr>
                </w:p>
              </w:tc>
              <w:tc>
                <w:tcPr>
                  <w:tcW w:w="1650" w:type="dxa"/>
                  <w:vMerge w:val="continue"/>
                  <w:tcBorders>
                    <w:bottom w:val="single" w:color="000000" w:sz="12" w:space="0"/>
                  </w:tcBorders>
                  <w:vAlign w:val="center"/>
                </w:tcPr>
                <w:p>
                  <w:pPr>
                    <w:adjustRightInd w:val="0"/>
                    <w:snapToGrid w:val="0"/>
                    <w:spacing w:line="240" w:lineRule="atLeast"/>
                    <w:jc w:val="center"/>
                    <w:rPr>
                      <w:b/>
                      <w:bCs/>
                      <w:sz w:val="18"/>
                      <w:szCs w:val="18"/>
                    </w:rPr>
                  </w:pPr>
                </w:p>
              </w:tc>
              <w:tc>
                <w:tcPr>
                  <w:tcW w:w="609" w:type="dxa"/>
                  <w:vAlign w:val="center"/>
                </w:tcPr>
                <w:p>
                  <w:pPr>
                    <w:pStyle w:val="39"/>
                    <w:tabs>
                      <w:tab w:val="left" w:pos="420"/>
                      <w:tab w:val="left" w:pos="870"/>
                      <w:tab w:val="left" w:pos="3150"/>
                    </w:tabs>
                    <w:snapToGrid w:val="0"/>
                    <w:spacing w:after="0" w:line="240" w:lineRule="atLeast"/>
                    <w:ind w:left="0" w:leftChars="0" w:firstLine="0" w:firstLineChars="0"/>
                    <w:jc w:val="center"/>
                    <w:rPr>
                      <w:rFonts w:ascii="Times New Roman" w:hAnsi="Times New Roman"/>
                      <w:bCs/>
                      <w:sz w:val="18"/>
                      <w:szCs w:val="18"/>
                    </w:rPr>
                  </w:pPr>
                  <w:r>
                    <w:rPr>
                      <w:rFonts w:ascii="Times New Roman" w:hAnsi="Times New Roman"/>
                      <w:bCs/>
                      <w:sz w:val="18"/>
                      <w:szCs w:val="18"/>
                    </w:rPr>
                    <w:t>45</w:t>
                  </w:r>
                </w:p>
              </w:tc>
            </w:tr>
          </w:tbl>
          <w:p>
            <w:pPr>
              <w:spacing w:before="120" w:beforeLines="50" w:line="360" w:lineRule="auto"/>
              <w:ind w:firstLine="482"/>
              <w:rPr>
                <w:sz w:val="24"/>
              </w:rPr>
            </w:pPr>
            <w:r>
              <w:rPr>
                <w:sz w:val="24"/>
              </w:rPr>
              <w:t>（2）废水污染源强计算过程</w:t>
            </w:r>
          </w:p>
          <w:p>
            <w:pPr>
              <w:spacing w:line="360" w:lineRule="auto"/>
              <w:ind w:firstLine="480"/>
              <w:rPr>
                <w:kern w:val="0"/>
                <w:sz w:val="24"/>
                <w:lang w:bidi="ar"/>
              </w:rPr>
            </w:pPr>
            <w:r>
              <w:rPr>
                <w:sz w:val="24"/>
              </w:rPr>
              <w:t>本项目劳动定员为</w:t>
            </w:r>
            <w:r>
              <w:rPr>
                <w:rFonts w:hint="eastAsia"/>
                <w:sz w:val="24"/>
              </w:rPr>
              <w:t>80</w:t>
            </w:r>
            <w:r>
              <w:rPr>
                <w:sz w:val="24"/>
              </w:rPr>
              <w:t>人，均不住宿，年工作日为300天。</w:t>
            </w:r>
            <w:r>
              <w:rPr>
                <w:kern w:val="18"/>
                <w:sz w:val="24"/>
              </w:rPr>
              <w:t>参考《江西省城市生活用水定额》（DB36/T419-2017）及小蓝工业园区企业经验数据，不住宿员工生活用水量以人均110L/d计，则全厂生活用水量为</w:t>
            </w:r>
            <w:r>
              <w:rPr>
                <w:rFonts w:hint="eastAsia"/>
                <w:kern w:val="18"/>
                <w:sz w:val="24"/>
              </w:rPr>
              <w:t>8.8</w:t>
            </w:r>
            <w:r>
              <w:rPr>
                <w:kern w:val="18"/>
                <w:sz w:val="24"/>
              </w:rPr>
              <w:t>m</w:t>
            </w:r>
            <w:r>
              <w:rPr>
                <w:kern w:val="18"/>
                <w:sz w:val="24"/>
                <w:vertAlign w:val="superscript"/>
              </w:rPr>
              <w:t>3</w:t>
            </w:r>
            <w:r>
              <w:rPr>
                <w:kern w:val="18"/>
                <w:sz w:val="24"/>
              </w:rPr>
              <w:t>/d（</w:t>
            </w:r>
            <w:r>
              <w:rPr>
                <w:rFonts w:hint="eastAsia"/>
                <w:kern w:val="18"/>
                <w:sz w:val="24"/>
              </w:rPr>
              <w:t>264</w:t>
            </w:r>
            <w:r>
              <w:rPr>
                <w:kern w:val="18"/>
                <w:sz w:val="24"/>
              </w:rPr>
              <w:t>0m</w:t>
            </w:r>
            <w:r>
              <w:rPr>
                <w:kern w:val="18"/>
                <w:sz w:val="24"/>
                <w:vertAlign w:val="superscript"/>
              </w:rPr>
              <w:t>3</w:t>
            </w:r>
            <w:r>
              <w:rPr>
                <w:kern w:val="18"/>
                <w:sz w:val="24"/>
              </w:rPr>
              <w:t>/a），污水排放系数为0.8，排水量为</w:t>
            </w:r>
            <w:r>
              <w:rPr>
                <w:rFonts w:hint="eastAsia"/>
                <w:kern w:val="18"/>
                <w:sz w:val="24"/>
              </w:rPr>
              <w:t>7.04</w:t>
            </w:r>
            <w:r>
              <w:rPr>
                <w:kern w:val="18"/>
                <w:sz w:val="24"/>
              </w:rPr>
              <w:t>m</w:t>
            </w:r>
            <w:r>
              <w:rPr>
                <w:kern w:val="18"/>
                <w:sz w:val="24"/>
                <w:vertAlign w:val="superscript"/>
              </w:rPr>
              <w:t>3</w:t>
            </w:r>
            <w:r>
              <w:rPr>
                <w:kern w:val="18"/>
                <w:sz w:val="24"/>
              </w:rPr>
              <w:t>/d（</w:t>
            </w:r>
            <w:r>
              <w:rPr>
                <w:rFonts w:hint="eastAsia"/>
                <w:kern w:val="18"/>
                <w:sz w:val="24"/>
              </w:rPr>
              <w:t>2112</w:t>
            </w:r>
            <w:r>
              <w:rPr>
                <w:kern w:val="18"/>
                <w:sz w:val="24"/>
              </w:rPr>
              <w:t>m</w:t>
            </w:r>
            <w:r>
              <w:rPr>
                <w:kern w:val="18"/>
                <w:sz w:val="24"/>
                <w:vertAlign w:val="superscript"/>
              </w:rPr>
              <w:t>3</w:t>
            </w:r>
            <w:r>
              <w:rPr>
                <w:kern w:val="18"/>
                <w:sz w:val="24"/>
              </w:rPr>
              <w:t>/a）。主要污染物为CODcr、BOD</w:t>
            </w:r>
            <w:r>
              <w:rPr>
                <w:kern w:val="18"/>
                <w:sz w:val="24"/>
                <w:vertAlign w:val="subscript"/>
              </w:rPr>
              <w:t>5</w:t>
            </w:r>
            <w:r>
              <w:rPr>
                <w:kern w:val="18"/>
                <w:sz w:val="24"/>
              </w:rPr>
              <w:t>、SS、NH</w:t>
            </w:r>
            <w:r>
              <w:rPr>
                <w:kern w:val="18"/>
                <w:sz w:val="24"/>
                <w:vertAlign w:val="subscript"/>
              </w:rPr>
              <w:t>3</w:t>
            </w:r>
            <w:r>
              <w:rPr>
                <w:kern w:val="18"/>
                <w:sz w:val="24"/>
              </w:rPr>
              <w:t>-N，初始浓度分别为CODcr：250mg/L、BOD</w:t>
            </w:r>
            <w:r>
              <w:rPr>
                <w:kern w:val="18"/>
                <w:sz w:val="24"/>
                <w:vertAlign w:val="subscript"/>
              </w:rPr>
              <w:t>5</w:t>
            </w:r>
            <w:r>
              <w:rPr>
                <w:kern w:val="18"/>
                <w:sz w:val="24"/>
              </w:rPr>
              <w:t>：150mg/L、SS：200mg/L、NH</w:t>
            </w:r>
            <w:r>
              <w:rPr>
                <w:kern w:val="18"/>
                <w:sz w:val="24"/>
                <w:vertAlign w:val="subscript"/>
              </w:rPr>
              <w:t>3</w:t>
            </w:r>
            <w:r>
              <w:rPr>
                <w:kern w:val="18"/>
                <w:sz w:val="24"/>
              </w:rPr>
              <w:t>-N：25mg/L。根据现场调查，</w:t>
            </w:r>
            <w:r>
              <w:rPr>
                <w:sz w:val="24"/>
              </w:rPr>
              <w:t>本项目排水实行雨污分流制，雨水汇入雨水管网中。生活污水经化粪池预处理</w:t>
            </w:r>
            <w:r>
              <w:rPr>
                <w:kern w:val="18"/>
                <w:sz w:val="24"/>
              </w:rPr>
              <w:t>后通过污水管网入小蓝污水处理厂深度处理，</w:t>
            </w:r>
            <w:r>
              <w:rPr>
                <w:sz w:val="24"/>
              </w:rPr>
              <w:t>尾水最终排入雄溪河尾段，经莲塘河入抚河支流（清丰山溪）。化粪池预处理后各污染物浓度</w:t>
            </w:r>
            <w:r>
              <w:rPr>
                <w:kern w:val="18"/>
                <w:sz w:val="24"/>
              </w:rPr>
              <w:t>分别为CODcr：220mg/L、BOD</w:t>
            </w:r>
            <w:r>
              <w:rPr>
                <w:kern w:val="18"/>
                <w:sz w:val="24"/>
                <w:vertAlign w:val="subscript"/>
              </w:rPr>
              <w:t>5</w:t>
            </w:r>
            <w:r>
              <w:rPr>
                <w:kern w:val="18"/>
                <w:sz w:val="24"/>
              </w:rPr>
              <w:t>：120mg/L、SS：150mg/L、NH</w:t>
            </w:r>
            <w:r>
              <w:rPr>
                <w:kern w:val="18"/>
                <w:sz w:val="24"/>
                <w:vertAlign w:val="subscript"/>
              </w:rPr>
              <w:t>3</w:t>
            </w:r>
            <w:r>
              <w:rPr>
                <w:kern w:val="18"/>
                <w:sz w:val="24"/>
              </w:rPr>
              <w:t>-N：20mg/L。</w:t>
            </w:r>
            <w:r>
              <w:rPr>
                <w:sz w:val="24"/>
              </w:rPr>
              <w:t>项目的污水排放执行小蓝污水处理厂接管标准要要求，污水处理厂尾水排放执行《城镇污水处理厂污染物排放标准》（GB18918-2002）表1中一级A标准。</w:t>
            </w:r>
          </w:p>
          <w:p>
            <w:pPr>
              <w:spacing w:line="360" w:lineRule="auto"/>
              <w:ind w:firstLine="480" w:firstLineChars="200"/>
              <w:rPr>
                <w:sz w:val="24"/>
              </w:rPr>
            </w:pPr>
            <w:r>
              <w:rPr>
                <w:sz w:val="24"/>
              </w:rPr>
              <w:t>（3）废水处理的可行性分析</w:t>
            </w:r>
          </w:p>
          <w:p>
            <w:pPr>
              <w:spacing w:line="360" w:lineRule="auto"/>
              <w:ind w:firstLine="480" w:firstLineChars="200"/>
              <w:rPr>
                <w:sz w:val="24"/>
                <w:szCs w:val="22"/>
              </w:rPr>
            </w:pPr>
            <w:r>
              <w:rPr>
                <w:sz w:val="24"/>
                <w:szCs w:val="22"/>
              </w:rPr>
              <w:t>1）项目水污染控制和水环境影响减缓措施有效性评价</w:t>
            </w:r>
          </w:p>
          <w:p>
            <w:pPr>
              <w:spacing w:line="360" w:lineRule="auto"/>
              <w:ind w:firstLine="480" w:firstLineChars="200"/>
              <w:rPr>
                <w:sz w:val="24"/>
              </w:rPr>
            </w:pPr>
            <w:r>
              <w:rPr>
                <w:kern w:val="18"/>
                <w:sz w:val="24"/>
              </w:rPr>
              <w:t>本项目废水主要为生活污，废水总排放量为</w:t>
            </w:r>
            <w:r>
              <w:rPr>
                <w:rFonts w:hint="eastAsia"/>
                <w:kern w:val="18"/>
                <w:sz w:val="24"/>
              </w:rPr>
              <w:t>2112</w:t>
            </w:r>
            <w:r>
              <w:rPr>
                <w:sz w:val="24"/>
              </w:rPr>
              <w:t>m</w:t>
            </w:r>
            <w:r>
              <w:rPr>
                <w:sz w:val="24"/>
                <w:vertAlign w:val="superscript"/>
              </w:rPr>
              <w:t>3</w:t>
            </w:r>
            <w:r>
              <w:rPr>
                <w:sz w:val="24"/>
              </w:rPr>
              <w:t>/a，废水中主要污染物为CODcr、BOD</w:t>
            </w:r>
            <w:r>
              <w:rPr>
                <w:sz w:val="24"/>
                <w:vertAlign w:val="subscript"/>
              </w:rPr>
              <w:t>5</w:t>
            </w:r>
            <w:r>
              <w:rPr>
                <w:sz w:val="24"/>
              </w:rPr>
              <w:t>、SS、NH</w:t>
            </w:r>
            <w:r>
              <w:rPr>
                <w:sz w:val="24"/>
                <w:vertAlign w:val="subscript"/>
              </w:rPr>
              <w:t>3</w:t>
            </w:r>
            <w:r>
              <w:rPr>
                <w:sz w:val="24"/>
              </w:rPr>
              <w:t>-N等。废水经化粪池预处理</w:t>
            </w:r>
            <w:r>
              <w:rPr>
                <w:kern w:val="18"/>
                <w:sz w:val="24"/>
              </w:rPr>
              <w:t>后通过污水管网入小蓝污水处理厂深度处理，</w:t>
            </w:r>
            <w:r>
              <w:rPr>
                <w:sz w:val="24"/>
              </w:rPr>
              <w:t>尾水最终排入雄溪河尾段，经莲塘河入抚河支流（清丰山溪）。根据工程分析可知，废水经预处理后废水总排放口处主要污染物浓度可达小蓝污水处理厂接管标准要求，污水处理厂尾水可满足《城镇污水处理厂污染物排放标准》（GB18918-2002）表1中一级A标准，项目废水处理可行。</w:t>
            </w:r>
            <w:r>
              <w:rPr>
                <w:sz w:val="24"/>
                <w:szCs w:val="22"/>
              </w:rPr>
              <w:t>项目废水拟预处理后纳</w:t>
            </w:r>
            <w:r>
              <w:rPr>
                <w:sz w:val="24"/>
              </w:rPr>
              <w:t>管进入污水处理厂集中处理，不会进入周边河道，故不会对项目附近河道水质带来不利影响。</w:t>
            </w:r>
          </w:p>
          <w:p>
            <w:pPr>
              <w:spacing w:line="360" w:lineRule="auto"/>
              <w:ind w:firstLine="480" w:firstLineChars="200"/>
              <w:rPr>
                <w:sz w:val="24"/>
              </w:rPr>
            </w:pPr>
            <w:r>
              <w:rPr>
                <w:sz w:val="24"/>
              </w:rPr>
              <w:t>2）依托污水处理设施的环境可行性评价</w:t>
            </w:r>
          </w:p>
          <w:p>
            <w:pPr>
              <w:spacing w:line="360" w:lineRule="auto"/>
              <w:ind w:firstLine="480" w:firstLineChars="200"/>
              <w:rPr>
                <w:sz w:val="24"/>
              </w:rPr>
            </w:pPr>
            <w:r>
              <w:rPr>
                <w:sz w:val="24"/>
              </w:rPr>
              <w:t>南昌市小蓝经济开发区污水处理厂总体规划规模15万m</w:t>
            </w:r>
            <w:r>
              <w:rPr>
                <w:sz w:val="24"/>
                <w:vertAlign w:val="superscript"/>
              </w:rPr>
              <w:t>3</w:t>
            </w:r>
            <w:r>
              <w:rPr>
                <w:sz w:val="24"/>
              </w:rPr>
              <w:t>/d。小蓝污水处理厂一期（3万m</w:t>
            </w:r>
            <w:r>
              <w:rPr>
                <w:sz w:val="24"/>
                <w:vertAlign w:val="superscript"/>
              </w:rPr>
              <w:t>3</w:t>
            </w:r>
            <w:r>
              <w:rPr>
                <w:sz w:val="24"/>
              </w:rPr>
              <w:t>/d）工程于2008年10月投入试运行。小蓝污水处理厂二期处理规模为5万m</w:t>
            </w:r>
            <w:r>
              <w:rPr>
                <w:sz w:val="24"/>
                <w:vertAlign w:val="superscript"/>
              </w:rPr>
              <w:t>3</w:t>
            </w:r>
            <w:r>
              <w:rPr>
                <w:sz w:val="24"/>
              </w:rPr>
              <w:t>/d，由于一期进行技术改造，其中0.5万m</w:t>
            </w:r>
            <w:r>
              <w:rPr>
                <w:sz w:val="24"/>
                <w:vertAlign w:val="superscript"/>
              </w:rPr>
              <w:t>3</w:t>
            </w:r>
            <w:r>
              <w:rPr>
                <w:sz w:val="24"/>
              </w:rPr>
              <w:t>/d处理规模并入二期，小蓝污水处理厂处理总规模为7.5万m</w:t>
            </w:r>
            <w:r>
              <w:rPr>
                <w:sz w:val="24"/>
                <w:vertAlign w:val="superscript"/>
              </w:rPr>
              <w:t>3</w:t>
            </w:r>
            <w:r>
              <w:rPr>
                <w:sz w:val="24"/>
              </w:rPr>
              <w:t>/d。废水收集对象服务范围内的工业企业及居住区的工业废水和生活污水。</w:t>
            </w:r>
          </w:p>
          <w:p>
            <w:pPr>
              <w:spacing w:line="360" w:lineRule="auto"/>
              <w:ind w:firstLine="480" w:firstLineChars="200"/>
              <w:rPr>
                <w:sz w:val="24"/>
              </w:rPr>
            </w:pPr>
            <w:r>
              <w:rPr>
                <w:sz w:val="24"/>
              </w:rPr>
              <w:t>本项目位于南昌小蓝经济技术开发区金沙三路319号，处于小蓝污水处理厂二期纳污范围内。小蓝污水处理厂二期该工程于2013年4月进行试运行，目前运行正常。本项目污水主要污染物为COD</w:t>
            </w:r>
            <w:r>
              <w:rPr>
                <w:sz w:val="24"/>
                <w:vertAlign w:val="subscript"/>
              </w:rPr>
              <w:t>Cr</w:t>
            </w:r>
            <w:r>
              <w:rPr>
                <w:sz w:val="24"/>
              </w:rPr>
              <w:t>、SS、NH</w:t>
            </w:r>
            <w:r>
              <w:rPr>
                <w:sz w:val="24"/>
                <w:vertAlign w:val="subscript"/>
              </w:rPr>
              <w:t>3</w:t>
            </w:r>
            <w:r>
              <w:rPr>
                <w:sz w:val="24"/>
              </w:rPr>
              <w:t>-N、BOD</w:t>
            </w:r>
            <w:r>
              <w:rPr>
                <w:sz w:val="24"/>
                <w:vertAlign w:val="subscript"/>
              </w:rPr>
              <w:t>5</w:t>
            </w:r>
            <w:r>
              <w:rPr>
                <w:sz w:val="24"/>
              </w:rPr>
              <w:t>，水质较简单，经化粪池处理后，外排废水浓度可以达到小蓝污水处理厂接管标准，远小于污水处理厂的处理规模，废水量在污水处理厂容量之内，水质也符合污水处理厂进水水质的要求，本项目废水不会对小蓝污水处理厂的处理工艺带来冲击，废水的排入不会影响它正常运行。综上所述，本项目废水预处理后进入小蓝污水处理厂处理的方案可行。</w:t>
            </w:r>
          </w:p>
          <w:p>
            <w:pPr>
              <w:spacing w:before="120" w:beforeLines="50" w:line="360" w:lineRule="auto"/>
              <w:ind w:firstLine="482"/>
              <w:rPr>
                <w:sz w:val="24"/>
              </w:rPr>
            </w:pPr>
            <w:r>
              <w:rPr>
                <w:sz w:val="24"/>
              </w:rPr>
              <w:t>（4）废水监测要求</w:t>
            </w:r>
          </w:p>
          <w:p>
            <w:pPr>
              <w:spacing w:line="360" w:lineRule="auto"/>
              <w:ind w:firstLine="480" w:firstLineChars="200"/>
              <w:rPr>
                <w:b/>
                <w:bCs/>
                <w:szCs w:val="21"/>
                <w:lang w:val="zh-CN"/>
              </w:rPr>
            </w:pPr>
            <w:r>
              <w:rPr>
                <w:sz w:val="24"/>
                <w:lang w:val="zh-CN"/>
              </w:rPr>
              <w:t>建设单位应定期委托有检测资质单位对</w:t>
            </w:r>
            <w:r>
              <w:rPr>
                <w:sz w:val="24"/>
              </w:rPr>
              <w:t>废水</w:t>
            </w:r>
            <w:r>
              <w:rPr>
                <w:sz w:val="24"/>
                <w:lang w:val="zh-CN"/>
              </w:rPr>
              <w:t>污染源进行监测，</w:t>
            </w:r>
            <w:r>
              <w:rPr>
                <w:rFonts w:hint="eastAsia"/>
                <w:sz w:val="24"/>
                <w:lang w:val="zh-CN"/>
              </w:rPr>
              <w:t>根据</w:t>
            </w:r>
            <w:r>
              <w:rPr>
                <w:rFonts w:hint="eastAsia"/>
                <w:color w:val="FF0000"/>
                <w:kern w:val="0"/>
                <w:sz w:val="24"/>
                <w:szCs w:val="22"/>
              </w:rPr>
              <w:t>《排污许可证申请与核发技术规范 汽车制造业》（</w:t>
            </w:r>
            <w:r>
              <w:rPr>
                <w:color w:val="FF0000"/>
                <w:kern w:val="0"/>
                <w:sz w:val="24"/>
                <w:szCs w:val="22"/>
              </w:rPr>
              <w:t>HJ 971-2018</w:t>
            </w:r>
            <w:r>
              <w:rPr>
                <w:rFonts w:hint="eastAsia"/>
                <w:color w:val="FF0000"/>
                <w:kern w:val="0"/>
                <w:sz w:val="24"/>
                <w:szCs w:val="22"/>
              </w:rPr>
              <w:t>）</w:t>
            </w:r>
            <w:r>
              <w:rPr>
                <w:sz w:val="24"/>
                <w:lang w:val="zh-CN"/>
              </w:rPr>
              <w:t>，运营期</w:t>
            </w:r>
            <w:r>
              <w:rPr>
                <w:sz w:val="24"/>
              </w:rPr>
              <w:t>废水</w:t>
            </w:r>
            <w:r>
              <w:rPr>
                <w:sz w:val="24"/>
                <w:lang w:val="zh-CN"/>
              </w:rPr>
              <w:t>污染源监测计划见表</w:t>
            </w:r>
            <w:r>
              <w:rPr>
                <w:sz w:val="24"/>
              </w:rPr>
              <w:t>4-6</w:t>
            </w:r>
            <w:r>
              <w:rPr>
                <w:sz w:val="24"/>
                <w:lang w:val="zh-CN"/>
              </w:rPr>
              <w:t>。</w:t>
            </w:r>
            <w:commentRangeStart w:id="4"/>
          </w:p>
          <w:p>
            <w:pPr>
              <w:autoSpaceDE w:val="0"/>
              <w:autoSpaceDN w:val="0"/>
              <w:jc w:val="center"/>
              <w:rPr>
                <w:b/>
                <w:bCs/>
                <w:color w:val="FF0000"/>
                <w:szCs w:val="21"/>
                <w:lang w:val="zh-CN"/>
              </w:rPr>
            </w:pPr>
            <w:r>
              <w:rPr>
                <w:b/>
                <w:bCs/>
                <w:color w:val="FF0000"/>
                <w:szCs w:val="21"/>
                <w:lang w:val="zh-CN"/>
              </w:rPr>
              <w:t>表</w:t>
            </w:r>
            <w:r>
              <w:rPr>
                <w:b/>
                <w:bCs/>
                <w:color w:val="FF0000"/>
                <w:szCs w:val="21"/>
              </w:rPr>
              <w:t>4-6</w:t>
            </w:r>
            <w:r>
              <w:rPr>
                <w:b/>
                <w:bCs/>
                <w:color w:val="FF0000"/>
                <w:szCs w:val="21"/>
                <w:lang w:val="zh-CN"/>
              </w:rPr>
              <w:t xml:space="preserve">  项目废水</w:t>
            </w:r>
            <w:commentRangeEnd w:id="4"/>
            <w:r>
              <w:rPr>
                <w:color w:val="FF0000"/>
              </w:rPr>
              <w:commentReference w:id="4"/>
            </w:r>
            <w:r>
              <w:rPr>
                <w:b/>
                <w:bCs/>
                <w:color w:val="FF0000"/>
                <w:szCs w:val="21"/>
                <w:lang w:val="zh-CN"/>
              </w:rPr>
              <w:t>监测计划及记录信息表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986"/>
              <w:gridCol w:w="1724"/>
              <w:gridCol w:w="2417"/>
              <w:gridCol w:w="2681"/>
              <w:gridCol w:w="3618"/>
              <w:gridCol w:w="2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343" w:type="pct"/>
                  <w:vAlign w:val="center"/>
                </w:tcPr>
                <w:p>
                  <w:pPr>
                    <w:pStyle w:val="348"/>
                    <w:shd w:val="clear" w:color="auto" w:fill="auto"/>
                    <w:adjustRightInd w:val="0"/>
                    <w:snapToGrid w:val="0"/>
                    <w:spacing w:after="0" w:line="240" w:lineRule="atLeast"/>
                    <w:rPr>
                      <w:rFonts w:ascii="Times New Roman" w:hAnsi="Times New Roman" w:eastAsia="宋体"/>
                      <w:b/>
                      <w:color w:val="FF0000"/>
                      <w:sz w:val="21"/>
                      <w:szCs w:val="21"/>
                    </w:rPr>
                  </w:pPr>
                  <w:r>
                    <w:rPr>
                      <w:rStyle w:val="334"/>
                      <w:rFonts w:ascii="Times New Roman" w:hAnsi="Times New Roman" w:eastAsia="宋体" w:cs="Times New Roman"/>
                      <w:color w:val="FF0000"/>
                      <w:sz w:val="21"/>
                      <w:szCs w:val="21"/>
                    </w:rPr>
                    <w:t>序号</w:t>
                  </w:r>
                </w:p>
              </w:tc>
              <w:tc>
                <w:tcPr>
                  <w:tcW w:w="600" w:type="pct"/>
                  <w:vAlign w:val="center"/>
                </w:tcPr>
                <w:p>
                  <w:pPr>
                    <w:pStyle w:val="348"/>
                    <w:shd w:val="clear" w:color="auto" w:fill="auto"/>
                    <w:adjustRightInd w:val="0"/>
                    <w:snapToGrid w:val="0"/>
                    <w:spacing w:after="0" w:line="240" w:lineRule="atLeast"/>
                    <w:rPr>
                      <w:rFonts w:ascii="Times New Roman" w:hAnsi="Times New Roman" w:eastAsia="宋体"/>
                      <w:b/>
                      <w:color w:val="FF0000"/>
                      <w:sz w:val="21"/>
                      <w:szCs w:val="21"/>
                    </w:rPr>
                  </w:pPr>
                  <w:r>
                    <w:rPr>
                      <w:rStyle w:val="334"/>
                      <w:rFonts w:ascii="Times New Roman" w:hAnsi="Times New Roman" w:eastAsia="宋体" w:cs="Times New Roman"/>
                      <w:color w:val="FF0000"/>
                      <w:sz w:val="21"/>
                      <w:szCs w:val="21"/>
                    </w:rPr>
                    <w:t>排放口编号</w:t>
                  </w:r>
                </w:p>
              </w:tc>
              <w:tc>
                <w:tcPr>
                  <w:tcW w:w="841" w:type="pc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
                      <w:color w:val="FF0000"/>
                      <w:sz w:val="21"/>
                      <w:szCs w:val="21"/>
                    </w:rPr>
                  </w:pPr>
                  <w:r>
                    <w:rPr>
                      <w:rStyle w:val="334"/>
                      <w:rFonts w:ascii="Times New Roman" w:hAnsi="Times New Roman" w:eastAsia="宋体" w:cs="Times New Roman"/>
                      <w:color w:val="FF0000"/>
                      <w:sz w:val="21"/>
                      <w:szCs w:val="21"/>
                    </w:rPr>
                    <w:t>污染物</w:t>
                  </w:r>
                </w:p>
                <w:p>
                  <w:pPr>
                    <w:pStyle w:val="348"/>
                    <w:shd w:val="clear" w:color="auto" w:fill="auto"/>
                    <w:adjustRightInd w:val="0"/>
                    <w:snapToGrid w:val="0"/>
                    <w:spacing w:after="0" w:line="240" w:lineRule="atLeast"/>
                    <w:rPr>
                      <w:rFonts w:ascii="Times New Roman" w:hAnsi="Times New Roman" w:eastAsia="宋体"/>
                      <w:b/>
                      <w:color w:val="FF0000"/>
                      <w:sz w:val="21"/>
                      <w:szCs w:val="21"/>
                    </w:rPr>
                  </w:pPr>
                  <w:r>
                    <w:rPr>
                      <w:rStyle w:val="334"/>
                      <w:rFonts w:ascii="Times New Roman" w:hAnsi="Times New Roman" w:eastAsia="宋体" w:cs="Times New Roman"/>
                      <w:color w:val="FF0000"/>
                      <w:sz w:val="21"/>
                      <w:szCs w:val="21"/>
                    </w:rPr>
                    <w:t>名称</w:t>
                  </w:r>
                </w:p>
              </w:tc>
              <w:tc>
                <w:tcPr>
                  <w:tcW w:w="933" w:type="pct"/>
                  <w:vAlign w:val="center"/>
                </w:tcPr>
                <w:p>
                  <w:pPr>
                    <w:pStyle w:val="348"/>
                    <w:shd w:val="clear" w:color="auto" w:fill="auto"/>
                    <w:adjustRightInd w:val="0"/>
                    <w:snapToGrid w:val="0"/>
                    <w:spacing w:after="0" w:line="240" w:lineRule="atLeast"/>
                    <w:rPr>
                      <w:rFonts w:ascii="Times New Roman" w:hAnsi="Times New Roman" w:eastAsia="宋体"/>
                      <w:b/>
                      <w:color w:val="FF0000"/>
                      <w:sz w:val="21"/>
                      <w:szCs w:val="21"/>
                    </w:rPr>
                  </w:pPr>
                  <w:r>
                    <w:rPr>
                      <w:rStyle w:val="334"/>
                      <w:rFonts w:ascii="Times New Roman" w:hAnsi="Times New Roman" w:eastAsia="宋体" w:cs="Times New Roman"/>
                      <w:color w:val="FF0000"/>
                      <w:sz w:val="21"/>
                      <w:szCs w:val="21"/>
                    </w:rPr>
                    <w:t>监测设施</w:t>
                  </w:r>
                </w:p>
              </w:tc>
              <w:tc>
                <w:tcPr>
                  <w:tcW w:w="1259" w:type="pct"/>
                  <w:vAlign w:val="center"/>
                </w:tcPr>
                <w:p>
                  <w:pPr>
                    <w:pStyle w:val="348"/>
                    <w:shd w:val="clear" w:color="auto" w:fill="auto"/>
                    <w:adjustRightInd w:val="0"/>
                    <w:snapToGrid w:val="0"/>
                    <w:spacing w:after="0" w:line="240" w:lineRule="atLeast"/>
                    <w:rPr>
                      <w:rFonts w:ascii="Times New Roman" w:hAnsi="Times New Roman" w:eastAsia="宋体"/>
                      <w:b/>
                      <w:color w:val="FF0000"/>
                      <w:sz w:val="21"/>
                      <w:szCs w:val="21"/>
                    </w:rPr>
                  </w:pPr>
                  <w:r>
                    <w:rPr>
                      <w:rStyle w:val="334"/>
                      <w:rFonts w:ascii="Times New Roman" w:hAnsi="Times New Roman" w:eastAsia="宋体" w:cs="Times New Roman"/>
                      <w:color w:val="FF0000"/>
                      <w:sz w:val="21"/>
                      <w:szCs w:val="21"/>
                    </w:rPr>
                    <w:t>手工监测采样方法及个数</w:t>
                  </w:r>
                </w:p>
              </w:tc>
              <w:tc>
                <w:tcPr>
                  <w:tcW w:w="1024" w:type="pct"/>
                  <w:vAlign w:val="center"/>
                </w:tcPr>
                <w:p>
                  <w:pPr>
                    <w:pStyle w:val="348"/>
                    <w:shd w:val="clear" w:color="auto" w:fill="auto"/>
                    <w:adjustRightInd w:val="0"/>
                    <w:snapToGrid w:val="0"/>
                    <w:spacing w:after="0" w:line="240" w:lineRule="atLeast"/>
                    <w:rPr>
                      <w:rFonts w:ascii="Times New Roman" w:hAnsi="Times New Roman" w:eastAsia="宋体"/>
                      <w:b/>
                      <w:color w:val="FF0000"/>
                      <w:sz w:val="21"/>
                      <w:szCs w:val="21"/>
                    </w:rPr>
                  </w:pPr>
                  <w:r>
                    <w:rPr>
                      <w:rStyle w:val="334"/>
                      <w:rFonts w:ascii="Times New Roman" w:hAnsi="Times New Roman" w:eastAsia="宋体" w:cs="Times New Roman"/>
                      <w:color w:val="FF0000"/>
                      <w:sz w:val="21"/>
                      <w:szCs w:val="21"/>
                    </w:rPr>
                    <w:t>手工监测频次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43" w:type="pct"/>
                  <w:vMerge w:val="restar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ascii="Times New Roman" w:hAnsi="Times New Roman" w:eastAsia="宋体" w:cs="Times New Roman"/>
                      <w:bCs/>
                      <w:color w:val="FF0000"/>
                      <w:sz w:val="21"/>
                      <w:szCs w:val="21"/>
                    </w:rPr>
                    <w:t>1</w:t>
                  </w:r>
                </w:p>
              </w:tc>
              <w:tc>
                <w:tcPr>
                  <w:tcW w:w="600" w:type="pct"/>
                  <w:vMerge w:val="restar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ascii="Times New Roman" w:hAnsi="Times New Roman" w:eastAsia="宋体" w:cs="Times New Roman"/>
                      <w:bCs/>
                      <w:color w:val="FF0000"/>
                      <w:sz w:val="21"/>
                      <w:szCs w:val="21"/>
                    </w:rPr>
                    <w:t>厂区废水总排口</w:t>
                  </w:r>
                </w:p>
              </w:tc>
              <w:tc>
                <w:tcPr>
                  <w:tcW w:w="841" w:type="pc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ascii="Times New Roman" w:hAnsi="Times New Roman" w:eastAsia="宋体" w:cs="Times New Roman"/>
                      <w:bCs/>
                      <w:color w:val="FF0000"/>
                      <w:sz w:val="21"/>
                      <w:szCs w:val="21"/>
                      <w:lang w:eastAsia="zh-TW"/>
                    </w:rPr>
                    <w:t>CODcr</w:t>
                  </w:r>
                </w:p>
              </w:tc>
              <w:tc>
                <w:tcPr>
                  <w:tcW w:w="933" w:type="pct"/>
                  <w:vMerge w:val="restar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ascii="Times New Roman" w:hAnsi="Times New Roman" w:eastAsia="宋体" w:cs="Times New Roman"/>
                      <w:bCs/>
                      <w:color w:val="FF0000"/>
                      <w:sz w:val="21"/>
                      <w:szCs w:val="21"/>
                    </w:rPr>
                    <w:t>□自动</w:t>
                  </w:r>
                </w:p>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ascii="Times New Roman" w:hAnsi="Times New Roman" w:eastAsia="宋体" w:cs="Times New Roman"/>
                      <w:bCs/>
                      <w:color w:val="FF0000"/>
                      <w:sz w:val="21"/>
                      <w:szCs w:val="21"/>
                    </w:rPr>
                    <w:t>√手工</w:t>
                  </w:r>
                </w:p>
              </w:tc>
              <w:tc>
                <w:tcPr>
                  <w:tcW w:w="1259" w:type="pct"/>
                  <w:vMerge w:val="restar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ascii="Times New Roman" w:hAnsi="Times New Roman" w:eastAsia="宋体" w:cs="Times New Roman"/>
                      <w:bCs/>
                      <w:color w:val="FF0000"/>
                      <w:sz w:val="21"/>
                      <w:szCs w:val="21"/>
                    </w:rPr>
                    <w:t>每次</w:t>
                  </w:r>
                  <w:r>
                    <w:rPr>
                      <w:rStyle w:val="334"/>
                      <w:rFonts w:ascii="Times New Roman" w:hAnsi="Times New Roman" w:eastAsia="宋体" w:cs="Times New Roman"/>
                      <w:bCs/>
                      <w:color w:val="FF0000"/>
                      <w:sz w:val="21"/>
                      <w:szCs w:val="21"/>
                      <w:lang w:eastAsia="zh-TW"/>
                    </w:rPr>
                    <w:t>1</w:t>
                  </w:r>
                  <w:r>
                    <w:rPr>
                      <w:rStyle w:val="334"/>
                      <w:rFonts w:ascii="Times New Roman" w:hAnsi="Times New Roman" w:eastAsia="宋体" w:cs="Times New Roman"/>
                      <w:bCs/>
                      <w:color w:val="FF0000"/>
                      <w:sz w:val="21"/>
                      <w:szCs w:val="21"/>
                    </w:rPr>
                    <w:t>日，每日取样4次</w:t>
                  </w:r>
                </w:p>
              </w:tc>
              <w:tc>
                <w:tcPr>
                  <w:tcW w:w="1024" w:type="pct"/>
                  <w:vMerge w:val="restar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r>
                    <w:rPr>
                      <w:rStyle w:val="334"/>
                      <w:rFonts w:ascii="Times New Roman" w:hAnsi="Times New Roman" w:eastAsia="宋体" w:cs="Times New Roman"/>
                      <w:bCs/>
                      <w:color w:val="FF0000"/>
                      <w:sz w:val="21"/>
                      <w:szCs w:val="21"/>
                      <w:lang w:eastAsia="zh-TW"/>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19" w:hRule="atLeast"/>
                <w:jc w:val="center"/>
              </w:trPr>
              <w:tc>
                <w:tcPr>
                  <w:tcW w:w="343"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600"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841" w:type="pc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r>
                    <w:rPr>
                      <w:rStyle w:val="334"/>
                      <w:rFonts w:ascii="Times New Roman" w:hAnsi="Times New Roman" w:eastAsia="宋体" w:cs="Times New Roman"/>
                      <w:bCs/>
                      <w:color w:val="FF0000"/>
                      <w:sz w:val="21"/>
                      <w:szCs w:val="21"/>
                      <w:lang w:eastAsia="zh-TW"/>
                    </w:rPr>
                    <w:t>NH</w:t>
                  </w:r>
                  <w:r>
                    <w:rPr>
                      <w:rStyle w:val="334"/>
                      <w:rFonts w:ascii="Times New Roman" w:hAnsi="Times New Roman" w:eastAsia="宋体" w:cs="Times New Roman"/>
                      <w:bCs/>
                      <w:color w:val="FF0000"/>
                      <w:sz w:val="21"/>
                      <w:szCs w:val="21"/>
                      <w:vertAlign w:val="subscript"/>
                      <w:lang w:eastAsia="zh-TW"/>
                    </w:rPr>
                    <w:t>3</w:t>
                  </w:r>
                  <w:r>
                    <w:rPr>
                      <w:rStyle w:val="334"/>
                      <w:rFonts w:ascii="Times New Roman" w:hAnsi="Times New Roman" w:eastAsia="宋体" w:cs="Times New Roman"/>
                      <w:bCs/>
                      <w:color w:val="FF0000"/>
                      <w:sz w:val="21"/>
                      <w:szCs w:val="21"/>
                      <w:lang w:eastAsia="zh-TW"/>
                    </w:rPr>
                    <w:t>-N</w:t>
                  </w:r>
                </w:p>
              </w:tc>
              <w:tc>
                <w:tcPr>
                  <w:tcW w:w="933"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1259"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1024"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74" w:hRule="atLeast"/>
                <w:jc w:val="center"/>
              </w:trPr>
              <w:tc>
                <w:tcPr>
                  <w:tcW w:w="343"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600"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841" w:type="pct"/>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rPr>
                  </w:pPr>
                  <w:r>
                    <w:rPr>
                      <w:rStyle w:val="334"/>
                      <w:rFonts w:hint="eastAsia" w:ascii="Times New Roman" w:hAnsi="Times New Roman" w:eastAsia="宋体" w:cs="Times New Roman"/>
                      <w:bCs/>
                      <w:color w:val="FF0000"/>
                      <w:sz w:val="21"/>
                      <w:szCs w:val="21"/>
                    </w:rPr>
                    <w:t>TP</w:t>
                  </w:r>
                </w:p>
              </w:tc>
              <w:tc>
                <w:tcPr>
                  <w:tcW w:w="933"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1259"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c>
                <w:tcPr>
                  <w:tcW w:w="1024" w:type="pct"/>
                  <w:vMerge w:val="continue"/>
                  <w:vAlign w:val="center"/>
                </w:tcPr>
                <w:p>
                  <w:pPr>
                    <w:pStyle w:val="348"/>
                    <w:shd w:val="clear" w:color="auto" w:fill="auto"/>
                    <w:adjustRightInd w:val="0"/>
                    <w:snapToGrid w:val="0"/>
                    <w:spacing w:after="0" w:line="240" w:lineRule="atLeast"/>
                    <w:rPr>
                      <w:rStyle w:val="334"/>
                      <w:rFonts w:ascii="Times New Roman" w:hAnsi="Times New Roman" w:eastAsia="宋体" w:cs="Times New Roman"/>
                      <w:bCs/>
                      <w:color w:val="FF0000"/>
                      <w:sz w:val="21"/>
                      <w:szCs w:val="21"/>
                      <w:lang w:eastAsia="zh-TW"/>
                    </w:rPr>
                  </w:pPr>
                </w:p>
              </w:tc>
            </w:tr>
          </w:tbl>
          <w:p>
            <w:pPr>
              <w:snapToGrid w:val="0"/>
              <w:spacing w:before="120" w:beforeLines="50" w:line="360" w:lineRule="auto"/>
              <w:ind w:firstLine="482" w:firstLineChars="200"/>
              <w:rPr>
                <w:b/>
                <w:sz w:val="24"/>
                <w:lang w:eastAsia="zh-TW"/>
              </w:rPr>
            </w:pPr>
            <w:r>
              <w:rPr>
                <w:b/>
                <w:sz w:val="24"/>
                <w:lang w:eastAsia="zh-TW"/>
              </w:rPr>
              <w:t>3、噪声</w:t>
            </w:r>
          </w:p>
          <w:p>
            <w:pPr>
              <w:spacing w:line="360" w:lineRule="auto"/>
              <w:ind w:firstLine="480" w:firstLineChars="200"/>
              <w:rPr>
                <w:sz w:val="24"/>
                <w:lang w:eastAsia="zh-TW"/>
              </w:rPr>
            </w:pPr>
            <w:r>
              <w:rPr>
                <w:sz w:val="24"/>
                <w:lang w:eastAsia="zh-TW"/>
              </w:rPr>
              <w:t>（1）预测因子与内容</w:t>
            </w:r>
          </w:p>
          <w:p>
            <w:pPr>
              <w:spacing w:line="360" w:lineRule="auto"/>
              <w:ind w:firstLine="480" w:firstLineChars="200"/>
              <w:rPr>
                <w:sz w:val="24"/>
              </w:rPr>
            </w:pPr>
            <w:r>
              <w:rPr>
                <w:sz w:val="24"/>
              </w:rPr>
              <w:fldChar w:fldCharType="begin"/>
            </w:r>
            <w:r>
              <w:rPr>
                <w:sz w:val="24"/>
              </w:rPr>
              <w:instrText xml:space="preserve"> = 1 \* ROMAN \* MERGEFORMAT </w:instrText>
            </w:r>
            <w:r>
              <w:rPr>
                <w:sz w:val="24"/>
              </w:rPr>
              <w:fldChar w:fldCharType="separate"/>
            </w:r>
            <w:r>
              <w:rPr>
                <w:sz w:val="24"/>
              </w:rPr>
              <w:t>I</w:t>
            </w:r>
            <w:r>
              <w:rPr>
                <w:sz w:val="24"/>
              </w:rPr>
              <w:fldChar w:fldCharType="end"/>
            </w:r>
            <w:r>
              <w:rPr>
                <w:sz w:val="24"/>
              </w:rPr>
              <w:t>预测因子：等效A声级</w:t>
            </w:r>
          </w:p>
          <w:p>
            <w:pPr>
              <w:spacing w:line="360" w:lineRule="auto"/>
              <w:ind w:firstLine="480" w:firstLineChars="200"/>
              <w:rPr>
                <w:sz w:val="24"/>
              </w:rPr>
            </w:pPr>
            <w:r>
              <w:rPr>
                <w:sz w:val="24"/>
              </w:rPr>
              <w:fldChar w:fldCharType="begin"/>
            </w:r>
            <w:r>
              <w:rPr>
                <w:sz w:val="24"/>
              </w:rPr>
              <w:instrText xml:space="preserve"> = 2 \* ROMAN \* MERGEFORMAT </w:instrText>
            </w:r>
            <w:r>
              <w:rPr>
                <w:sz w:val="24"/>
              </w:rPr>
              <w:fldChar w:fldCharType="separate"/>
            </w:r>
            <w:r>
              <w:rPr>
                <w:sz w:val="24"/>
              </w:rPr>
              <w:t>II</w:t>
            </w:r>
            <w:r>
              <w:rPr>
                <w:sz w:val="24"/>
              </w:rPr>
              <w:fldChar w:fldCharType="end"/>
            </w:r>
            <w:r>
              <w:rPr>
                <w:sz w:val="24"/>
              </w:rPr>
              <w:t>预测内容：主要噪声源对厂界外1m处的影响。</w:t>
            </w:r>
          </w:p>
          <w:p>
            <w:pPr>
              <w:spacing w:line="360" w:lineRule="auto"/>
              <w:ind w:firstLine="480" w:firstLineChars="200"/>
              <w:rPr>
                <w:sz w:val="24"/>
              </w:rPr>
            </w:pPr>
            <w:r>
              <w:rPr>
                <w:sz w:val="24"/>
              </w:rPr>
              <w:t>（2）预测模式</w:t>
            </w:r>
          </w:p>
          <w:p>
            <w:pPr>
              <w:adjustRightInd w:val="0"/>
              <w:snapToGrid w:val="0"/>
              <w:spacing w:line="360" w:lineRule="auto"/>
              <w:ind w:firstLine="480"/>
              <w:rPr>
                <w:bCs/>
                <w:sz w:val="24"/>
              </w:rPr>
            </w:pPr>
            <w:r>
              <w:rPr>
                <w:sz w:val="24"/>
              </w:rPr>
              <w:t>根据本项目营运期各噪声源的特征以及《环境影响评价技术导则 声环境》（HJ 2.4-2009）的技术要求，本次评价采取导则上推荐模式，具体预测公式如下：</w:t>
            </w:r>
          </w:p>
          <w:p>
            <w:pPr>
              <w:adjustRightInd w:val="0"/>
              <w:snapToGrid w:val="0"/>
              <w:spacing w:line="360" w:lineRule="auto"/>
              <w:ind w:firstLine="480"/>
              <w:rPr>
                <w:bCs/>
                <w:sz w:val="24"/>
              </w:rPr>
            </w:pPr>
            <w:r>
              <w:rPr>
                <w:bCs/>
                <w:sz w:val="24"/>
              </w:rPr>
              <w:t>1）建设项目在预测点产生的等效声级贡献值Leqg：</w:t>
            </w:r>
          </w:p>
          <w:p>
            <w:pPr>
              <w:widowControl/>
              <w:adjustRightInd w:val="0"/>
              <w:snapToGrid w:val="0"/>
              <w:spacing w:line="360" w:lineRule="auto"/>
              <w:ind w:firstLine="480"/>
              <w:jc w:val="center"/>
              <w:rPr>
                <w:bCs/>
                <w:sz w:val="24"/>
              </w:rPr>
            </w:pPr>
            <w:r>
              <w:rPr>
                <w:bCs/>
                <w:sz w:val="24"/>
              </w:rPr>
              <w:object>
                <v:shape id="_x0000_i1026" o:spt="75" type="#_x0000_t75" style="height:39.75pt;width:152.2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pPr>
              <w:autoSpaceDE w:val="0"/>
              <w:autoSpaceDN w:val="0"/>
              <w:adjustRightInd w:val="0"/>
              <w:snapToGrid w:val="0"/>
              <w:spacing w:line="360" w:lineRule="auto"/>
              <w:ind w:firstLine="480"/>
              <w:rPr>
                <w:sz w:val="24"/>
              </w:rPr>
            </w:pPr>
            <w:r>
              <w:rPr>
                <w:sz w:val="24"/>
              </w:rPr>
              <w:t>式中：</w:t>
            </w:r>
            <w:r>
              <w:rPr>
                <w:iCs/>
                <w:sz w:val="24"/>
              </w:rPr>
              <w:t>L</w:t>
            </w:r>
            <w:r>
              <w:rPr>
                <w:iCs/>
                <w:sz w:val="24"/>
                <w:vertAlign w:val="subscript"/>
              </w:rPr>
              <w:t>eqg</w:t>
            </w:r>
            <w:r>
              <w:rPr>
                <w:sz w:val="24"/>
              </w:rPr>
              <w:t>——建设项目声源在预测点的等效声级贡献值，dB(A)；</w:t>
            </w:r>
          </w:p>
          <w:p>
            <w:pPr>
              <w:autoSpaceDE w:val="0"/>
              <w:autoSpaceDN w:val="0"/>
              <w:adjustRightInd w:val="0"/>
              <w:snapToGrid w:val="0"/>
              <w:spacing w:line="360" w:lineRule="auto"/>
              <w:ind w:firstLine="1200" w:firstLineChars="500"/>
              <w:rPr>
                <w:sz w:val="24"/>
              </w:rPr>
            </w:pPr>
            <w:r>
              <w:rPr>
                <w:iCs/>
                <w:sz w:val="24"/>
              </w:rPr>
              <w:t>L</w:t>
            </w:r>
            <w:r>
              <w:rPr>
                <w:iCs/>
                <w:sz w:val="24"/>
                <w:vertAlign w:val="subscript"/>
              </w:rPr>
              <w:t>Ai</w:t>
            </w:r>
            <w:r>
              <w:rPr>
                <w:sz w:val="24"/>
              </w:rPr>
              <w:t>——声源在预测点产生的A声级，dB(A)；</w:t>
            </w:r>
          </w:p>
          <w:p>
            <w:pPr>
              <w:autoSpaceDE w:val="0"/>
              <w:autoSpaceDN w:val="0"/>
              <w:adjustRightInd w:val="0"/>
              <w:snapToGrid w:val="0"/>
              <w:spacing w:line="360" w:lineRule="auto"/>
              <w:ind w:firstLine="1200" w:firstLineChars="500"/>
              <w:rPr>
                <w:sz w:val="24"/>
              </w:rPr>
            </w:pPr>
            <w:r>
              <w:rPr>
                <w:iCs/>
                <w:sz w:val="24"/>
              </w:rPr>
              <w:t>T</w:t>
            </w:r>
            <w:r>
              <w:rPr>
                <w:sz w:val="24"/>
              </w:rPr>
              <w:t>——预测计算的时间段，s；</w:t>
            </w:r>
          </w:p>
          <w:p>
            <w:pPr>
              <w:pStyle w:val="35"/>
              <w:adjustRightInd w:val="0"/>
              <w:snapToGrid w:val="0"/>
              <w:spacing w:before="0" w:beforeAutospacing="0" w:after="0" w:afterAutospacing="0" w:line="360" w:lineRule="auto"/>
              <w:ind w:firstLine="1200" w:firstLineChars="500"/>
              <w:rPr>
                <w:rFonts w:ascii="Times New Roman" w:hAnsi="Times New Roman"/>
                <w:szCs w:val="24"/>
              </w:rPr>
            </w:pPr>
            <w:r>
              <w:rPr>
                <w:rFonts w:ascii="Times New Roman" w:hAnsi="Times New Roman"/>
                <w:iCs/>
                <w:szCs w:val="24"/>
              </w:rPr>
              <w:t>t</w:t>
            </w:r>
            <w:r>
              <w:rPr>
                <w:rFonts w:ascii="Times New Roman" w:hAnsi="Times New Roman"/>
                <w:iCs/>
                <w:szCs w:val="24"/>
                <w:vertAlign w:val="subscript"/>
              </w:rPr>
              <w:t>i</w:t>
            </w:r>
            <w:r>
              <w:rPr>
                <w:rFonts w:ascii="Times New Roman" w:hAnsi="Times New Roman"/>
                <w:szCs w:val="24"/>
              </w:rPr>
              <w:t xml:space="preserve">—— </w:t>
            </w:r>
            <w:r>
              <w:rPr>
                <w:rFonts w:ascii="Times New Roman" w:hAnsi="Times New Roman"/>
                <w:iCs/>
                <w:szCs w:val="24"/>
              </w:rPr>
              <w:t>i</w:t>
            </w:r>
            <w:r>
              <w:rPr>
                <w:rFonts w:ascii="Times New Roman" w:hAnsi="Times New Roman"/>
                <w:szCs w:val="24"/>
              </w:rPr>
              <w:t>声源在</w:t>
            </w:r>
            <w:r>
              <w:rPr>
                <w:rFonts w:ascii="Times New Roman" w:hAnsi="Times New Roman"/>
                <w:iCs/>
                <w:szCs w:val="24"/>
              </w:rPr>
              <w:t>T</w:t>
            </w:r>
            <w:r>
              <w:rPr>
                <w:rFonts w:ascii="Times New Roman" w:hAnsi="Times New Roman"/>
                <w:szCs w:val="24"/>
              </w:rPr>
              <w:t>时段内的运行时间，s。</w:t>
            </w:r>
          </w:p>
          <w:p>
            <w:pPr>
              <w:adjustRightInd w:val="0"/>
              <w:snapToGrid w:val="0"/>
              <w:spacing w:line="360" w:lineRule="auto"/>
              <w:ind w:firstLine="480"/>
              <w:rPr>
                <w:bCs/>
                <w:sz w:val="24"/>
              </w:rPr>
            </w:pPr>
            <w:r>
              <w:rPr>
                <w:bCs/>
                <w:sz w:val="24"/>
              </w:rPr>
              <w:t>2）预测点的预测等效声级(L</w:t>
            </w:r>
            <w:r>
              <w:rPr>
                <w:bCs/>
                <w:sz w:val="24"/>
                <w:vertAlign w:val="subscript"/>
              </w:rPr>
              <w:t>eq</w:t>
            </w:r>
            <w:r>
              <w:rPr>
                <w:bCs/>
                <w:sz w:val="24"/>
              </w:rPr>
              <w:t>)计算公式：</w:t>
            </w:r>
          </w:p>
          <w:p>
            <w:pPr>
              <w:adjustRightInd w:val="0"/>
              <w:snapToGrid w:val="0"/>
              <w:spacing w:line="360" w:lineRule="auto"/>
              <w:ind w:firstLine="480"/>
              <w:jc w:val="center"/>
              <w:rPr>
                <w:bCs/>
                <w:sz w:val="24"/>
              </w:rPr>
            </w:pPr>
            <w:r>
              <w:rPr>
                <w:bCs/>
                <w:sz w:val="24"/>
              </w:rPr>
              <w:object>
                <v:shape id="_x0000_i1027" o:spt="75" type="#_x0000_t75" style="height:27pt;width:168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pPr>
              <w:autoSpaceDE w:val="0"/>
              <w:autoSpaceDN w:val="0"/>
              <w:adjustRightInd w:val="0"/>
              <w:snapToGrid w:val="0"/>
              <w:spacing w:line="360" w:lineRule="auto"/>
              <w:ind w:firstLine="480"/>
              <w:rPr>
                <w:sz w:val="24"/>
              </w:rPr>
            </w:pPr>
            <w:r>
              <w:rPr>
                <w:sz w:val="24"/>
              </w:rPr>
              <w:t>式中：</w:t>
            </w:r>
            <w:r>
              <w:rPr>
                <w:iCs/>
                <w:sz w:val="24"/>
              </w:rPr>
              <w:t>L</w:t>
            </w:r>
            <w:r>
              <w:rPr>
                <w:iCs/>
                <w:sz w:val="24"/>
                <w:vertAlign w:val="subscript"/>
              </w:rPr>
              <w:t>eqg</w:t>
            </w:r>
            <w:r>
              <w:rPr>
                <w:sz w:val="24"/>
              </w:rPr>
              <w:t>—建设项目声源在预测点的等效声级贡献值，dB(A)；</w:t>
            </w:r>
          </w:p>
          <w:p>
            <w:pPr>
              <w:adjustRightInd w:val="0"/>
              <w:snapToGrid w:val="0"/>
              <w:spacing w:line="360" w:lineRule="auto"/>
              <w:ind w:firstLine="1320" w:firstLineChars="550"/>
              <w:rPr>
                <w:sz w:val="24"/>
              </w:rPr>
            </w:pPr>
            <w:r>
              <w:rPr>
                <w:iCs/>
                <w:sz w:val="24"/>
              </w:rPr>
              <w:t>L</w:t>
            </w:r>
            <w:r>
              <w:rPr>
                <w:iCs/>
                <w:sz w:val="24"/>
                <w:vertAlign w:val="subscript"/>
              </w:rPr>
              <w:t>eqb</w:t>
            </w:r>
            <w:r>
              <w:rPr>
                <w:sz w:val="24"/>
              </w:rPr>
              <w:t>— 预测点的背景值，dB(A)。</w:t>
            </w:r>
          </w:p>
          <w:p>
            <w:pPr>
              <w:adjustRightInd w:val="0"/>
              <w:snapToGrid w:val="0"/>
              <w:spacing w:line="360" w:lineRule="auto"/>
              <w:ind w:firstLine="480"/>
              <w:rPr>
                <w:bCs/>
                <w:sz w:val="24"/>
              </w:rPr>
            </w:pPr>
            <w:r>
              <w:rPr>
                <w:sz w:val="24"/>
              </w:rPr>
              <w:t>3）户外声传播衰减</w:t>
            </w:r>
            <w:r>
              <w:rPr>
                <w:bCs/>
                <w:sz w:val="24"/>
              </w:rPr>
              <w:t>计算</w:t>
            </w:r>
          </w:p>
          <w:p>
            <w:pPr>
              <w:adjustRightInd w:val="0"/>
              <w:snapToGrid w:val="0"/>
              <w:spacing w:line="360" w:lineRule="auto"/>
              <w:ind w:firstLine="480"/>
              <w:rPr>
                <w:sz w:val="24"/>
              </w:rPr>
            </w:pPr>
            <w:r>
              <w:rPr>
                <w:rFonts w:hint="eastAsia" w:ascii="宋体" w:hAnsi="宋体" w:cs="宋体"/>
                <w:sz w:val="24"/>
              </w:rPr>
              <w:t>①</w:t>
            </w:r>
            <w:r>
              <w:rPr>
                <w:sz w:val="24"/>
              </w:rPr>
              <w:t>基本公式</w:t>
            </w:r>
          </w:p>
          <w:p>
            <w:pPr>
              <w:widowControl/>
              <w:adjustRightInd w:val="0"/>
              <w:snapToGrid w:val="0"/>
              <w:spacing w:line="360" w:lineRule="auto"/>
              <w:ind w:firstLine="480"/>
              <w:rPr>
                <w:bCs/>
                <w:sz w:val="24"/>
              </w:rPr>
            </w:pPr>
            <w:r>
              <w:rPr>
                <w:sz w:val="24"/>
              </w:rPr>
              <w:t>a)根据声源声功率级或靠近声源某一参考位置处的已知声级、户外声传播衰减，计算距离声源较远处的预测点的声级。在已知距离无指向性点声源参考点r</w:t>
            </w:r>
            <w:r>
              <w:rPr>
                <w:sz w:val="24"/>
                <w:vertAlign w:val="subscript"/>
              </w:rPr>
              <w:t>0</w:t>
            </w:r>
            <w:r>
              <w:rPr>
                <w:sz w:val="24"/>
              </w:rPr>
              <w:t>处的倍频带（用63Hz到8KHz的8个标称倍频带中心频率）声压级和计算出参考点(</w:t>
            </w:r>
            <w:r>
              <w:rPr>
                <w:iCs/>
                <w:sz w:val="24"/>
              </w:rPr>
              <w:t>r</w:t>
            </w:r>
            <w:r>
              <w:rPr>
                <w:iCs/>
                <w:sz w:val="24"/>
                <w:vertAlign w:val="subscript"/>
              </w:rPr>
              <w:t>0</w:t>
            </w:r>
            <w:r>
              <w:rPr>
                <w:sz w:val="24"/>
              </w:rPr>
              <w:t>)和预测点(</w:t>
            </w:r>
            <w:r>
              <w:rPr>
                <w:i/>
                <w:iCs/>
                <w:sz w:val="24"/>
              </w:rPr>
              <w:t>r</w:t>
            </w:r>
            <w:r>
              <w:rPr>
                <w:sz w:val="24"/>
              </w:rPr>
              <w:t>)处之间的户外声传播衰减后，预测点8个倍频带声压级公式：</w:t>
            </w:r>
          </w:p>
          <w:p>
            <w:pPr>
              <w:pStyle w:val="35"/>
              <w:shd w:val="clear" w:color="auto" w:fill="FFFFFF"/>
              <w:adjustRightInd w:val="0"/>
              <w:snapToGrid w:val="0"/>
              <w:spacing w:before="0" w:beforeAutospacing="0" w:after="0" w:afterAutospacing="0" w:line="360" w:lineRule="auto"/>
              <w:ind w:firstLine="1370" w:firstLineChars="571"/>
              <w:rPr>
                <w:rFonts w:ascii="Times New Roman" w:hAnsi="Times New Roman"/>
                <w:szCs w:val="24"/>
              </w:rPr>
            </w:pPr>
            <w:r>
              <w:rPr>
                <w:rFonts w:ascii="Times New Roman" w:hAnsi="Times New Roman"/>
                <w:szCs w:val="24"/>
              </w:rPr>
              <w:t>L</w:t>
            </w:r>
            <w:r>
              <w:rPr>
                <w:rFonts w:ascii="Times New Roman" w:hAnsi="Times New Roman"/>
                <w:szCs w:val="24"/>
                <w:vertAlign w:val="subscript"/>
              </w:rPr>
              <w:t>p</w:t>
            </w:r>
            <w:r>
              <w:rPr>
                <w:rFonts w:ascii="Times New Roman" w:hAnsi="Times New Roman"/>
                <w:szCs w:val="24"/>
              </w:rPr>
              <w:t>(r)=L</w:t>
            </w:r>
            <w:r>
              <w:rPr>
                <w:rFonts w:ascii="Times New Roman" w:hAnsi="Times New Roman"/>
                <w:szCs w:val="24"/>
                <w:vertAlign w:val="subscript"/>
              </w:rPr>
              <w:t>p</w:t>
            </w:r>
            <w:r>
              <w:rPr>
                <w:rFonts w:ascii="Times New Roman" w:hAnsi="Times New Roman"/>
                <w:szCs w:val="24"/>
              </w:rPr>
              <w:t>(r</w:t>
            </w:r>
            <w:r>
              <w:rPr>
                <w:rFonts w:ascii="Times New Roman" w:hAnsi="Times New Roman"/>
                <w:szCs w:val="24"/>
                <w:vertAlign w:val="subscript"/>
              </w:rPr>
              <w:t>0</w:t>
            </w:r>
            <w:r>
              <w:rPr>
                <w:rFonts w:ascii="Times New Roman" w:hAnsi="Times New Roman"/>
                <w:szCs w:val="24"/>
              </w:rPr>
              <w:t>)-(A</w:t>
            </w:r>
            <w:r>
              <w:rPr>
                <w:rFonts w:ascii="Times New Roman" w:hAnsi="Times New Roman"/>
                <w:szCs w:val="24"/>
                <w:vertAlign w:val="subscript"/>
              </w:rPr>
              <w:t>div</w:t>
            </w:r>
            <w:r>
              <w:rPr>
                <w:rFonts w:ascii="Times New Roman" w:hAnsi="Times New Roman"/>
                <w:szCs w:val="24"/>
              </w:rPr>
              <w:t>+ +A</w:t>
            </w:r>
            <w:r>
              <w:rPr>
                <w:rFonts w:ascii="Times New Roman" w:hAnsi="Times New Roman"/>
                <w:szCs w:val="24"/>
                <w:vertAlign w:val="subscript"/>
              </w:rPr>
              <w:t>atm</w:t>
            </w:r>
            <w:r>
              <w:rPr>
                <w:rFonts w:ascii="Times New Roman" w:hAnsi="Times New Roman"/>
                <w:szCs w:val="24"/>
              </w:rPr>
              <w:t>+A</w:t>
            </w:r>
            <w:r>
              <w:rPr>
                <w:rFonts w:ascii="Times New Roman" w:hAnsi="Times New Roman"/>
                <w:szCs w:val="24"/>
                <w:vertAlign w:val="subscript"/>
              </w:rPr>
              <w:t>bar</w:t>
            </w:r>
            <w:r>
              <w:rPr>
                <w:rFonts w:ascii="Times New Roman" w:hAnsi="Times New Roman"/>
                <w:szCs w:val="24"/>
              </w:rPr>
              <w:t>+ A</w:t>
            </w:r>
            <w:r>
              <w:rPr>
                <w:rFonts w:ascii="Times New Roman" w:hAnsi="Times New Roman"/>
                <w:szCs w:val="24"/>
                <w:vertAlign w:val="subscript"/>
              </w:rPr>
              <w:t>gr</w:t>
            </w:r>
            <w:r>
              <w:rPr>
                <w:rFonts w:ascii="Times New Roman" w:hAnsi="Times New Roman"/>
                <w:szCs w:val="24"/>
              </w:rPr>
              <w:t>+A</w:t>
            </w:r>
            <w:r>
              <w:rPr>
                <w:rFonts w:ascii="Times New Roman" w:hAnsi="Times New Roman"/>
                <w:szCs w:val="24"/>
                <w:vertAlign w:val="subscript"/>
              </w:rPr>
              <w:t>misc</w:t>
            </w:r>
            <w:r>
              <w:rPr>
                <w:rFonts w:ascii="Times New Roman" w:hAnsi="Times New Roman"/>
                <w:szCs w:val="24"/>
              </w:rPr>
              <w:t>)</w:t>
            </w:r>
          </w:p>
          <w:p>
            <w:pPr>
              <w:pStyle w:val="35"/>
              <w:adjustRightInd w:val="0"/>
              <w:snapToGrid w:val="0"/>
              <w:spacing w:before="0" w:beforeAutospacing="0" w:after="0" w:afterAutospacing="0" w:line="360" w:lineRule="auto"/>
              <w:ind w:firstLine="480" w:firstLineChars="200"/>
              <w:rPr>
                <w:rFonts w:ascii="Times New Roman" w:hAnsi="Times New Roman"/>
                <w:szCs w:val="24"/>
              </w:rPr>
            </w:pPr>
            <w:r>
              <w:rPr>
                <w:rFonts w:ascii="Times New Roman" w:hAnsi="Times New Roman"/>
                <w:szCs w:val="24"/>
              </w:rPr>
              <w:t>式中：L</w:t>
            </w:r>
            <w:r>
              <w:rPr>
                <w:rFonts w:ascii="Times New Roman" w:hAnsi="Times New Roman"/>
                <w:szCs w:val="24"/>
                <w:vertAlign w:val="subscript"/>
              </w:rPr>
              <w:t>p</w:t>
            </w:r>
            <w:r>
              <w:rPr>
                <w:rFonts w:ascii="Times New Roman" w:hAnsi="Times New Roman"/>
                <w:szCs w:val="24"/>
              </w:rPr>
              <w:t>(r)——距声源r处的倍频带声压级；</w:t>
            </w:r>
          </w:p>
          <w:p>
            <w:pPr>
              <w:pStyle w:val="35"/>
              <w:adjustRightInd w:val="0"/>
              <w:snapToGrid w:val="0"/>
              <w:spacing w:before="0" w:beforeAutospacing="0" w:after="0" w:afterAutospacing="0" w:line="360" w:lineRule="auto"/>
              <w:ind w:left="630" w:leftChars="300" w:firstLine="480" w:firstLineChars="200"/>
              <w:rPr>
                <w:rFonts w:ascii="Times New Roman" w:hAnsi="Times New Roman"/>
                <w:szCs w:val="24"/>
              </w:rPr>
            </w:pPr>
            <w:r>
              <w:rPr>
                <w:rFonts w:ascii="Times New Roman" w:hAnsi="Times New Roman"/>
                <w:szCs w:val="24"/>
              </w:rPr>
              <w:t>L</w:t>
            </w:r>
            <w:r>
              <w:rPr>
                <w:rFonts w:ascii="Times New Roman" w:hAnsi="Times New Roman"/>
                <w:szCs w:val="24"/>
                <w:vertAlign w:val="subscript"/>
              </w:rPr>
              <w:t>p</w:t>
            </w:r>
            <w:r>
              <w:rPr>
                <w:rFonts w:ascii="Times New Roman" w:hAnsi="Times New Roman"/>
                <w:szCs w:val="24"/>
              </w:rPr>
              <w:t>(r</w:t>
            </w:r>
            <w:r>
              <w:rPr>
                <w:rFonts w:ascii="Times New Roman" w:hAnsi="Times New Roman"/>
                <w:szCs w:val="24"/>
                <w:vertAlign w:val="subscript"/>
              </w:rPr>
              <w:t>0</w:t>
            </w:r>
            <w:r>
              <w:rPr>
                <w:rFonts w:ascii="Times New Roman" w:hAnsi="Times New Roman"/>
                <w:szCs w:val="24"/>
              </w:rPr>
              <w:t>) ——参考位置r</w:t>
            </w:r>
            <w:r>
              <w:rPr>
                <w:rFonts w:ascii="Times New Roman" w:hAnsi="Times New Roman"/>
                <w:szCs w:val="24"/>
                <w:vertAlign w:val="subscript"/>
              </w:rPr>
              <w:t>0</w:t>
            </w:r>
            <w:r>
              <w:rPr>
                <w:rFonts w:ascii="Times New Roman" w:hAnsi="Times New Roman"/>
                <w:szCs w:val="24"/>
              </w:rPr>
              <w:t>处的倍频带声压级；</w:t>
            </w:r>
          </w:p>
          <w:p>
            <w:pPr>
              <w:pStyle w:val="35"/>
              <w:adjustRightInd w:val="0"/>
              <w:snapToGrid w:val="0"/>
              <w:spacing w:before="0" w:beforeAutospacing="0" w:after="0" w:afterAutospacing="0" w:line="360" w:lineRule="auto"/>
              <w:ind w:left="630" w:leftChars="300" w:firstLine="480" w:firstLineChars="200"/>
              <w:rPr>
                <w:rFonts w:ascii="Times New Roman" w:hAnsi="Times New Roman"/>
                <w:szCs w:val="24"/>
              </w:rPr>
            </w:pPr>
            <w:r>
              <w:rPr>
                <w:rFonts w:ascii="Times New Roman" w:hAnsi="Times New Roman"/>
                <w:szCs w:val="24"/>
              </w:rPr>
              <w:t>A</w:t>
            </w:r>
            <w:r>
              <w:rPr>
                <w:rFonts w:ascii="Times New Roman" w:hAnsi="Times New Roman"/>
                <w:szCs w:val="24"/>
                <w:vertAlign w:val="subscript"/>
              </w:rPr>
              <w:t>div</w:t>
            </w:r>
            <w:r>
              <w:rPr>
                <w:rFonts w:ascii="Times New Roman" w:hAnsi="Times New Roman"/>
                <w:szCs w:val="24"/>
              </w:rPr>
              <w:t>——声波几何发散引起的倍频带衰减， dB；</w:t>
            </w:r>
          </w:p>
          <w:p>
            <w:pPr>
              <w:pStyle w:val="35"/>
              <w:adjustRightInd w:val="0"/>
              <w:snapToGrid w:val="0"/>
              <w:spacing w:before="0" w:beforeAutospacing="0" w:after="0" w:afterAutospacing="0" w:line="360" w:lineRule="auto"/>
              <w:ind w:left="630" w:leftChars="300" w:firstLine="480" w:firstLineChars="200"/>
              <w:rPr>
                <w:rFonts w:ascii="Times New Roman" w:hAnsi="Times New Roman"/>
                <w:szCs w:val="24"/>
              </w:rPr>
            </w:pPr>
            <w:r>
              <w:rPr>
                <w:rFonts w:ascii="Times New Roman" w:hAnsi="Times New Roman"/>
                <w:szCs w:val="24"/>
              </w:rPr>
              <w:t>A</w:t>
            </w:r>
            <w:r>
              <w:rPr>
                <w:rFonts w:ascii="Times New Roman" w:hAnsi="Times New Roman"/>
                <w:szCs w:val="24"/>
                <w:vertAlign w:val="subscript"/>
              </w:rPr>
              <w:t>atm</w:t>
            </w:r>
            <w:r>
              <w:rPr>
                <w:rFonts w:ascii="Times New Roman" w:hAnsi="Times New Roman"/>
                <w:szCs w:val="24"/>
              </w:rPr>
              <w:t>——大气吸收引起的倍频带衰减， dB；</w:t>
            </w:r>
          </w:p>
          <w:p>
            <w:pPr>
              <w:pStyle w:val="35"/>
              <w:adjustRightInd w:val="0"/>
              <w:snapToGrid w:val="0"/>
              <w:spacing w:before="0" w:beforeAutospacing="0" w:after="0" w:afterAutospacing="0" w:line="360" w:lineRule="auto"/>
              <w:ind w:left="630" w:leftChars="300" w:firstLine="480" w:firstLineChars="200"/>
              <w:rPr>
                <w:rFonts w:ascii="Times New Roman" w:hAnsi="Times New Roman"/>
                <w:szCs w:val="24"/>
              </w:rPr>
            </w:pPr>
            <w:r>
              <w:rPr>
                <w:rFonts w:ascii="Times New Roman" w:hAnsi="Times New Roman"/>
                <w:szCs w:val="24"/>
              </w:rPr>
              <w:t>A</w:t>
            </w:r>
            <w:r>
              <w:rPr>
                <w:rFonts w:ascii="Times New Roman" w:hAnsi="Times New Roman"/>
                <w:szCs w:val="24"/>
                <w:vertAlign w:val="subscript"/>
              </w:rPr>
              <w:t>bar</w:t>
            </w:r>
            <w:r>
              <w:rPr>
                <w:rFonts w:ascii="Times New Roman" w:hAnsi="Times New Roman"/>
                <w:szCs w:val="24"/>
              </w:rPr>
              <w:t>——屏蔽屏障引起的倍频带衰减， dB；</w:t>
            </w:r>
          </w:p>
          <w:p>
            <w:pPr>
              <w:pStyle w:val="35"/>
              <w:adjustRightInd w:val="0"/>
              <w:snapToGrid w:val="0"/>
              <w:spacing w:before="0" w:beforeAutospacing="0" w:after="0" w:afterAutospacing="0" w:line="360" w:lineRule="auto"/>
              <w:ind w:left="630" w:leftChars="300" w:firstLine="480" w:firstLineChars="200"/>
              <w:rPr>
                <w:rFonts w:ascii="Times New Roman" w:hAnsi="Times New Roman"/>
                <w:szCs w:val="24"/>
              </w:rPr>
            </w:pPr>
            <w:r>
              <w:rPr>
                <w:rFonts w:ascii="Times New Roman" w:hAnsi="Times New Roman"/>
                <w:szCs w:val="24"/>
              </w:rPr>
              <w:t>A</w:t>
            </w:r>
            <w:r>
              <w:rPr>
                <w:rFonts w:ascii="Times New Roman" w:hAnsi="Times New Roman"/>
                <w:szCs w:val="24"/>
                <w:vertAlign w:val="subscript"/>
              </w:rPr>
              <w:t>gr</w:t>
            </w:r>
            <w:r>
              <w:rPr>
                <w:rFonts w:ascii="Times New Roman" w:hAnsi="Times New Roman"/>
                <w:szCs w:val="24"/>
              </w:rPr>
              <w:t xml:space="preserve"> ——地面效应引起的</w:t>
            </w:r>
            <w:bookmarkStart w:id="3" w:name="_GoBack"/>
            <w:bookmarkEnd w:id="3"/>
            <w:r>
              <w:rPr>
                <w:rFonts w:ascii="Times New Roman" w:hAnsi="Times New Roman"/>
                <w:szCs w:val="24"/>
              </w:rPr>
              <w:t>倍频带衰减， dB；</w:t>
            </w:r>
          </w:p>
          <w:p>
            <w:pPr>
              <w:pStyle w:val="35"/>
              <w:adjustRightInd w:val="0"/>
              <w:snapToGrid w:val="0"/>
              <w:spacing w:before="0" w:beforeAutospacing="0" w:after="0" w:afterAutospacing="0" w:line="360" w:lineRule="auto"/>
              <w:ind w:left="630" w:leftChars="300" w:firstLine="480" w:firstLineChars="200"/>
              <w:rPr>
                <w:rFonts w:ascii="Times New Roman" w:hAnsi="Times New Roman"/>
                <w:szCs w:val="24"/>
              </w:rPr>
            </w:pPr>
            <w:r>
              <w:rPr>
                <w:rFonts w:ascii="Times New Roman" w:hAnsi="Times New Roman"/>
                <w:szCs w:val="24"/>
              </w:rPr>
              <w:t>A</w:t>
            </w:r>
            <w:r>
              <w:rPr>
                <w:rFonts w:ascii="Times New Roman" w:hAnsi="Times New Roman"/>
                <w:szCs w:val="24"/>
                <w:vertAlign w:val="subscript"/>
              </w:rPr>
              <w:t>misc</w:t>
            </w:r>
            <w:r>
              <w:rPr>
                <w:rFonts w:ascii="Times New Roman" w:hAnsi="Times New Roman"/>
                <w:szCs w:val="24"/>
              </w:rPr>
              <w:t>——其它多方面效应引起的倍频带衰减， dB。</w:t>
            </w:r>
          </w:p>
          <w:p>
            <w:pPr>
              <w:adjustRightInd w:val="0"/>
              <w:snapToGrid w:val="0"/>
              <w:spacing w:line="360" w:lineRule="auto"/>
              <w:ind w:firstLine="480"/>
              <w:rPr>
                <w:sz w:val="24"/>
              </w:rPr>
            </w:pPr>
            <w:r>
              <w:rPr>
                <w:sz w:val="24"/>
              </w:rPr>
              <w:t>b)预测点的A声级可按下列公式计算，即将8个倍频带声压级合成，计算出预测点的A声级L</w:t>
            </w:r>
            <w:r>
              <w:rPr>
                <w:sz w:val="24"/>
                <w:vertAlign w:val="subscript"/>
              </w:rPr>
              <w:t>A</w:t>
            </w:r>
            <w:r>
              <w:rPr>
                <w:sz w:val="24"/>
              </w:rPr>
              <w:t>(r)：</w:t>
            </w:r>
          </w:p>
          <w:p>
            <w:pPr>
              <w:adjustRightInd w:val="0"/>
              <w:snapToGrid w:val="0"/>
              <w:spacing w:line="360" w:lineRule="auto"/>
              <w:ind w:firstLine="480"/>
              <w:jc w:val="center"/>
              <w:rPr>
                <w:sz w:val="24"/>
              </w:rPr>
            </w:pPr>
            <w:r>
              <w:rPr>
                <w:bCs/>
                <w:sz w:val="24"/>
              </w:rPr>
              <w:object>
                <v:shape id="_x0000_i1028" o:spt="75" type="#_x0000_t75" style="height:44.25pt;width:183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pPr>
              <w:adjustRightInd w:val="0"/>
              <w:snapToGrid w:val="0"/>
              <w:spacing w:line="360" w:lineRule="auto"/>
              <w:ind w:firstLine="480"/>
              <w:rPr>
                <w:sz w:val="24"/>
              </w:rPr>
            </w:pPr>
            <w:r>
              <w:rPr>
                <w:sz w:val="24"/>
              </w:rPr>
              <w:t>式中：</w:t>
            </w:r>
            <w:r>
              <w:rPr>
                <w:iCs/>
                <w:sz w:val="24"/>
              </w:rPr>
              <w:t>L</w:t>
            </w:r>
            <w:r>
              <w:rPr>
                <w:iCs/>
                <w:sz w:val="24"/>
                <w:vertAlign w:val="subscript"/>
              </w:rPr>
              <w:t>Pi</w:t>
            </w:r>
            <w:r>
              <w:rPr>
                <w:sz w:val="24"/>
              </w:rPr>
              <w:t>(</w:t>
            </w:r>
            <w:r>
              <w:rPr>
                <w:iCs/>
                <w:sz w:val="24"/>
              </w:rPr>
              <w:t>r</w:t>
            </w:r>
            <w:r>
              <w:rPr>
                <w:sz w:val="24"/>
              </w:rPr>
              <w:t>)—— 预测点(r)处，第</w:t>
            </w:r>
            <w:r>
              <w:rPr>
                <w:iCs/>
                <w:sz w:val="24"/>
              </w:rPr>
              <w:t>i</w:t>
            </w:r>
            <w:r>
              <w:rPr>
                <w:sz w:val="24"/>
              </w:rPr>
              <w:t>倍频带声压级，dB；</w:t>
            </w:r>
          </w:p>
          <w:p>
            <w:pPr>
              <w:pStyle w:val="231"/>
              <w:snapToGrid w:val="0"/>
              <w:spacing w:line="360" w:lineRule="auto"/>
              <w:ind w:left="1260" w:leftChars="600"/>
              <w:jc w:val="both"/>
              <w:rPr>
                <w:rFonts w:ascii="Times New Roman" w:cs="Times New Roman"/>
                <w:color w:val="auto"/>
              </w:rPr>
            </w:pPr>
            <w:r>
              <w:rPr>
                <w:rFonts w:ascii="Times New Roman" w:cs="Times New Roman"/>
                <w:color w:val="auto"/>
              </w:rPr>
              <w:t>Δ</w:t>
            </w:r>
            <w:r>
              <w:rPr>
                <w:rFonts w:ascii="Times New Roman" w:cs="Times New Roman"/>
                <w:iCs/>
                <w:color w:val="auto"/>
              </w:rPr>
              <w:t>L</w:t>
            </w:r>
            <w:r>
              <w:rPr>
                <w:rFonts w:ascii="Times New Roman" w:cs="Times New Roman"/>
                <w:iCs/>
                <w:color w:val="auto"/>
                <w:vertAlign w:val="subscript"/>
              </w:rPr>
              <w:t>i</w:t>
            </w:r>
            <w:r>
              <w:rPr>
                <w:rFonts w:ascii="Times New Roman" w:cs="Times New Roman"/>
                <w:color w:val="auto"/>
              </w:rPr>
              <w:t xml:space="preserve"> —— 第</w:t>
            </w:r>
            <w:r>
              <w:rPr>
                <w:rFonts w:ascii="Times New Roman" w:cs="Times New Roman"/>
                <w:iCs/>
                <w:color w:val="auto"/>
              </w:rPr>
              <w:t>i</w:t>
            </w:r>
            <w:r>
              <w:rPr>
                <w:rFonts w:ascii="Times New Roman" w:cs="Times New Roman"/>
                <w:color w:val="auto"/>
              </w:rPr>
              <w:t>倍频带的A计权网络修正值，见《环境影响评价技术导则声环境》（HJ/T2.4-2009）附录B，dB。</w:t>
            </w:r>
          </w:p>
          <w:p>
            <w:pPr>
              <w:adjustRightInd w:val="0"/>
              <w:snapToGrid w:val="0"/>
              <w:spacing w:line="360" w:lineRule="auto"/>
              <w:ind w:firstLine="480"/>
              <w:rPr>
                <w:sz w:val="24"/>
              </w:rPr>
            </w:pPr>
            <w:r>
              <w:rPr>
                <w:sz w:val="24"/>
              </w:rPr>
              <w:t>c)在只考虑几何发散衰减时，可用下列公式计算：</w:t>
            </w:r>
          </w:p>
          <w:p>
            <w:pPr>
              <w:adjustRightInd w:val="0"/>
              <w:snapToGrid w:val="0"/>
              <w:spacing w:line="360" w:lineRule="auto"/>
              <w:ind w:firstLine="480"/>
              <w:jc w:val="center"/>
              <w:rPr>
                <w:sz w:val="24"/>
              </w:rPr>
            </w:pPr>
            <w:r>
              <w:rPr>
                <w:sz w:val="24"/>
              </w:rPr>
              <w:t>L</w:t>
            </w:r>
            <w:r>
              <w:rPr>
                <w:sz w:val="24"/>
                <w:vertAlign w:val="subscript"/>
              </w:rPr>
              <w:t>A</w:t>
            </w:r>
            <w:r>
              <w:rPr>
                <w:sz w:val="24"/>
              </w:rPr>
              <w:t>(r)=L</w:t>
            </w:r>
            <w:r>
              <w:rPr>
                <w:sz w:val="24"/>
                <w:vertAlign w:val="subscript"/>
              </w:rPr>
              <w:t>A</w:t>
            </w:r>
            <w:r>
              <w:rPr>
                <w:sz w:val="24"/>
              </w:rPr>
              <w:t>(r</w:t>
            </w:r>
            <w:r>
              <w:rPr>
                <w:sz w:val="24"/>
                <w:vertAlign w:val="subscript"/>
              </w:rPr>
              <w:t>0</w:t>
            </w:r>
            <w:r>
              <w:rPr>
                <w:sz w:val="24"/>
              </w:rPr>
              <w:t>)- A</w:t>
            </w:r>
            <w:r>
              <w:rPr>
                <w:sz w:val="24"/>
                <w:vertAlign w:val="subscript"/>
              </w:rPr>
              <w:t>div</w:t>
            </w:r>
          </w:p>
          <w:p>
            <w:pPr>
              <w:pStyle w:val="231"/>
              <w:snapToGrid w:val="0"/>
              <w:spacing w:line="360" w:lineRule="auto"/>
              <w:ind w:firstLine="480" w:firstLineChars="200"/>
              <w:rPr>
                <w:rFonts w:ascii="Times New Roman" w:cs="Times New Roman"/>
                <w:color w:val="auto"/>
              </w:rPr>
            </w:pPr>
            <w:r>
              <w:rPr>
                <w:rFonts w:ascii="Times New Roman" w:cs="Times New Roman"/>
                <w:color w:val="auto"/>
              </w:rPr>
              <w:t xml:space="preserve"> </w:t>
            </w:r>
            <w:r>
              <w:rPr>
                <w:rFonts w:hint="eastAsia" w:hAnsi="宋体"/>
                <w:color w:val="auto"/>
              </w:rPr>
              <w:t>②</w:t>
            </w:r>
            <w:r>
              <w:rPr>
                <w:rFonts w:ascii="Times New Roman" w:cs="Times New Roman"/>
                <w:color w:val="auto"/>
              </w:rPr>
              <w:t>几何发散衰减（</w:t>
            </w:r>
            <w:r>
              <w:rPr>
                <w:rFonts w:ascii="Times New Roman" w:cs="Times New Roman"/>
                <w:iCs/>
                <w:color w:val="auto"/>
              </w:rPr>
              <w:t>A</w:t>
            </w:r>
            <w:r>
              <w:rPr>
                <w:rFonts w:ascii="Times New Roman" w:cs="Times New Roman"/>
                <w:iCs/>
                <w:color w:val="auto"/>
                <w:vertAlign w:val="subscript"/>
              </w:rPr>
              <w:t>div</w:t>
            </w:r>
            <w:r>
              <w:rPr>
                <w:rFonts w:ascii="Times New Roman" w:cs="Times New Roman"/>
                <w:color w:val="auto"/>
              </w:rPr>
              <w:t>）</w:t>
            </w:r>
          </w:p>
          <w:p>
            <w:pPr>
              <w:pStyle w:val="231"/>
              <w:snapToGrid w:val="0"/>
              <w:spacing w:line="360" w:lineRule="auto"/>
              <w:ind w:firstLine="480" w:firstLineChars="200"/>
              <w:rPr>
                <w:rFonts w:ascii="Times New Roman" w:cs="Times New Roman"/>
                <w:color w:val="auto"/>
              </w:rPr>
            </w:pPr>
            <w:r>
              <w:rPr>
                <w:rFonts w:ascii="Times New Roman" w:cs="Times New Roman"/>
                <w:color w:val="auto"/>
              </w:rPr>
              <w:t>无指向性点声源几何发散衰减的基本公式是：</w:t>
            </w:r>
          </w:p>
          <w:p>
            <w:pPr>
              <w:pStyle w:val="231"/>
              <w:snapToGrid w:val="0"/>
              <w:spacing w:line="360" w:lineRule="auto"/>
              <w:ind w:firstLine="1320" w:firstLineChars="550"/>
              <w:jc w:val="center"/>
              <w:rPr>
                <w:rFonts w:ascii="Times New Roman" w:cs="Times New Roman"/>
                <w:color w:val="auto"/>
              </w:rPr>
            </w:pPr>
            <w:r>
              <w:rPr>
                <w:rFonts w:ascii="Times New Roman" w:cs="Times New Roman"/>
                <w:color w:val="auto"/>
              </w:rPr>
              <w:t>L</w:t>
            </w:r>
            <w:r>
              <w:rPr>
                <w:rFonts w:ascii="Times New Roman" w:cs="Times New Roman"/>
                <w:color w:val="auto"/>
                <w:vertAlign w:val="subscript"/>
              </w:rPr>
              <w:t>p</w:t>
            </w:r>
            <w:r>
              <w:rPr>
                <w:rFonts w:ascii="Times New Roman" w:cs="Times New Roman"/>
                <w:color w:val="auto"/>
              </w:rPr>
              <w:t>(r)=L</w:t>
            </w:r>
            <w:r>
              <w:rPr>
                <w:rFonts w:ascii="Times New Roman" w:cs="Times New Roman"/>
                <w:color w:val="auto"/>
                <w:vertAlign w:val="subscript"/>
              </w:rPr>
              <w:t>p</w:t>
            </w:r>
            <w:r>
              <w:rPr>
                <w:rFonts w:ascii="Times New Roman" w:cs="Times New Roman"/>
                <w:color w:val="auto"/>
              </w:rPr>
              <w:t>(r</w:t>
            </w:r>
            <w:r>
              <w:rPr>
                <w:rFonts w:ascii="Times New Roman" w:cs="Times New Roman"/>
                <w:color w:val="auto"/>
                <w:vertAlign w:val="subscript"/>
              </w:rPr>
              <w:t>0</w:t>
            </w:r>
            <w:r>
              <w:rPr>
                <w:rFonts w:ascii="Times New Roman" w:cs="Times New Roman"/>
                <w:color w:val="auto"/>
              </w:rPr>
              <w:t>)-20lg(r/r</w:t>
            </w:r>
            <w:r>
              <w:rPr>
                <w:rFonts w:ascii="Times New Roman" w:cs="Times New Roman"/>
                <w:color w:val="auto"/>
                <w:vertAlign w:val="subscript"/>
              </w:rPr>
              <w:t>0</w:t>
            </w:r>
            <w:r>
              <w:rPr>
                <w:rFonts w:ascii="Times New Roman" w:cs="Times New Roman"/>
                <w:color w:val="auto"/>
              </w:rPr>
              <w:t xml:space="preserve">)      </w:t>
            </w:r>
            <w:r>
              <w:rPr>
                <w:rFonts w:ascii="Times New Roman" w:cs="Times New Roman"/>
                <w:iCs/>
                <w:color w:val="auto"/>
              </w:rPr>
              <w:t>A</w:t>
            </w:r>
            <w:r>
              <w:rPr>
                <w:rFonts w:ascii="Times New Roman" w:cs="Times New Roman"/>
                <w:iCs/>
                <w:color w:val="auto"/>
                <w:vertAlign w:val="subscript"/>
              </w:rPr>
              <w:t>div</w:t>
            </w:r>
            <w:r>
              <w:rPr>
                <w:rFonts w:ascii="Times New Roman" w:cs="Times New Roman"/>
                <w:color w:val="auto"/>
              </w:rPr>
              <w:t>= 20lg(r/r</w:t>
            </w:r>
            <w:r>
              <w:rPr>
                <w:rFonts w:ascii="Times New Roman" w:cs="Times New Roman"/>
                <w:color w:val="auto"/>
                <w:vertAlign w:val="subscript"/>
              </w:rPr>
              <w:t>0</w:t>
            </w:r>
            <w:r>
              <w:rPr>
                <w:rFonts w:ascii="Times New Roman" w:cs="Times New Roman"/>
                <w:color w:val="auto"/>
              </w:rPr>
              <w:t>)</w:t>
            </w:r>
          </w:p>
          <w:p>
            <w:pPr>
              <w:autoSpaceDE w:val="0"/>
              <w:autoSpaceDN w:val="0"/>
              <w:adjustRightInd w:val="0"/>
              <w:snapToGrid w:val="0"/>
              <w:spacing w:line="360" w:lineRule="auto"/>
              <w:ind w:firstLine="480"/>
              <w:rPr>
                <w:sz w:val="24"/>
              </w:rPr>
            </w:pPr>
            <w:r>
              <w:rPr>
                <w:rFonts w:hint="eastAsia" w:ascii="宋体" w:hAnsi="宋体" w:cs="宋体"/>
                <w:sz w:val="24"/>
              </w:rPr>
              <w:t>③</w:t>
            </w:r>
            <w:r>
              <w:rPr>
                <w:sz w:val="24"/>
              </w:rPr>
              <w:t>空气吸收引起的衰减（A</w:t>
            </w:r>
            <w:r>
              <w:rPr>
                <w:sz w:val="24"/>
                <w:vertAlign w:val="subscript"/>
              </w:rPr>
              <w:t>atm</w:t>
            </w:r>
            <w:r>
              <w:rPr>
                <w:sz w:val="24"/>
              </w:rPr>
              <w:t>）</w:t>
            </w:r>
          </w:p>
          <w:p>
            <w:pPr>
              <w:autoSpaceDE w:val="0"/>
              <w:autoSpaceDN w:val="0"/>
              <w:adjustRightInd w:val="0"/>
              <w:snapToGrid w:val="0"/>
              <w:spacing w:line="360" w:lineRule="auto"/>
              <w:ind w:firstLine="480"/>
              <w:jc w:val="center"/>
              <w:rPr>
                <w:sz w:val="24"/>
              </w:rPr>
            </w:pPr>
            <w:r>
              <w:rPr>
                <w:sz w:val="24"/>
              </w:rPr>
              <w:t>A</w:t>
            </w:r>
            <w:r>
              <w:rPr>
                <w:sz w:val="24"/>
                <w:vertAlign w:val="subscript"/>
              </w:rPr>
              <w:t>atm</w:t>
            </w:r>
            <w:r>
              <w:rPr>
                <w:sz w:val="24"/>
              </w:rPr>
              <w:t>=a(r-r</w:t>
            </w:r>
            <w:r>
              <w:rPr>
                <w:sz w:val="24"/>
                <w:vertAlign w:val="subscript"/>
              </w:rPr>
              <w:t>0</w:t>
            </w:r>
            <w:r>
              <w:rPr>
                <w:sz w:val="24"/>
              </w:rPr>
              <w:t>)/1000</w:t>
            </w:r>
          </w:p>
          <w:p>
            <w:pPr>
              <w:pStyle w:val="35"/>
              <w:shd w:val="clear" w:color="auto" w:fill="FFFFFF"/>
              <w:adjustRightInd w:val="0"/>
              <w:snapToGrid w:val="0"/>
              <w:spacing w:before="0" w:beforeAutospacing="0" w:after="0" w:afterAutospacing="0" w:line="360" w:lineRule="auto"/>
              <w:ind w:firstLine="480" w:firstLineChars="200"/>
              <w:rPr>
                <w:rFonts w:ascii="Times New Roman" w:hAnsi="Times New Roman"/>
                <w:szCs w:val="24"/>
              </w:rPr>
            </w:pPr>
            <w:r>
              <w:rPr>
                <w:rFonts w:ascii="Times New Roman" w:hAnsi="Times New Roman"/>
                <w:szCs w:val="24"/>
              </w:rPr>
              <w:t>式中：r——预测点距声源的距离，m；</w:t>
            </w:r>
          </w:p>
          <w:p>
            <w:pPr>
              <w:pStyle w:val="35"/>
              <w:shd w:val="clear" w:color="auto" w:fill="FFFFFF"/>
              <w:adjustRightInd w:val="0"/>
              <w:snapToGrid w:val="0"/>
              <w:spacing w:before="0" w:beforeAutospacing="0" w:after="0" w:afterAutospacing="0" w:line="360" w:lineRule="auto"/>
              <w:ind w:left="1050" w:leftChars="500"/>
              <w:rPr>
                <w:rFonts w:ascii="Times New Roman" w:hAnsi="Times New Roman"/>
                <w:szCs w:val="24"/>
              </w:rPr>
            </w:pPr>
            <w:r>
              <w:rPr>
                <w:rFonts w:ascii="Times New Roman" w:hAnsi="Times New Roman"/>
                <w:szCs w:val="24"/>
              </w:rPr>
              <w:t>r</w:t>
            </w:r>
            <w:r>
              <w:rPr>
                <w:rFonts w:ascii="Times New Roman" w:hAnsi="Times New Roman"/>
                <w:szCs w:val="24"/>
                <w:vertAlign w:val="subscript"/>
              </w:rPr>
              <w:t>0</w:t>
            </w:r>
            <w:r>
              <w:rPr>
                <w:rFonts w:ascii="Times New Roman" w:hAnsi="Times New Roman"/>
                <w:szCs w:val="24"/>
              </w:rPr>
              <w:t>——参考位置距离，m；</w:t>
            </w:r>
          </w:p>
          <w:p>
            <w:pPr>
              <w:pStyle w:val="35"/>
              <w:shd w:val="clear" w:color="auto" w:fill="FFFFFF"/>
              <w:adjustRightInd w:val="0"/>
              <w:snapToGrid w:val="0"/>
              <w:spacing w:before="0" w:beforeAutospacing="0" w:after="0" w:afterAutospacing="0" w:line="360" w:lineRule="auto"/>
              <w:ind w:left="1050" w:leftChars="500"/>
              <w:rPr>
                <w:rFonts w:ascii="Times New Roman" w:hAnsi="Times New Roman"/>
                <w:kern w:val="2"/>
                <w:szCs w:val="24"/>
              </w:rPr>
            </w:pPr>
            <w:r>
              <w:rPr>
                <w:rFonts w:ascii="Times New Roman" w:hAnsi="Times New Roman"/>
                <w:iCs/>
                <w:szCs w:val="24"/>
              </w:rPr>
              <w:t>a</w:t>
            </w:r>
            <w:r>
              <w:rPr>
                <w:rFonts w:ascii="Times New Roman" w:hAnsi="Times New Roman"/>
                <w:szCs w:val="24"/>
              </w:rPr>
              <w:t>——温度、湿度和声波频率的函数，根据建设项目所处区域常年平均气温</w:t>
            </w:r>
            <w:r>
              <w:rPr>
                <w:rFonts w:ascii="Times New Roman" w:hAnsi="Times New Roman"/>
                <w:kern w:val="2"/>
                <w:szCs w:val="24"/>
              </w:rPr>
              <w:t>和湿度选择相应的空气吸收系数。</w:t>
            </w:r>
          </w:p>
          <w:p>
            <w:pPr>
              <w:spacing w:line="360" w:lineRule="auto"/>
              <w:ind w:firstLine="480" w:firstLineChars="200"/>
              <w:rPr>
                <w:sz w:val="24"/>
              </w:rPr>
            </w:pPr>
            <w:r>
              <w:rPr>
                <w:sz w:val="24"/>
              </w:rPr>
              <w:t>（3）参数选取</w:t>
            </w:r>
          </w:p>
          <w:p>
            <w:pPr>
              <w:spacing w:line="360" w:lineRule="auto"/>
              <w:ind w:firstLine="480" w:firstLineChars="200"/>
              <w:rPr>
                <w:sz w:val="24"/>
              </w:rPr>
            </w:pPr>
            <w:r>
              <w:rPr>
                <w:rFonts w:hint="eastAsia" w:ascii="宋体" w:hAnsi="宋体" w:cs="宋体"/>
                <w:sz w:val="24"/>
              </w:rPr>
              <w:t>①</w:t>
            </w:r>
            <w:r>
              <w:rPr>
                <w:sz w:val="24"/>
              </w:rPr>
              <w:t>执行标准</w:t>
            </w:r>
          </w:p>
          <w:p>
            <w:pPr>
              <w:spacing w:line="360" w:lineRule="auto"/>
              <w:ind w:firstLine="480" w:firstLineChars="200"/>
              <w:rPr>
                <w:sz w:val="24"/>
              </w:rPr>
            </w:pPr>
            <w:r>
              <w:rPr>
                <w:sz w:val="24"/>
              </w:rPr>
              <w:t>厂界处噪声执行《工业企业厂界环境噪声排放标准》(GB12348-2008)中3类标准。</w:t>
            </w:r>
          </w:p>
          <w:p>
            <w:pPr>
              <w:spacing w:line="360" w:lineRule="auto"/>
              <w:ind w:firstLine="480" w:firstLineChars="200"/>
              <w:rPr>
                <w:sz w:val="24"/>
              </w:rPr>
            </w:pPr>
            <w:r>
              <w:rPr>
                <w:rFonts w:hint="eastAsia" w:ascii="宋体" w:hAnsi="宋体" w:cs="宋体"/>
                <w:sz w:val="24"/>
              </w:rPr>
              <w:t>②</w:t>
            </w:r>
            <w:r>
              <w:rPr>
                <w:sz w:val="24"/>
              </w:rPr>
              <w:t>噪声源强</w:t>
            </w:r>
          </w:p>
          <w:p>
            <w:pPr>
              <w:pStyle w:val="397"/>
            </w:pPr>
            <w:r>
              <w:t>本项目噪声源主要</w:t>
            </w:r>
            <w:commentRangeStart w:id="5"/>
            <w:r>
              <w:t>为</w:t>
            </w:r>
            <w:r>
              <w:rPr>
                <w:rFonts w:hint="eastAsia"/>
                <w:color w:val="FF0000"/>
              </w:rPr>
              <w:t>叉车</w:t>
            </w:r>
            <w:r>
              <w:rPr>
                <w:color w:val="FF0000"/>
              </w:rPr>
              <w:t>、冲床、打标机</w:t>
            </w:r>
            <w:r>
              <w:rPr>
                <w:rFonts w:hint="eastAsia"/>
                <w:color w:val="FF0000"/>
              </w:rPr>
              <w:t>、打波机、电焊机、定位机、焊管机、焊管生产线、空压机等</w:t>
            </w:r>
            <w:commentRangeEnd w:id="5"/>
            <w:r>
              <w:commentReference w:id="5"/>
            </w:r>
            <w:r>
              <w:t>，运营期主要噪声源及源强情况见表4-</w:t>
            </w:r>
            <w:r>
              <w:rPr>
                <w:rFonts w:hint="eastAsia"/>
              </w:rPr>
              <w:t>9</w:t>
            </w:r>
            <w:r>
              <w:t>。</w:t>
            </w:r>
          </w:p>
          <w:p>
            <w:pPr>
              <w:autoSpaceDE w:val="0"/>
              <w:autoSpaceDN w:val="0"/>
              <w:jc w:val="center"/>
              <w:rPr>
                <w:b/>
                <w:bCs/>
                <w:szCs w:val="21"/>
                <w:lang w:val="zh-CN"/>
              </w:rPr>
            </w:pPr>
            <w:r>
              <w:rPr>
                <w:b/>
                <w:bCs/>
                <w:szCs w:val="21"/>
                <w:lang w:val="zh-CN"/>
              </w:rPr>
              <w:t>表4-7  主要噪声源及源强</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2509"/>
              <w:gridCol w:w="1822"/>
              <w:gridCol w:w="2308"/>
              <w:gridCol w:w="2308"/>
              <w:gridCol w:w="2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10" w:type="pct"/>
                  <w:vAlign w:val="center"/>
                </w:tcPr>
                <w:p>
                  <w:pPr>
                    <w:adjustRightInd w:val="0"/>
                    <w:jc w:val="center"/>
                    <w:rPr>
                      <w:b/>
                      <w:bCs/>
                      <w:szCs w:val="21"/>
                    </w:rPr>
                  </w:pPr>
                  <w:r>
                    <w:rPr>
                      <w:b/>
                      <w:bCs/>
                      <w:szCs w:val="21"/>
                    </w:rPr>
                    <w:t>设备名称</w:t>
                  </w:r>
                </w:p>
              </w:tc>
              <w:tc>
                <w:tcPr>
                  <w:tcW w:w="873" w:type="pct"/>
                  <w:vAlign w:val="center"/>
                </w:tcPr>
                <w:p>
                  <w:pPr>
                    <w:adjustRightInd w:val="0"/>
                    <w:jc w:val="center"/>
                    <w:rPr>
                      <w:b/>
                      <w:bCs/>
                      <w:szCs w:val="21"/>
                    </w:rPr>
                  </w:pPr>
                  <w:r>
                    <w:rPr>
                      <w:b/>
                      <w:bCs/>
                      <w:szCs w:val="21"/>
                    </w:rPr>
                    <w:t>源强（dB(A)）</w:t>
                  </w:r>
                </w:p>
              </w:tc>
              <w:tc>
                <w:tcPr>
                  <w:tcW w:w="634" w:type="pct"/>
                  <w:vAlign w:val="center"/>
                </w:tcPr>
                <w:p>
                  <w:pPr>
                    <w:adjustRightInd w:val="0"/>
                    <w:jc w:val="center"/>
                    <w:rPr>
                      <w:b/>
                      <w:bCs/>
                      <w:szCs w:val="21"/>
                    </w:rPr>
                  </w:pPr>
                  <w:r>
                    <w:rPr>
                      <w:b/>
                      <w:bCs/>
                      <w:szCs w:val="21"/>
                    </w:rPr>
                    <w:t>数量</w:t>
                  </w:r>
                </w:p>
              </w:tc>
              <w:tc>
                <w:tcPr>
                  <w:tcW w:w="803" w:type="pct"/>
                  <w:vAlign w:val="center"/>
                </w:tcPr>
                <w:p>
                  <w:pPr>
                    <w:adjustRightInd w:val="0"/>
                    <w:jc w:val="center"/>
                    <w:rPr>
                      <w:b/>
                      <w:bCs/>
                      <w:szCs w:val="21"/>
                    </w:rPr>
                  </w:pPr>
                  <w:r>
                    <w:rPr>
                      <w:b/>
                      <w:bCs/>
                      <w:szCs w:val="21"/>
                    </w:rPr>
                    <w:t>噪声持续时间</w:t>
                  </w:r>
                </w:p>
              </w:tc>
              <w:tc>
                <w:tcPr>
                  <w:tcW w:w="803" w:type="pct"/>
                  <w:vAlign w:val="center"/>
                </w:tcPr>
                <w:p>
                  <w:pPr>
                    <w:adjustRightInd w:val="0"/>
                    <w:jc w:val="center"/>
                    <w:rPr>
                      <w:b/>
                      <w:bCs/>
                      <w:szCs w:val="21"/>
                    </w:rPr>
                  </w:pPr>
                  <w:r>
                    <w:rPr>
                      <w:b/>
                      <w:bCs/>
                      <w:szCs w:val="21"/>
                    </w:rPr>
                    <w:t>放置位置</w:t>
                  </w:r>
                </w:p>
              </w:tc>
              <w:tc>
                <w:tcPr>
                  <w:tcW w:w="977" w:type="pct"/>
                  <w:vAlign w:val="center"/>
                </w:tcPr>
                <w:p>
                  <w:pPr>
                    <w:adjustRightInd w:val="0"/>
                    <w:jc w:val="center"/>
                    <w:rPr>
                      <w:b/>
                      <w:bCs/>
                      <w:szCs w:val="21"/>
                    </w:rPr>
                  </w:pPr>
                  <w:r>
                    <w:rPr>
                      <w:b/>
                      <w:szCs w:val="21"/>
                    </w:rPr>
                    <w:t>治理前总声压dB(A)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10" w:type="pct"/>
                  <w:vAlign w:val="center"/>
                </w:tcPr>
                <w:p>
                  <w:pPr>
                    <w:pStyle w:val="369"/>
                    <w:rPr>
                      <w:rFonts w:ascii="Times New Roman" w:hAnsi="Times New Roman" w:eastAsia="宋体" w:cs="Times New Roman"/>
                      <w:sz w:val="21"/>
                    </w:rPr>
                  </w:pPr>
                  <w:r>
                    <w:rPr>
                      <w:rFonts w:ascii="Times New Roman" w:hAnsi="Times New Roman" w:eastAsia="宋体" w:cs="Times New Roman"/>
                    </w:rPr>
                    <w:t>叉车</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90</w:t>
                  </w:r>
                </w:p>
              </w:tc>
              <w:tc>
                <w:tcPr>
                  <w:tcW w:w="634" w:type="pct"/>
                  <w:vAlign w:val="center"/>
                </w:tcPr>
                <w:p>
                  <w:pPr>
                    <w:adjustRightInd w:val="0"/>
                    <w:snapToGrid w:val="0"/>
                    <w:jc w:val="center"/>
                    <w:rPr>
                      <w:color w:val="FF0000"/>
                      <w:szCs w:val="21"/>
                    </w:rPr>
                  </w:pPr>
                  <w:r>
                    <w:rPr>
                      <w:color w:val="FF0000"/>
                      <w:szCs w:val="21"/>
                    </w:rPr>
                    <w:t>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restart"/>
                  <w:vAlign w:val="center"/>
                </w:tcPr>
                <w:p>
                  <w:pPr>
                    <w:adjustRightInd w:val="0"/>
                    <w:snapToGrid w:val="0"/>
                    <w:jc w:val="center"/>
                    <w:rPr>
                      <w:szCs w:val="21"/>
                    </w:rPr>
                  </w:pPr>
                  <w:r>
                    <w:rPr>
                      <w:szCs w:val="21"/>
                    </w:rPr>
                    <w:t>生产厂房</w:t>
                  </w:r>
                </w:p>
              </w:tc>
              <w:tc>
                <w:tcPr>
                  <w:tcW w:w="977" w:type="pct"/>
                  <w:vMerge w:val="restart"/>
                  <w:vAlign w:val="center"/>
                </w:tcPr>
                <w:p>
                  <w:pPr>
                    <w:adjustRightInd w:val="0"/>
                    <w:snapToGrid w:val="0"/>
                    <w:jc w:val="center"/>
                    <w:rPr>
                      <w:color w:val="FF0000"/>
                      <w:szCs w:val="21"/>
                    </w:rPr>
                  </w:pPr>
                  <w:r>
                    <w:rPr>
                      <w:color w:val="FF0000"/>
                      <w:szCs w:val="21"/>
                    </w:rPr>
                    <w:t>11</w:t>
                  </w:r>
                  <w:commentRangeStart w:id="6"/>
                  <w:r>
                    <w:rPr>
                      <w:color w:val="FF0000"/>
                      <w:szCs w:val="21"/>
                    </w:rPr>
                    <w:t>2.6</w:t>
                  </w:r>
                  <w:commentRangeEnd w:id="6"/>
                  <w:r>
                    <w:rPr>
                      <w:color w:val="FF0000"/>
                    </w:rPr>
                    <w:commentReference w:id="6"/>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10" w:type="pct"/>
                  <w:vAlign w:val="center"/>
                </w:tcPr>
                <w:p>
                  <w:pPr>
                    <w:pStyle w:val="369"/>
                    <w:rPr>
                      <w:rFonts w:ascii="Times New Roman" w:hAnsi="Times New Roman" w:eastAsia="宋体" w:cs="Times New Roman"/>
                      <w:sz w:val="21"/>
                    </w:rPr>
                  </w:pPr>
                  <w:r>
                    <w:rPr>
                      <w:rFonts w:ascii="Times New Roman" w:hAnsi="Times New Roman" w:eastAsia="宋体" w:cs="Times New Roman"/>
                    </w:rPr>
                    <w:t>冲床</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85</w:t>
                  </w:r>
                </w:p>
              </w:tc>
              <w:tc>
                <w:tcPr>
                  <w:tcW w:w="634" w:type="pct"/>
                  <w:vAlign w:val="center"/>
                </w:tcPr>
                <w:p>
                  <w:pPr>
                    <w:adjustRightInd w:val="0"/>
                    <w:snapToGrid w:val="0"/>
                    <w:jc w:val="center"/>
                    <w:rPr>
                      <w:color w:val="FF0000"/>
                      <w:szCs w:val="21"/>
                    </w:rPr>
                  </w:pPr>
                  <w:r>
                    <w:rPr>
                      <w:color w:val="FF0000"/>
                      <w:szCs w:val="21"/>
                    </w:rPr>
                    <w:t>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10" w:type="pct"/>
                  <w:vAlign w:val="center"/>
                </w:tcPr>
                <w:p>
                  <w:pPr>
                    <w:pStyle w:val="369"/>
                    <w:rPr>
                      <w:rFonts w:ascii="Times New Roman" w:hAnsi="Times New Roman" w:eastAsia="宋体" w:cs="Times New Roman"/>
                      <w:sz w:val="21"/>
                    </w:rPr>
                  </w:pPr>
                  <w:r>
                    <w:rPr>
                      <w:rFonts w:ascii="Times New Roman" w:hAnsi="Times New Roman" w:eastAsia="宋体" w:cs="Times New Roman"/>
                      <w:bCs/>
                      <w:snapToGrid w:val="0"/>
                    </w:rPr>
                    <w:t>打标机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10" w:type="pct"/>
                  <w:vAlign w:val="center"/>
                </w:tcPr>
                <w:p>
                  <w:pPr>
                    <w:pStyle w:val="369"/>
                    <w:rPr>
                      <w:rFonts w:ascii="Times New Roman" w:hAnsi="Times New Roman" w:eastAsia="宋体" w:cs="Times New Roman"/>
                      <w:sz w:val="21"/>
                    </w:rPr>
                  </w:pPr>
                  <w:r>
                    <w:rPr>
                      <w:rFonts w:ascii="Times New Roman" w:hAnsi="Times New Roman" w:eastAsia="宋体" w:cs="Times New Roman"/>
                      <w:snapToGrid w:val="0"/>
                    </w:rPr>
                    <w:t>打波机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90</w:t>
                  </w:r>
                </w:p>
              </w:tc>
              <w:tc>
                <w:tcPr>
                  <w:tcW w:w="634" w:type="pct"/>
                  <w:vAlign w:val="center"/>
                </w:tcPr>
                <w:p>
                  <w:pPr>
                    <w:adjustRightInd w:val="0"/>
                    <w:snapToGrid w:val="0"/>
                    <w:jc w:val="center"/>
                    <w:rPr>
                      <w:color w:val="FF0000"/>
                      <w:szCs w:val="21"/>
                    </w:rPr>
                  </w:pPr>
                  <w:r>
                    <w:rPr>
                      <w:color w:val="FF0000"/>
                      <w:szCs w:val="21"/>
                    </w:rPr>
                    <w:t>60</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z w:val="21"/>
                    </w:rPr>
                  </w:pPr>
                  <w:r>
                    <w:rPr>
                      <w:rFonts w:ascii="Times New Roman" w:hAnsi="Times New Roman" w:eastAsia="宋体" w:cs="Times New Roman"/>
                      <w:snapToGrid w:val="0"/>
                    </w:rPr>
                    <w:t>电焊机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24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bCs/>
                      <w:sz w:val="21"/>
                    </w:rPr>
                  </w:pPr>
                  <w:r>
                    <w:rPr>
                      <w:rFonts w:ascii="Times New Roman" w:hAnsi="Times New Roman" w:eastAsia="宋体" w:cs="Times New Roman"/>
                      <w:snapToGrid w:val="0"/>
                    </w:rPr>
                    <w:t>定位机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24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焊管机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28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rPr>
                    <w:t>焊管生产线</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28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rPr>
                  </w:pPr>
                  <w:r>
                    <w:rPr>
                      <w:rFonts w:ascii="Times New Roman" w:hAnsi="Times New Roman" w:eastAsia="宋体" w:cs="Times New Roman"/>
                      <w:snapToGrid w:val="0"/>
                    </w:rPr>
                    <w:t>空压机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90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普通车床</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85</w:t>
                  </w:r>
                </w:p>
              </w:tc>
              <w:tc>
                <w:tcPr>
                  <w:tcW w:w="634" w:type="pct"/>
                  <w:vAlign w:val="center"/>
                </w:tcPr>
                <w:p>
                  <w:pPr>
                    <w:adjustRightInd w:val="0"/>
                    <w:snapToGrid w:val="0"/>
                    <w:jc w:val="center"/>
                    <w:rPr>
                      <w:color w:val="FF0000"/>
                      <w:szCs w:val="21"/>
                    </w:rPr>
                  </w:pPr>
                  <w:r>
                    <w:rPr>
                      <w:color w:val="FF0000"/>
                      <w:szCs w:val="21"/>
                    </w:rPr>
                    <w:t>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伸缩管机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升降平台</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90</w:t>
                  </w:r>
                </w:p>
              </w:tc>
              <w:tc>
                <w:tcPr>
                  <w:tcW w:w="634" w:type="pct"/>
                  <w:vAlign w:val="center"/>
                </w:tcPr>
                <w:p>
                  <w:pPr>
                    <w:adjustRightInd w:val="0"/>
                    <w:snapToGrid w:val="0"/>
                    <w:jc w:val="center"/>
                    <w:rPr>
                      <w:color w:val="FF0000"/>
                      <w:szCs w:val="21"/>
                    </w:rPr>
                  </w:pPr>
                  <w:r>
                    <w:rPr>
                      <w:color w:val="FF0000"/>
                      <w:szCs w:val="21"/>
                    </w:rPr>
                    <w:t>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双扣软管机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双圈定位机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90</w:t>
                  </w:r>
                </w:p>
              </w:tc>
              <w:tc>
                <w:tcPr>
                  <w:tcW w:w="634" w:type="pct"/>
                  <w:vAlign w:val="center"/>
                </w:tcPr>
                <w:p>
                  <w:pPr>
                    <w:adjustRightInd w:val="0"/>
                    <w:snapToGrid w:val="0"/>
                    <w:jc w:val="center"/>
                    <w:rPr>
                      <w:color w:val="FF0000"/>
                      <w:szCs w:val="21"/>
                    </w:rPr>
                  </w:pPr>
                  <w:r>
                    <w:rPr>
                      <w:color w:val="FF0000"/>
                      <w:szCs w:val="21"/>
                    </w:rPr>
                    <w:t>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风机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85</w:t>
                  </w:r>
                </w:p>
              </w:tc>
              <w:tc>
                <w:tcPr>
                  <w:tcW w:w="634" w:type="pct"/>
                  <w:vAlign w:val="center"/>
                </w:tcPr>
                <w:p>
                  <w:pPr>
                    <w:adjustRightInd w:val="0"/>
                    <w:snapToGrid w:val="0"/>
                    <w:jc w:val="center"/>
                    <w:rPr>
                      <w:color w:val="FF0000"/>
                      <w:szCs w:val="21"/>
                    </w:rPr>
                  </w:pPr>
                  <w:r>
                    <w:rPr>
                      <w:color w:val="FF0000"/>
                      <w:szCs w:val="21"/>
                    </w:rPr>
                    <w:t>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四合一体机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铣床</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90</w:t>
                  </w:r>
                </w:p>
              </w:tc>
              <w:tc>
                <w:tcPr>
                  <w:tcW w:w="634" w:type="pct"/>
                  <w:vAlign w:val="center"/>
                </w:tcPr>
                <w:p>
                  <w:pPr>
                    <w:adjustRightInd w:val="0"/>
                    <w:snapToGrid w:val="0"/>
                    <w:jc w:val="center"/>
                    <w:rPr>
                      <w:color w:val="FF0000"/>
                      <w:szCs w:val="21"/>
                    </w:rPr>
                  </w:pPr>
                  <w:r>
                    <w:rPr>
                      <w:color w:val="FF0000"/>
                      <w:szCs w:val="21"/>
                    </w:rPr>
                    <w:t>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线切割机</w:t>
                  </w:r>
                </w:p>
              </w:tc>
              <w:tc>
                <w:tcPr>
                  <w:tcW w:w="873"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小型直流焊机</w:t>
                  </w:r>
                </w:p>
              </w:tc>
              <w:tc>
                <w:tcPr>
                  <w:tcW w:w="873" w:type="pct"/>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4</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液压成型机</w:t>
                  </w:r>
                </w:p>
              </w:tc>
              <w:tc>
                <w:tcPr>
                  <w:tcW w:w="873" w:type="pct"/>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8</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涨管机</w:t>
                  </w:r>
                </w:p>
              </w:tc>
              <w:tc>
                <w:tcPr>
                  <w:tcW w:w="873" w:type="pct"/>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rPr>
                  </w:pPr>
                  <w:r>
                    <w:rPr>
                      <w:rFonts w:ascii="Times New Roman" w:hAnsi="Times New Roman" w:eastAsia="宋体" w:cs="Times New Roman"/>
                      <w:snapToGrid w:val="0"/>
                    </w:rPr>
                    <w:t>纵焊机</w:t>
                  </w:r>
                </w:p>
              </w:tc>
              <w:tc>
                <w:tcPr>
                  <w:tcW w:w="873" w:type="pct"/>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color w:val="FF0000"/>
                    </w:rPr>
                  </w:pPr>
                  <w:r>
                    <w:rPr>
                      <w:rFonts w:hint="eastAsia" w:ascii="Times New Roman" w:hAnsi="Times New Roman" w:eastAsia="宋体" w:cs="Times New Roman"/>
                      <w:snapToGrid w:val="0"/>
                      <w:color w:val="FF0000"/>
                    </w:rPr>
                    <w:t>打磨机</w:t>
                  </w:r>
                </w:p>
              </w:tc>
              <w:tc>
                <w:tcPr>
                  <w:tcW w:w="873" w:type="pct"/>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pct"/>
                  <w:vAlign w:val="center"/>
                </w:tcPr>
                <w:p>
                  <w:pPr>
                    <w:pStyle w:val="369"/>
                    <w:rPr>
                      <w:rFonts w:ascii="Times New Roman" w:hAnsi="Times New Roman" w:eastAsia="宋体" w:cs="Times New Roman"/>
                      <w:snapToGrid w:val="0"/>
                      <w:color w:val="FF0000"/>
                    </w:rPr>
                  </w:pPr>
                  <w:r>
                    <w:rPr>
                      <w:rFonts w:hint="eastAsia" w:ascii="Times New Roman" w:hAnsi="Times New Roman" w:eastAsia="宋体" w:cs="Times New Roman"/>
                      <w:snapToGrid w:val="0"/>
                      <w:color w:val="FF0000"/>
                    </w:rPr>
                    <w:t>抛光机</w:t>
                  </w:r>
                </w:p>
              </w:tc>
              <w:tc>
                <w:tcPr>
                  <w:tcW w:w="873" w:type="pct"/>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80</w:t>
                  </w:r>
                </w:p>
              </w:tc>
              <w:tc>
                <w:tcPr>
                  <w:tcW w:w="634" w:type="pct"/>
                  <w:vAlign w:val="center"/>
                </w:tcPr>
                <w:p>
                  <w:pPr>
                    <w:adjustRightInd w:val="0"/>
                    <w:snapToGrid w:val="0"/>
                    <w:jc w:val="center"/>
                    <w:rPr>
                      <w:color w:val="FF0000"/>
                      <w:szCs w:val="21"/>
                    </w:rPr>
                  </w:pPr>
                  <w:r>
                    <w:rPr>
                      <w:color w:val="FF0000"/>
                      <w:szCs w:val="21"/>
                    </w:rPr>
                    <w:t>16</w:t>
                  </w:r>
                </w:p>
              </w:tc>
              <w:tc>
                <w:tcPr>
                  <w:tcW w:w="803" w:type="pct"/>
                  <w:vAlign w:val="center"/>
                </w:tcPr>
                <w:p>
                  <w:pPr>
                    <w:adjustRightInd w:val="0"/>
                    <w:snapToGrid w:val="0"/>
                    <w:jc w:val="center"/>
                    <w:rPr>
                      <w:color w:val="FF0000"/>
                      <w:szCs w:val="21"/>
                    </w:rPr>
                  </w:pPr>
                  <w:r>
                    <w:rPr>
                      <w:color w:val="FF0000"/>
                      <w:szCs w:val="21"/>
                    </w:rPr>
                    <w:t>2400h/a</w:t>
                  </w:r>
                </w:p>
              </w:tc>
              <w:tc>
                <w:tcPr>
                  <w:tcW w:w="803" w:type="pct"/>
                  <w:vMerge w:val="continue"/>
                  <w:vAlign w:val="center"/>
                </w:tcPr>
                <w:p>
                  <w:pPr>
                    <w:adjustRightInd w:val="0"/>
                    <w:jc w:val="center"/>
                    <w:rPr>
                      <w:szCs w:val="21"/>
                    </w:rPr>
                  </w:pPr>
                </w:p>
              </w:tc>
              <w:tc>
                <w:tcPr>
                  <w:tcW w:w="977" w:type="pct"/>
                  <w:vMerge w:val="continue"/>
                  <w:vAlign w:val="center"/>
                </w:tcPr>
                <w:p>
                  <w:pPr>
                    <w:adjustRightInd w:val="0"/>
                    <w:jc w:val="center"/>
                    <w:rPr>
                      <w:szCs w:val="21"/>
                    </w:rPr>
                  </w:pPr>
                </w:p>
              </w:tc>
            </w:tr>
          </w:tbl>
          <w:p>
            <w:pPr>
              <w:numPr>
                <w:ilvl w:val="0"/>
                <w:numId w:val="7"/>
              </w:numPr>
              <w:spacing w:before="120" w:line="360" w:lineRule="auto"/>
              <w:ind w:firstLine="480" w:firstLineChars="200"/>
              <w:rPr>
                <w:sz w:val="24"/>
              </w:rPr>
            </w:pPr>
            <w:r>
              <w:rPr>
                <w:sz w:val="24"/>
              </w:rPr>
              <w:t>预测结果及评价</w:t>
            </w:r>
          </w:p>
          <w:p>
            <w:pPr>
              <w:spacing w:line="360" w:lineRule="auto"/>
              <w:ind w:firstLine="480" w:firstLineChars="200"/>
              <w:rPr>
                <w:b/>
                <w:bCs/>
                <w:szCs w:val="21"/>
                <w:lang w:val="zh-CN"/>
              </w:rPr>
            </w:pPr>
            <w:r>
              <w:rPr>
                <w:sz w:val="24"/>
              </w:rPr>
              <w:t>为了便于比较厂界噪声水平变化情况，影响预测的各受声点均选择在现状监测的同一位置。此外，车间墙壁的隔声量按同类型厂区实测作为类比，一般为20～30dB，同时考虑到窗户的隔声效果，对比进行一些修正。考虑车间墙体隔声、建筑物隔声和距离衰减等因素的作用，经计算得厂界噪声预测结果见下表所示。</w:t>
            </w:r>
          </w:p>
          <w:p>
            <w:pPr>
              <w:autoSpaceDE w:val="0"/>
              <w:autoSpaceDN w:val="0"/>
              <w:jc w:val="center"/>
              <w:rPr>
                <w:b/>
                <w:bCs/>
                <w:szCs w:val="21"/>
                <w:lang w:val="zh-CN"/>
              </w:rPr>
            </w:pPr>
            <w:r>
              <w:rPr>
                <w:b/>
                <w:bCs/>
                <w:szCs w:val="21"/>
                <w:lang w:val="zh-CN"/>
              </w:rPr>
              <w:t>表4-8  项目噪声源对厂界声环境影响预测值（噪声贡献值）单位：dB(A)</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84"/>
              <w:gridCol w:w="3496"/>
              <w:gridCol w:w="2023"/>
              <w:gridCol w:w="2097"/>
              <w:gridCol w:w="1916"/>
              <w:gridCol w:w="2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69" w:type="pct"/>
                  <w:vAlign w:val="center"/>
                </w:tcPr>
                <w:p>
                  <w:pPr>
                    <w:pStyle w:val="179"/>
                    <w:rPr>
                      <w:b/>
                      <w:color w:val="FF0000"/>
                    </w:rPr>
                  </w:pPr>
                  <w:r>
                    <w:rPr>
                      <w:b/>
                      <w:color w:val="FF0000"/>
                    </w:rPr>
                    <w:t>监测点</w:t>
                  </w:r>
                </w:p>
              </w:tc>
              <w:tc>
                <w:tcPr>
                  <w:tcW w:w="1217" w:type="pct"/>
                  <w:vAlign w:val="center"/>
                </w:tcPr>
                <w:p>
                  <w:pPr>
                    <w:pStyle w:val="179"/>
                    <w:rPr>
                      <w:b/>
                      <w:color w:val="FF0000"/>
                    </w:rPr>
                  </w:pPr>
                  <w:r>
                    <w:rPr>
                      <w:b/>
                      <w:color w:val="FF0000"/>
                    </w:rPr>
                    <w:t>预测内容</w:t>
                  </w:r>
                </w:p>
              </w:tc>
              <w:tc>
                <w:tcPr>
                  <w:tcW w:w="704" w:type="pct"/>
                  <w:vAlign w:val="center"/>
                </w:tcPr>
                <w:p>
                  <w:pPr>
                    <w:pStyle w:val="179"/>
                    <w:rPr>
                      <w:b/>
                      <w:color w:val="FF0000"/>
                    </w:rPr>
                  </w:pPr>
                  <w:r>
                    <w:rPr>
                      <w:b/>
                      <w:color w:val="FF0000"/>
                    </w:rPr>
                    <w:t>厂界东</w:t>
                  </w:r>
                </w:p>
              </w:tc>
              <w:tc>
                <w:tcPr>
                  <w:tcW w:w="730" w:type="pct"/>
                  <w:vAlign w:val="center"/>
                </w:tcPr>
                <w:p>
                  <w:pPr>
                    <w:pStyle w:val="179"/>
                    <w:rPr>
                      <w:b/>
                      <w:color w:val="FF0000"/>
                    </w:rPr>
                  </w:pPr>
                  <w:r>
                    <w:rPr>
                      <w:b/>
                      <w:color w:val="FF0000"/>
                    </w:rPr>
                    <w:t>厂界南</w:t>
                  </w:r>
                </w:p>
              </w:tc>
              <w:tc>
                <w:tcPr>
                  <w:tcW w:w="667" w:type="pct"/>
                  <w:vAlign w:val="center"/>
                </w:tcPr>
                <w:p>
                  <w:pPr>
                    <w:pStyle w:val="179"/>
                    <w:rPr>
                      <w:b/>
                      <w:color w:val="FF0000"/>
                    </w:rPr>
                  </w:pPr>
                  <w:r>
                    <w:rPr>
                      <w:b/>
                      <w:color w:val="FF0000"/>
                    </w:rPr>
                    <w:t>厂界西</w:t>
                  </w:r>
                </w:p>
              </w:tc>
              <w:tc>
                <w:tcPr>
                  <w:tcW w:w="711" w:type="pct"/>
                  <w:vAlign w:val="center"/>
                </w:tcPr>
                <w:p>
                  <w:pPr>
                    <w:pStyle w:val="179"/>
                    <w:rPr>
                      <w:b/>
                      <w:color w:val="FF0000"/>
                    </w:rPr>
                  </w:pPr>
                  <w:r>
                    <w:rPr>
                      <w:b/>
                      <w:color w:val="FF0000"/>
                    </w:rPr>
                    <w:t>厂界北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9" w:type="pct"/>
                  <w:vMerge w:val="restart"/>
                  <w:vAlign w:val="center"/>
                </w:tcPr>
                <w:p>
                  <w:pPr>
                    <w:pStyle w:val="179"/>
                    <w:rPr>
                      <w:color w:val="FF0000"/>
                    </w:rPr>
                  </w:pPr>
                  <w:r>
                    <w:rPr>
                      <w:color w:val="FF0000"/>
                    </w:rPr>
                    <w:t>生产厂房（</w:t>
                  </w:r>
                  <w:r>
                    <w:rPr>
                      <w:rFonts w:hint="eastAsia"/>
                      <w:color w:val="FF0000"/>
                    </w:rPr>
                    <w:t>11</w:t>
                  </w:r>
                  <w:r>
                    <w:rPr>
                      <w:color w:val="FF0000"/>
                    </w:rPr>
                    <w:t>2.6dB(A)）</w:t>
                  </w:r>
                </w:p>
              </w:tc>
              <w:tc>
                <w:tcPr>
                  <w:tcW w:w="1217" w:type="pct"/>
                  <w:vAlign w:val="center"/>
                </w:tcPr>
                <w:p>
                  <w:pPr>
                    <w:adjustRightInd w:val="0"/>
                    <w:snapToGrid w:val="0"/>
                    <w:jc w:val="center"/>
                    <w:rPr>
                      <w:color w:val="FF0000"/>
                    </w:rPr>
                  </w:pPr>
                  <w:r>
                    <w:rPr>
                      <w:color w:val="FF0000"/>
                    </w:rPr>
                    <w:t>距离m</w:t>
                  </w:r>
                </w:p>
              </w:tc>
              <w:tc>
                <w:tcPr>
                  <w:tcW w:w="704" w:type="pct"/>
                  <w:vAlign w:val="center"/>
                </w:tcPr>
                <w:p>
                  <w:pPr>
                    <w:pStyle w:val="179"/>
                    <w:rPr>
                      <w:color w:val="FF0000"/>
                    </w:rPr>
                  </w:pPr>
                  <w:r>
                    <w:rPr>
                      <w:color w:val="FF0000"/>
                    </w:rPr>
                    <w:t>20</w:t>
                  </w:r>
                </w:p>
              </w:tc>
              <w:tc>
                <w:tcPr>
                  <w:tcW w:w="730" w:type="pct"/>
                  <w:vAlign w:val="center"/>
                </w:tcPr>
                <w:p>
                  <w:pPr>
                    <w:pStyle w:val="179"/>
                    <w:rPr>
                      <w:color w:val="FF0000"/>
                    </w:rPr>
                  </w:pPr>
                  <w:r>
                    <w:rPr>
                      <w:color w:val="FF0000"/>
                    </w:rPr>
                    <w:t>15</w:t>
                  </w:r>
                </w:p>
              </w:tc>
              <w:tc>
                <w:tcPr>
                  <w:tcW w:w="667" w:type="pct"/>
                  <w:vAlign w:val="center"/>
                </w:tcPr>
                <w:p>
                  <w:pPr>
                    <w:pStyle w:val="179"/>
                    <w:rPr>
                      <w:color w:val="FF0000"/>
                    </w:rPr>
                  </w:pPr>
                  <w:r>
                    <w:rPr>
                      <w:color w:val="FF0000"/>
                    </w:rPr>
                    <w:t>21</w:t>
                  </w:r>
                </w:p>
              </w:tc>
              <w:tc>
                <w:tcPr>
                  <w:tcW w:w="711" w:type="pct"/>
                  <w:vAlign w:val="center"/>
                </w:tcPr>
                <w:p>
                  <w:pPr>
                    <w:pStyle w:val="179"/>
                    <w:rPr>
                      <w:color w:val="FF0000"/>
                    </w:rPr>
                  </w:pPr>
                  <w:r>
                    <w:rPr>
                      <w:color w:val="FF0000"/>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vMerge w:val="continue"/>
                  <w:vAlign w:val="center"/>
                </w:tcPr>
                <w:p>
                  <w:pPr>
                    <w:pStyle w:val="179"/>
                    <w:rPr>
                      <w:color w:val="FF0000"/>
                    </w:rPr>
                  </w:pPr>
                </w:p>
              </w:tc>
              <w:tc>
                <w:tcPr>
                  <w:tcW w:w="1217" w:type="pct"/>
                  <w:vAlign w:val="center"/>
                </w:tcPr>
                <w:p>
                  <w:pPr>
                    <w:adjustRightInd w:val="0"/>
                    <w:snapToGrid w:val="0"/>
                    <w:jc w:val="center"/>
                    <w:rPr>
                      <w:color w:val="FF0000"/>
                    </w:rPr>
                  </w:pPr>
                  <w:r>
                    <w:rPr>
                      <w:color w:val="FF0000"/>
                    </w:rPr>
                    <w:t>距离衰减量dB(A)</w:t>
                  </w:r>
                </w:p>
              </w:tc>
              <w:tc>
                <w:tcPr>
                  <w:tcW w:w="704" w:type="pct"/>
                  <w:vAlign w:val="center"/>
                </w:tcPr>
                <w:p>
                  <w:pPr>
                    <w:pStyle w:val="179"/>
                    <w:rPr>
                      <w:color w:val="FF0000"/>
                    </w:rPr>
                  </w:pPr>
                  <w:r>
                    <w:rPr>
                      <w:color w:val="FF0000"/>
                    </w:rPr>
                    <w:t>36</w:t>
                  </w:r>
                </w:p>
              </w:tc>
              <w:tc>
                <w:tcPr>
                  <w:tcW w:w="730" w:type="pct"/>
                  <w:vAlign w:val="center"/>
                </w:tcPr>
                <w:p>
                  <w:pPr>
                    <w:pStyle w:val="179"/>
                    <w:rPr>
                      <w:color w:val="FF0000"/>
                    </w:rPr>
                  </w:pPr>
                  <w:r>
                    <w:rPr>
                      <w:color w:val="FF0000"/>
                    </w:rPr>
                    <w:t>33.5</w:t>
                  </w:r>
                </w:p>
              </w:tc>
              <w:tc>
                <w:tcPr>
                  <w:tcW w:w="667" w:type="pct"/>
                  <w:vAlign w:val="center"/>
                </w:tcPr>
                <w:p>
                  <w:pPr>
                    <w:pStyle w:val="179"/>
                    <w:rPr>
                      <w:color w:val="FF0000"/>
                    </w:rPr>
                  </w:pPr>
                  <w:r>
                    <w:rPr>
                      <w:color w:val="FF0000"/>
                    </w:rPr>
                    <w:t>36.5</w:t>
                  </w:r>
                </w:p>
              </w:tc>
              <w:tc>
                <w:tcPr>
                  <w:tcW w:w="711" w:type="pct"/>
                  <w:vAlign w:val="center"/>
                </w:tcPr>
                <w:p>
                  <w:pPr>
                    <w:pStyle w:val="179"/>
                    <w:rPr>
                      <w:color w:val="FF0000"/>
                    </w:rPr>
                  </w:pPr>
                  <w:r>
                    <w:rPr>
                      <w:color w:val="FF0000"/>
                    </w:rPr>
                    <w:t>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69" w:type="pct"/>
                  <w:vMerge w:val="continue"/>
                  <w:vAlign w:val="center"/>
                </w:tcPr>
                <w:p>
                  <w:pPr>
                    <w:pStyle w:val="179"/>
                    <w:rPr>
                      <w:color w:val="FF0000"/>
                    </w:rPr>
                  </w:pPr>
                </w:p>
              </w:tc>
              <w:tc>
                <w:tcPr>
                  <w:tcW w:w="1217" w:type="pct"/>
                  <w:vAlign w:val="center"/>
                </w:tcPr>
                <w:p>
                  <w:pPr>
                    <w:adjustRightInd w:val="0"/>
                    <w:snapToGrid w:val="0"/>
                    <w:jc w:val="center"/>
                    <w:rPr>
                      <w:color w:val="FF0000"/>
                    </w:rPr>
                  </w:pPr>
                  <w:r>
                    <w:rPr>
                      <w:color w:val="FF0000"/>
                    </w:rPr>
                    <w:t>厂房隔声量dB(A)</w:t>
                  </w:r>
                </w:p>
              </w:tc>
              <w:tc>
                <w:tcPr>
                  <w:tcW w:w="704" w:type="pct"/>
                  <w:vAlign w:val="center"/>
                </w:tcPr>
                <w:p>
                  <w:pPr>
                    <w:pStyle w:val="179"/>
                    <w:rPr>
                      <w:color w:val="FF0000"/>
                    </w:rPr>
                  </w:pPr>
                  <w:r>
                    <w:rPr>
                      <w:color w:val="FF0000"/>
                    </w:rPr>
                    <w:t>30</w:t>
                  </w:r>
                </w:p>
              </w:tc>
              <w:tc>
                <w:tcPr>
                  <w:tcW w:w="730" w:type="pct"/>
                  <w:vAlign w:val="center"/>
                </w:tcPr>
                <w:p>
                  <w:pPr>
                    <w:pStyle w:val="179"/>
                    <w:rPr>
                      <w:color w:val="FF0000"/>
                    </w:rPr>
                  </w:pPr>
                  <w:r>
                    <w:rPr>
                      <w:color w:val="FF0000"/>
                    </w:rPr>
                    <w:t>30</w:t>
                  </w:r>
                </w:p>
              </w:tc>
              <w:tc>
                <w:tcPr>
                  <w:tcW w:w="667" w:type="pct"/>
                  <w:vAlign w:val="center"/>
                </w:tcPr>
                <w:p>
                  <w:pPr>
                    <w:pStyle w:val="179"/>
                    <w:rPr>
                      <w:color w:val="FF0000"/>
                    </w:rPr>
                  </w:pPr>
                  <w:r>
                    <w:rPr>
                      <w:color w:val="FF0000"/>
                    </w:rPr>
                    <w:t>30</w:t>
                  </w:r>
                </w:p>
              </w:tc>
              <w:tc>
                <w:tcPr>
                  <w:tcW w:w="711" w:type="pct"/>
                  <w:vAlign w:val="center"/>
                </w:tcPr>
                <w:p>
                  <w:pPr>
                    <w:pStyle w:val="179"/>
                    <w:rPr>
                      <w:color w:val="FF0000"/>
                    </w:rPr>
                  </w:pPr>
                  <w:r>
                    <w:rPr>
                      <w:color w:val="FF0000"/>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69" w:type="pct"/>
                  <w:vMerge w:val="continue"/>
                  <w:vAlign w:val="center"/>
                </w:tcPr>
                <w:p>
                  <w:pPr>
                    <w:pStyle w:val="179"/>
                    <w:rPr>
                      <w:color w:val="FF0000"/>
                    </w:rPr>
                  </w:pPr>
                </w:p>
              </w:tc>
              <w:tc>
                <w:tcPr>
                  <w:tcW w:w="1217" w:type="pct"/>
                  <w:vAlign w:val="center"/>
                </w:tcPr>
                <w:p>
                  <w:pPr>
                    <w:adjustRightInd w:val="0"/>
                    <w:snapToGrid w:val="0"/>
                    <w:jc w:val="center"/>
                    <w:rPr>
                      <w:color w:val="FF0000"/>
                    </w:rPr>
                  </w:pPr>
                  <w:r>
                    <w:rPr>
                      <w:color w:val="FF0000"/>
                    </w:rPr>
                    <w:t>预测值dB（A）</w:t>
                  </w:r>
                </w:p>
              </w:tc>
              <w:tc>
                <w:tcPr>
                  <w:tcW w:w="704" w:type="pct"/>
                  <w:vAlign w:val="center"/>
                </w:tcPr>
                <w:p>
                  <w:pPr>
                    <w:pStyle w:val="179"/>
                    <w:rPr>
                      <w:color w:val="FF0000"/>
                    </w:rPr>
                  </w:pPr>
                  <w:r>
                    <w:rPr>
                      <w:color w:val="FF0000"/>
                    </w:rPr>
                    <w:t>46.6</w:t>
                  </w:r>
                </w:p>
              </w:tc>
              <w:tc>
                <w:tcPr>
                  <w:tcW w:w="730" w:type="pct"/>
                  <w:vAlign w:val="center"/>
                </w:tcPr>
                <w:p>
                  <w:pPr>
                    <w:pStyle w:val="179"/>
                    <w:rPr>
                      <w:color w:val="FF0000"/>
                    </w:rPr>
                  </w:pPr>
                  <w:r>
                    <w:rPr>
                      <w:color w:val="FF0000"/>
                    </w:rPr>
                    <w:t>49.1</w:t>
                  </w:r>
                </w:p>
              </w:tc>
              <w:tc>
                <w:tcPr>
                  <w:tcW w:w="667" w:type="pct"/>
                  <w:vAlign w:val="center"/>
                </w:tcPr>
                <w:p>
                  <w:pPr>
                    <w:pStyle w:val="179"/>
                    <w:rPr>
                      <w:color w:val="FF0000"/>
                    </w:rPr>
                  </w:pPr>
                  <w:r>
                    <w:rPr>
                      <w:color w:val="FF0000"/>
                    </w:rPr>
                    <w:t>46.1</w:t>
                  </w:r>
                </w:p>
              </w:tc>
              <w:tc>
                <w:tcPr>
                  <w:tcW w:w="711" w:type="pct"/>
                  <w:vAlign w:val="center"/>
                </w:tcPr>
                <w:p>
                  <w:pPr>
                    <w:pStyle w:val="179"/>
                    <w:rPr>
                      <w:color w:val="FF0000"/>
                    </w:rPr>
                  </w:pPr>
                  <w:r>
                    <w:rPr>
                      <w:color w:val="FF0000"/>
                    </w:rPr>
                    <w:t>50.3</w:t>
                  </w:r>
                </w:p>
              </w:tc>
            </w:tr>
          </w:tbl>
          <w:p>
            <w:pPr>
              <w:spacing w:before="120" w:beforeLines="50" w:line="360" w:lineRule="auto"/>
              <w:ind w:firstLine="480" w:firstLineChars="200"/>
              <w:jc w:val="left"/>
              <w:rPr>
                <w:sz w:val="24"/>
              </w:rPr>
            </w:pPr>
            <w:r>
              <w:rPr>
                <w:sz w:val="24"/>
              </w:rPr>
              <w:t>由上表可知，项目噪声经建筑物隔声及距离衰减后，传至项目厂界均能满足《工业企业厂界环境噪声排放标准》（GB 12348-2008）中3类标准要求（夜间不生产），所以项目噪声对周围环境影响很小，本项目对周围环境及环境保护目标不会产生不利影响。</w:t>
            </w:r>
          </w:p>
          <w:p>
            <w:pPr>
              <w:spacing w:line="360" w:lineRule="auto"/>
              <w:ind w:firstLine="480" w:firstLineChars="200"/>
              <w:rPr>
                <w:kern w:val="0"/>
                <w:sz w:val="24"/>
              </w:rPr>
            </w:pPr>
            <w:r>
              <w:rPr>
                <w:sz w:val="24"/>
              </w:rPr>
              <w:t>为使本项目对周边声环境影响降到最低，本环评</w:t>
            </w:r>
            <w:r>
              <w:rPr>
                <w:kern w:val="0"/>
                <w:sz w:val="24"/>
              </w:rPr>
              <w:t>要求建设单位对该项目的噪声源采取隔声降噪措施。具体措施如下：</w:t>
            </w:r>
          </w:p>
          <w:p>
            <w:pPr>
              <w:spacing w:line="360" w:lineRule="auto"/>
              <w:ind w:firstLine="480" w:firstLineChars="200"/>
              <w:rPr>
                <w:kern w:val="0"/>
                <w:sz w:val="24"/>
              </w:rPr>
            </w:pPr>
            <w:r>
              <w:rPr>
                <w:rFonts w:hint="eastAsia" w:ascii="宋体" w:hAnsi="宋体" w:cs="宋体"/>
                <w:kern w:val="0"/>
                <w:sz w:val="24"/>
              </w:rPr>
              <w:t>①</w:t>
            </w:r>
            <w:r>
              <w:rPr>
                <w:kern w:val="0"/>
                <w:sz w:val="24"/>
              </w:rPr>
              <w:t>在空压机等主要噪声设备底座安装减振装置或减振垫，并且</w:t>
            </w:r>
            <w:r>
              <w:rPr>
                <w:sz w:val="24"/>
              </w:rPr>
              <w:t>修建隔声罩，将高噪声设备置于隔声罩内</w:t>
            </w:r>
            <w:r>
              <w:rPr>
                <w:kern w:val="0"/>
                <w:sz w:val="24"/>
              </w:rPr>
              <w:t>；</w:t>
            </w:r>
          </w:p>
          <w:p>
            <w:pPr>
              <w:spacing w:line="360" w:lineRule="auto"/>
              <w:ind w:firstLine="480" w:firstLineChars="200"/>
              <w:rPr>
                <w:kern w:val="0"/>
                <w:sz w:val="24"/>
              </w:rPr>
            </w:pPr>
            <w:r>
              <w:rPr>
                <w:rFonts w:hint="eastAsia" w:ascii="宋体" w:hAnsi="宋体" w:cs="宋体"/>
                <w:kern w:val="0"/>
                <w:sz w:val="24"/>
              </w:rPr>
              <w:t>②</w:t>
            </w:r>
            <w:r>
              <w:rPr>
                <w:kern w:val="0"/>
                <w:sz w:val="24"/>
              </w:rPr>
              <w:t>生</w:t>
            </w:r>
            <w:r>
              <w:rPr>
                <w:sz w:val="24"/>
              </w:rPr>
              <w:t>产过程关闭厂房大门、窗，减少噪声影响。</w:t>
            </w:r>
          </w:p>
          <w:p>
            <w:pPr>
              <w:spacing w:line="360" w:lineRule="auto"/>
              <w:ind w:firstLine="480" w:firstLineChars="200"/>
              <w:rPr>
                <w:sz w:val="24"/>
              </w:rPr>
            </w:pPr>
            <w:r>
              <w:rPr>
                <w:rFonts w:hint="eastAsia" w:ascii="宋体" w:hAnsi="宋体" w:cs="宋体"/>
                <w:sz w:val="24"/>
                <w:szCs w:val="28"/>
              </w:rPr>
              <w:t>③</w:t>
            </w:r>
            <w:r>
              <w:rPr>
                <w:sz w:val="24"/>
              </w:rPr>
              <w:t>日常生产中加强设备的日常维修与更新，使生产设备处于正常工况；</w:t>
            </w:r>
          </w:p>
          <w:p>
            <w:pPr>
              <w:spacing w:line="360" w:lineRule="auto"/>
              <w:ind w:firstLine="480" w:firstLineChars="200"/>
              <w:rPr>
                <w:sz w:val="24"/>
                <w:szCs w:val="28"/>
              </w:rPr>
            </w:pPr>
            <w:r>
              <w:rPr>
                <w:rFonts w:hint="eastAsia" w:ascii="宋体" w:hAnsi="宋体" w:cs="宋体"/>
                <w:sz w:val="24"/>
                <w:szCs w:val="28"/>
              </w:rPr>
              <w:t>④</w:t>
            </w:r>
            <w:r>
              <w:rPr>
                <w:sz w:val="24"/>
                <w:szCs w:val="28"/>
              </w:rPr>
              <w:t>优化生产厂房平面布置，将产生噪声声源的设备远离厂界，布置在厂房中间。</w:t>
            </w:r>
          </w:p>
          <w:p>
            <w:pPr>
              <w:spacing w:line="360" w:lineRule="auto"/>
              <w:ind w:firstLine="480" w:firstLineChars="200"/>
              <w:rPr>
                <w:sz w:val="24"/>
              </w:rPr>
            </w:pPr>
            <w:r>
              <w:rPr>
                <w:rFonts w:hint="eastAsia" w:ascii="宋体" w:hAnsi="宋体" w:cs="宋体"/>
                <w:sz w:val="24"/>
              </w:rPr>
              <w:t>⑤</w:t>
            </w:r>
            <w:r>
              <w:rPr>
                <w:sz w:val="24"/>
              </w:rPr>
              <w:t>加强管理，文明生产，对产生噪声的设备加强维护和维修工作，禁止高噪音设备夜间运行噪声噪声扰民进一步降低噪声影响。</w:t>
            </w:r>
          </w:p>
          <w:p>
            <w:pPr>
              <w:pStyle w:val="201"/>
              <w:ind w:firstLine="480"/>
              <w:rPr>
                <w:rFonts w:ascii="Times New Roman" w:hAnsi="Times New Roman" w:cs="Times New Roman"/>
                <w:sz w:val="24"/>
              </w:rPr>
            </w:pPr>
            <w:r>
              <w:rPr>
                <w:rFonts w:hint="eastAsia" w:ascii="宋体" w:hAnsi="宋体"/>
                <w:sz w:val="24"/>
              </w:rPr>
              <w:t>⑥</w:t>
            </w:r>
            <w:r>
              <w:rPr>
                <w:rFonts w:ascii="Times New Roman" w:hAnsi="Times New Roman" w:cs="Times New Roman"/>
                <w:sz w:val="24"/>
              </w:rPr>
              <w:t>佩戴防护用品，如耳塞、耳罩、头盔等，减少噪声对工人的伤害。</w:t>
            </w:r>
          </w:p>
          <w:p>
            <w:pPr>
              <w:snapToGrid w:val="0"/>
              <w:spacing w:line="360" w:lineRule="auto"/>
              <w:ind w:firstLine="480" w:firstLineChars="200"/>
              <w:rPr>
                <w:sz w:val="24"/>
              </w:rPr>
            </w:pPr>
            <w:r>
              <w:rPr>
                <w:sz w:val="24"/>
              </w:rPr>
              <w:t>从总体上来说企业在切实落实本评价所提各项目措施，可以认为本项目产生噪声对外环境影响较小。</w:t>
            </w:r>
          </w:p>
          <w:p>
            <w:pPr>
              <w:snapToGrid w:val="0"/>
              <w:spacing w:line="360" w:lineRule="auto"/>
              <w:ind w:firstLine="480" w:firstLineChars="200"/>
              <w:rPr>
                <w:bCs/>
                <w:sz w:val="24"/>
              </w:rPr>
            </w:pPr>
            <w:r>
              <w:rPr>
                <w:bCs/>
                <w:sz w:val="24"/>
              </w:rPr>
              <w:t>（5）噪声监测要求</w:t>
            </w:r>
          </w:p>
          <w:p>
            <w:pPr>
              <w:snapToGrid w:val="0"/>
              <w:jc w:val="center"/>
              <w:rPr>
                <w:b/>
                <w:bCs/>
              </w:rPr>
            </w:pPr>
            <w:r>
              <w:rPr>
                <w:b/>
                <w:bCs/>
              </w:rPr>
              <w:t>表4-9  噪声监测计划一览表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2353"/>
              <w:gridCol w:w="2673"/>
              <w:gridCol w:w="6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12" w:type="dxa"/>
                  <w:vAlign w:val="center"/>
                </w:tcPr>
                <w:p>
                  <w:pPr>
                    <w:snapToGrid w:val="0"/>
                    <w:spacing w:line="240" w:lineRule="atLeast"/>
                    <w:jc w:val="center"/>
                    <w:rPr>
                      <w:b/>
                      <w:bCs/>
                      <w:szCs w:val="21"/>
                    </w:rPr>
                  </w:pPr>
                  <w:r>
                    <w:rPr>
                      <w:b/>
                      <w:bCs/>
                      <w:szCs w:val="21"/>
                    </w:rPr>
                    <w:t>监测点位</w:t>
                  </w:r>
                </w:p>
              </w:tc>
              <w:tc>
                <w:tcPr>
                  <w:tcW w:w="2353" w:type="dxa"/>
                  <w:vAlign w:val="center"/>
                </w:tcPr>
                <w:p>
                  <w:pPr>
                    <w:snapToGrid w:val="0"/>
                    <w:spacing w:line="240" w:lineRule="atLeast"/>
                    <w:jc w:val="center"/>
                    <w:rPr>
                      <w:b/>
                      <w:bCs/>
                      <w:szCs w:val="21"/>
                    </w:rPr>
                  </w:pPr>
                  <w:r>
                    <w:rPr>
                      <w:b/>
                      <w:bCs/>
                      <w:szCs w:val="21"/>
                    </w:rPr>
                    <w:t>监测指标</w:t>
                  </w:r>
                </w:p>
              </w:tc>
              <w:tc>
                <w:tcPr>
                  <w:tcW w:w="2673" w:type="dxa"/>
                  <w:vAlign w:val="center"/>
                </w:tcPr>
                <w:p>
                  <w:pPr>
                    <w:snapToGrid w:val="0"/>
                    <w:spacing w:line="240" w:lineRule="atLeast"/>
                    <w:jc w:val="center"/>
                    <w:rPr>
                      <w:b/>
                      <w:bCs/>
                      <w:szCs w:val="21"/>
                    </w:rPr>
                  </w:pPr>
                  <w:r>
                    <w:rPr>
                      <w:b/>
                      <w:bCs/>
                      <w:szCs w:val="21"/>
                    </w:rPr>
                    <w:t>监测频次</w:t>
                  </w:r>
                </w:p>
              </w:tc>
              <w:tc>
                <w:tcPr>
                  <w:tcW w:w="6432" w:type="dxa"/>
                  <w:vAlign w:val="center"/>
                </w:tcPr>
                <w:p>
                  <w:pPr>
                    <w:snapToGrid w:val="0"/>
                    <w:spacing w:line="240" w:lineRule="atLeast"/>
                    <w:jc w:val="center"/>
                    <w:rPr>
                      <w:b/>
                      <w:bCs/>
                      <w:szCs w:val="21"/>
                    </w:rPr>
                  </w:pPr>
                  <w:r>
                    <w:rPr>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912" w:type="dxa"/>
                  <w:vAlign w:val="center"/>
                </w:tcPr>
                <w:p>
                  <w:pPr>
                    <w:snapToGrid w:val="0"/>
                    <w:spacing w:line="240" w:lineRule="atLeast"/>
                    <w:jc w:val="center"/>
                    <w:rPr>
                      <w:b/>
                      <w:bCs/>
                      <w:szCs w:val="21"/>
                    </w:rPr>
                  </w:pPr>
                  <w:r>
                    <w:rPr>
                      <w:szCs w:val="21"/>
                    </w:rPr>
                    <w:t>厂界外1m</w:t>
                  </w:r>
                </w:p>
              </w:tc>
              <w:tc>
                <w:tcPr>
                  <w:tcW w:w="2353" w:type="dxa"/>
                  <w:vAlign w:val="center"/>
                </w:tcPr>
                <w:p>
                  <w:pPr>
                    <w:snapToGrid w:val="0"/>
                    <w:spacing w:line="240" w:lineRule="atLeast"/>
                    <w:jc w:val="center"/>
                    <w:rPr>
                      <w:szCs w:val="21"/>
                    </w:rPr>
                  </w:pPr>
                  <w:r>
                    <w:rPr>
                      <w:szCs w:val="21"/>
                    </w:rPr>
                    <w:t>噪声</w:t>
                  </w:r>
                </w:p>
              </w:tc>
              <w:tc>
                <w:tcPr>
                  <w:tcW w:w="2673" w:type="dxa"/>
                  <w:vAlign w:val="center"/>
                </w:tcPr>
                <w:p>
                  <w:pPr>
                    <w:snapToGrid w:val="0"/>
                    <w:spacing w:line="240" w:lineRule="atLeast"/>
                    <w:jc w:val="center"/>
                    <w:rPr>
                      <w:szCs w:val="21"/>
                    </w:rPr>
                  </w:pPr>
                  <w:r>
                    <w:rPr>
                      <w:szCs w:val="21"/>
                    </w:rPr>
                    <w:t>1次/季，昼夜各1次</w:t>
                  </w:r>
                </w:p>
              </w:tc>
              <w:tc>
                <w:tcPr>
                  <w:tcW w:w="6432" w:type="dxa"/>
                  <w:vAlign w:val="center"/>
                </w:tcPr>
                <w:p>
                  <w:pPr>
                    <w:snapToGrid w:val="0"/>
                    <w:spacing w:line="240" w:lineRule="atLeast"/>
                    <w:jc w:val="center"/>
                    <w:rPr>
                      <w:szCs w:val="21"/>
                    </w:rPr>
                  </w:pPr>
                  <w:r>
                    <w:rPr>
                      <w:szCs w:val="21"/>
                    </w:rPr>
                    <w:t>《工业企业厂界环境噪声排放标准》（GB12348-2008）3类标准</w:t>
                  </w:r>
                </w:p>
              </w:tc>
            </w:tr>
          </w:tbl>
          <w:p>
            <w:pPr>
              <w:pStyle w:val="4"/>
              <w:spacing w:before="120" w:beforeLines="50"/>
              <w:ind w:firstLine="482" w:firstLineChars="200"/>
              <w:rPr>
                <w:rFonts w:ascii="Times New Roman"/>
              </w:rPr>
            </w:pPr>
            <w:r>
              <w:rPr>
                <w:rFonts w:ascii="Times New Roman"/>
              </w:rPr>
              <w:t>4、固体废物</w:t>
            </w:r>
          </w:p>
          <w:p>
            <w:pPr>
              <w:pStyle w:val="38"/>
              <w:ind w:firstLine="240"/>
            </w:pPr>
            <w:r>
              <w:rPr>
                <w:sz w:val="24"/>
                <w:szCs w:val="24"/>
              </w:rPr>
              <w:t>（1）项目全厂固废源强及去向</w:t>
            </w:r>
          </w:p>
          <w:p>
            <w:pPr>
              <w:spacing w:line="360" w:lineRule="auto"/>
              <w:ind w:firstLine="480" w:firstLineChars="200"/>
              <w:rPr>
                <w:sz w:val="24"/>
              </w:rPr>
            </w:pPr>
            <w:r>
              <w:rPr>
                <w:sz w:val="24"/>
              </w:rPr>
              <w:t>1）生活垃圾</w:t>
            </w:r>
          </w:p>
          <w:p>
            <w:pPr>
              <w:spacing w:line="360" w:lineRule="auto"/>
              <w:ind w:firstLine="480" w:firstLineChars="200"/>
              <w:rPr>
                <w:sz w:val="24"/>
              </w:rPr>
            </w:pPr>
            <w:r>
              <w:rPr>
                <w:sz w:val="24"/>
              </w:rPr>
              <w:t>生活垃圾主要为纸屑、塑料袋，来源于企业员工办公、生活，员工生活垃圾产生量按0.5kg/人•d计，全厂职工人数为</w:t>
            </w:r>
            <w:r>
              <w:rPr>
                <w:rFonts w:hint="eastAsia"/>
                <w:sz w:val="24"/>
              </w:rPr>
              <w:t>80</w:t>
            </w:r>
            <w:r>
              <w:rPr>
                <w:sz w:val="24"/>
              </w:rPr>
              <w:t>人，员工生活垃圾产生量为</w:t>
            </w:r>
            <w:r>
              <w:rPr>
                <w:rFonts w:hint="eastAsia"/>
                <w:sz w:val="24"/>
              </w:rPr>
              <w:t>12</w:t>
            </w:r>
            <w:r>
              <w:rPr>
                <w:sz w:val="24"/>
              </w:rPr>
              <w:t>t/a，如不对其采取有效的处理措施，任其随意堆放，则可能造成这些废物的腐烂，滋生蚊、蝇、鼠、虫等，散发臭气，影响环境卫生，诱发各种传染病。本项目生活垃圾经收集后由市政环卫定期清运。</w:t>
            </w:r>
          </w:p>
          <w:p>
            <w:pPr>
              <w:adjustRightInd w:val="0"/>
              <w:snapToGrid w:val="0"/>
              <w:spacing w:line="360" w:lineRule="auto"/>
              <w:ind w:firstLine="480" w:firstLineChars="200"/>
              <w:rPr>
                <w:sz w:val="24"/>
              </w:rPr>
            </w:pPr>
            <w:r>
              <w:rPr>
                <w:sz w:val="24"/>
              </w:rPr>
              <w:t>2）</w:t>
            </w:r>
            <w:r>
              <w:rPr>
                <w:rFonts w:hint="eastAsia"/>
                <w:sz w:val="24"/>
              </w:rPr>
              <w:t>钢带</w:t>
            </w:r>
            <w:r>
              <w:rPr>
                <w:sz w:val="24"/>
              </w:rPr>
              <w:t>边角料</w:t>
            </w:r>
          </w:p>
          <w:p>
            <w:pPr>
              <w:spacing w:line="360" w:lineRule="auto"/>
              <w:ind w:firstLine="480"/>
              <w:rPr>
                <w:color w:val="FF0000"/>
                <w:sz w:val="24"/>
              </w:rPr>
            </w:pPr>
            <w:r>
              <w:rPr>
                <w:sz w:val="24"/>
              </w:rPr>
              <w:t>原料进行机加工时产生的废边角料，据业主提供的信息，废边角料产生为5t/a，统一收集后外售处理，</w:t>
            </w:r>
            <w:r>
              <w:rPr>
                <w:rFonts w:hint="eastAsia"/>
                <w:color w:val="FF0000"/>
                <w:sz w:val="24"/>
              </w:rPr>
              <w:t>一般工业固体废物代码</w:t>
            </w:r>
            <w:r>
              <w:rPr>
                <w:color w:val="FF0000"/>
                <w:sz w:val="24"/>
              </w:rPr>
              <w:t>为</w:t>
            </w:r>
            <w:r>
              <w:rPr>
                <w:rFonts w:hint="eastAsia"/>
                <w:color w:val="FF0000"/>
                <w:sz w:val="24"/>
              </w:rPr>
              <w:t>3</w:t>
            </w:r>
            <w:r>
              <w:rPr>
                <w:color w:val="FF0000"/>
                <w:sz w:val="24"/>
              </w:rPr>
              <w:t>67-001-09。</w:t>
            </w:r>
          </w:p>
          <w:p>
            <w:pPr>
              <w:adjustRightInd w:val="0"/>
              <w:snapToGrid w:val="0"/>
              <w:spacing w:line="360" w:lineRule="auto"/>
              <w:ind w:firstLine="480" w:firstLineChars="200"/>
              <w:rPr>
                <w:sz w:val="24"/>
              </w:rPr>
            </w:pPr>
            <w:r>
              <w:rPr>
                <w:sz w:val="24"/>
              </w:rPr>
              <w:t>3）焊接废料</w:t>
            </w:r>
          </w:p>
          <w:p>
            <w:pPr>
              <w:spacing w:line="360" w:lineRule="auto"/>
              <w:ind w:firstLine="480" w:firstLineChars="200"/>
              <w:rPr>
                <w:color w:val="FF0000"/>
                <w:sz w:val="24"/>
              </w:rPr>
            </w:pPr>
            <w:r>
              <w:rPr>
                <w:sz w:val="24"/>
              </w:rPr>
              <w:t>焊接废料包括焊接过程产生的焊渣以及焊烟净化器收集的烟尘。焊渣生成量约占焊丝总量的1%，焊丝年用量为15t，则废焊条产生量约为0.15t/a。</w:t>
            </w:r>
            <w:r>
              <w:rPr>
                <w:color w:val="FF0000"/>
                <w:sz w:val="24"/>
              </w:rPr>
              <w:t>根据工程分析可知，焊烟净化器收集的烟尘量为</w:t>
            </w:r>
            <w:r>
              <w:rPr>
                <w:rFonts w:hint="eastAsia"/>
                <w:color w:val="FF0000"/>
                <w:sz w:val="24"/>
              </w:rPr>
              <w:t>0.080</w:t>
            </w:r>
            <w:r>
              <w:rPr>
                <w:color w:val="FF0000"/>
                <w:sz w:val="24"/>
              </w:rPr>
              <w:t>t/a。综上，焊接废料产生量约为</w:t>
            </w:r>
            <w:r>
              <w:rPr>
                <w:rFonts w:hint="eastAsia"/>
                <w:color w:val="FF0000"/>
                <w:sz w:val="24"/>
              </w:rPr>
              <w:t>0.23</w:t>
            </w:r>
            <w:r>
              <w:rPr>
                <w:color w:val="FF0000"/>
                <w:sz w:val="24"/>
              </w:rPr>
              <w:t>/a，统一收集后外售处理，</w:t>
            </w:r>
            <w:r>
              <w:rPr>
                <w:rFonts w:hint="eastAsia"/>
                <w:color w:val="FF0000"/>
                <w:sz w:val="24"/>
              </w:rPr>
              <w:t>一般工业固体废物代码</w:t>
            </w:r>
            <w:r>
              <w:rPr>
                <w:color w:val="FF0000"/>
                <w:sz w:val="24"/>
              </w:rPr>
              <w:t>为</w:t>
            </w:r>
            <w:r>
              <w:rPr>
                <w:rFonts w:hint="eastAsia"/>
                <w:color w:val="FF0000"/>
                <w:sz w:val="24"/>
              </w:rPr>
              <w:t>3</w:t>
            </w:r>
            <w:r>
              <w:rPr>
                <w:color w:val="FF0000"/>
                <w:sz w:val="24"/>
              </w:rPr>
              <w:t>67-001-66。</w:t>
            </w:r>
          </w:p>
          <w:p>
            <w:pPr>
              <w:spacing w:line="360" w:lineRule="auto"/>
              <w:ind w:firstLine="480" w:firstLineChars="200"/>
              <w:jc w:val="left"/>
              <w:rPr>
                <w:sz w:val="24"/>
              </w:rPr>
            </w:pPr>
            <w:r>
              <w:rPr>
                <w:sz w:val="24"/>
              </w:rPr>
              <w:t>4）残次品</w:t>
            </w:r>
          </w:p>
          <w:p>
            <w:pPr>
              <w:pStyle w:val="319"/>
              <w:rPr>
                <w:szCs w:val="24"/>
              </w:rPr>
            </w:pPr>
            <w:r>
              <w:rPr>
                <w:szCs w:val="24"/>
              </w:rPr>
              <w:t>残次品按产品的</w:t>
            </w:r>
            <w:r>
              <w:rPr>
                <w:rFonts w:hint="eastAsia"/>
                <w:szCs w:val="24"/>
              </w:rPr>
              <w:t>千分之一计，则产生量为2.2t/a，</w:t>
            </w:r>
            <w:r>
              <w:t>统一收集后外售处理</w:t>
            </w:r>
            <w:r>
              <w:rPr>
                <w:color w:val="FF0000"/>
              </w:rPr>
              <w:t>，</w:t>
            </w:r>
            <w:r>
              <w:rPr>
                <w:rFonts w:hint="eastAsia"/>
                <w:color w:val="FF0000"/>
              </w:rPr>
              <w:t>一般工业固体废物代码</w:t>
            </w:r>
            <w:r>
              <w:rPr>
                <w:color w:val="FF0000"/>
              </w:rPr>
              <w:t>为</w:t>
            </w:r>
            <w:r>
              <w:rPr>
                <w:rFonts w:hint="eastAsia"/>
                <w:color w:val="FF0000"/>
              </w:rPr>
              <w:t>3</w:t>
            </w:r>
            <w:r>
              <w:rPr>
                <w:color w:val="FF0000"/>
              </w:rPr>
              <w:t>67-001-09。</w:t>
            </w:r>
          </w:p>
          <w:p>
            <w:pPr>
              <w:spacing w:line="360" w:lineRule="auto"/>
              <w:ind w:firstLine="480" w:firstLineChars="200"/>
              <w:jc w:val="left"/>
              <w:rPr>
                <w:color w:val="FF0000"/>
                <w:sz w:val="24"/>
              </w:rPr>
            </w:pPr>
            <w:r>
              <w:rPr>
                <w:color w:val="FF0000"/>
                <w:sz w:val="24"/>
              </w:rPr>
              <w:t>5）</w:t>
            </w:r>
            <w:r>
              <w:rPr>
                <w:rFonts w:hint="eastAsia"/>
                <w:color w:val="FF0000"/>
                <w:sz w:val="24"/>
              </w:rPr>
              <w:t>布袋除尘灰</w:t>
            </w:r>
          </w:p>
          <w:p>
            <w:pPr>
              <w:pStyle w:val="319"/>
              <w:rPr>
                <w:color w:val="FF0000"/>
                <w:szCs w:val="24"/>
              </w:rPr>
            </w:pPr>
            <w:r>
              <w:rPr>
                <w:color w:val="FF0000"/>
                <w:szCs w:val="24"/>
              </w:rPr>
              <w:t>根据废气工程分析可知，</w:t>
            </w:r>
            <w:r>
              <w:rPr>
                <w:rFonts w:hint="eastAsia"/>
                <w:color w:val="FF0000"/>
                <w:szCs w:val="24"/>
              </w:rPr>
              <w:t>布袋除尘灰</w:t>
            </w:r>
            <w:r>
              <w:rPr>
                <w:color w:val="FF0000"/>
                <w:szCs w:val="24"/>
              </w:rPr>
              <w:t>产生量为</w:t>
            </w:r>
            <w:r>
              <w:rPr>
                <w:rFonts w:hint="eastAsia"/>
                <w:color w:val="FF0000"/>
                <w:szCs w:val="24"/>
              </w:rPr>
              <w:t>0.1</w:t>
            </w:r>
            <w:r>
              <w:rPr>
                <w:color w:val="FF0000"/>
                <w:szCs w:val="24"/>
              </w:rPr>
              <w:t>96</w:t>
            </w:r>
            <w:r>
              <w:rPr>
                <w:rFonts w:hint="eastAsia"/>
                <w:color w:val="FF0000"/>
                <w:szCs w:val="24"/>
              </w:rPr>
              <w:t>t/a，</w:t>
            </w:r>
            <w:r>
              <w:rPr>
                <w:color w:val="FF0000"/>
              </w:rPr>
              <w:t>统一收集后外售处理，</w:t>
            </w:r>
            <w:r>
              <w:rPr>
                <w:rFonts w:hint="eastAsia"/>
                <w:color w:val="FF0000"/>
              </w:rPr>
              <w:t>一般工业固体废物代码</w:t>
            </w:r>
            <w:r>
              <w:rPr>
                <w:color w:val="FF0000"/>
              </w:rPr>
              <w:t>为</w:t>
            </w:r>
            <w:r>
              <w:rPr>
                <w:rFonts w:hint="eastAsia"/>
                <w:color w:val="FF0000"/>
              </w:rPr>
              <w:t>3</w:t>
            </w:r>
            <w:r>
              <w:rPr>
                <w:color w:val="FF0000"/>
              </w:rPr>
              <w:t>67-001-66。</w:t>
            </w:r>
          </w:p>
          <w:p>
            <w:pPr>
              <w:spacing w:line="360" w:lineRule="auto"/>
              <w:ind w:firstLine="480" w:firstLineChars="200"/>
              <w:jc w:val="left"/>
              <w:rPr>
                <w:sz w:val="24"/>
              </w:rPr>
            </w:pPr>
            <w:r>
              <w:rPr>
                <w:sz w:val="24"/>
              </w:rPr>
              <w:t>6）废</w:t>
            </w:r>
            <w:r>
              <w:rPr>
                <w:rFonts w:hint="eastAsia"/>
                <w:sz w:val="24"/>
              </w:rPr>
              <w:t>切削液</w:t>
            </w:r>
          </w:p>
          <w:p>
            <w:pPr>
              <w:spacing w:line="360" w:lineRule="auto"/>
              <w:ind w:firstLine="480" w:firstLineChars="200"/>
              <w:jc w:val="left"/>
              <w:rPr>
                <w:sz w:val="24"/>
              </w:rPr>
            </w:pPr>
            <w:r>
              <w:rPr>
                <w:rFonts w:hint="eastAsia"/>
                <w:sz w:val="24"/>
              </w:rPr>
              <w:t>项目制管过程中会使用到切削液，切削液原液与水按</w:t>
            </w:r>
            <w:r>
              <w:rPr>
                <w:sz w:val="24"/>
              </w:rPr>
              <w:t xml:space="preserve">1:19 </w:t>
            </w:r>
            <w:r>
              <w:rPr>
                <w:rFonts w:hint="eastAsia"/>
                <w:sz w:val="24"/>
              </w:rPr>
              <w:t>稀释后使用，切削液原液用量为</w:t>
            </w:r>
            <w:r>
              <w:rPr>
                <w:sz w:val="24"/>
              </w:rPr>
              <w:t>1.0t/a</w:t>
            </w:r>
            <w:r>
              <w:rPr>
                <w:rFonts w:hint="eastAsia"/>
                <w:sz w:val="24"/>
              </w:rPr>
              <w:t>，切削液循环使用，定期补充工件带走及蒸发损失，切削液在使用一段时间后就会乳化无法再利用；根据企业提供资料，夏天</w:t>
            </w:r>
            <w:r>
              <w:rPr>
                <w:sz w:val="24"/>
              </w:rPr>
              <w:t xml:space="preserve">1.5 </w:t>
            </w:r>
            <w:r>
              <w:rPr>
                <w:rFonts w:hint="eastAsia"/>
                <w:sz w:val="24"/>
              </w:rPr>
              <w:t>月换一次，冬天</w:t>
            </w:r>
            <w:r>
              <w:rPr>
                <w:sz w:val="24"/>
              </w:rPr>
              <w:t>2</w:t>
            </w:r>
            <w:r>
              <w:rPr>
                <w:rFonts w:hint="eastAsia"/>
                <w:sz w:val="24"/>
              </w:rPr>
              <w:t>个月换一次，项目废切削液产生量为</w:t>
            </w:r>
            <w:r>
              <w:rPr>
                <w:sz w:val="24"/>
              </w:rPr>
              <w:t>6.0t/a</w:t>
            </w:r>
            <w:r>
              <w:rPr>
                <w:rFonts w:hint="eastAsia"/>
                <w:sz w:val="24"/>
              </w:rPr>
              <w:t>（其中</w:t>
            </w:r>
            <w:r>
              <w:rPr>
                <w:sz w:val="24"/>
              </w:rPr>
              <w:t>70%</w:t>
            </w:r>
            <w:r>
              <w:rPr>
                <w:rFonts w:hint="eastAsia"/>
                <w:sz w:val="24"/>
              </w:rPr>
              <w:t>损耗）。根据《国家危险废物名录（</w:t>
            </w:r>
            <w:r>
              <w:rPr>
                <w:sz w:val="24"/>
              </w:rPr>
              <w:t xml:space="preserve">2021 </w:t>
            </w:r>
            <w:r>
              <w:rPr>
                <w:rFonts w:hint="eastAsia"/>
                <w:sz w:val="24"/>
              </w:rPr>
              <w:t>年版）》，废切削液属于危险废物，危废代码为</w:t>
            </w:r>
            <w:r>
              <w:rPr>
                <w:sz w:val="24"/>
              </w:rPr>
              <w:t>HW09 900-006-09</w:t>
            </w:r>
            <w:r>
              <w:rPr>
                <w:rFonts w:hint="eastAsia"/>
                <w:sz w:val="24"/>
              </w:rPr>
              <w:t>。</w:t>
            </w:r>
          </w:p>
          <w:p>
            <w:pPr>
              <w:spacing w:line="360" w:lineRule="auto"/>
              <w:ind w:firstLine="480" w:firstLineChars="200"/>
              <w:jc w:val="left"/>
            </w:pPr>
            <w:r>
              <w:rPr>
                <w:sz w:val="24"/>
              </w:rPr>
              <w:t>本项目营运期产生固体废物具体产排情况见表4-10。</w:t>
            </w:r>
          </w:p>
          <w:p>
            <w:pPr>
              <w:autoSpaceDE w:val="0"/>
              <w:autoSpaceDN w:val="0"/>
              <w:jc w:val="center"/>
              <w:rPr>
                <w:b/>
                <w:bCs/>
                <w:szCs w:val="21"/>
                <w:lang w:val="zh-CN"/>
              </w:rPr>
            </w:pPr>
            <w:r>
              <w:rPr>
                <w:b/>
                <w:bCs/>
                <w:szCs w:val="21"/>
                <w:lang w:val="zh-CN"/>
              </w:rPr>
              <w:t>表</w:t>
            </w:r>
            <w:r>
              <w:rPr>
                <w:b/>
                <w:bCs/>
                <w:szCs w:val="21"/>
              </w:rPr>
              <w:t>4-10</w:t>
            </w:r>
            <w:r>
              <w:rPr>
                <w:b/>
                <w:bCs/>
                <w:szCs w:val="21"/>
                <w:lang w:val="zh-CN"/>
              </w:rPr>
              <w:t xml:space="preserve">  </w:t>
            </w:r>
            <w:commentRangeStart w:id="7"/>
            <w:r>
              <w:rPr>
                <w:b/>
                <w:bCs/>
                <w:szCs w:val="21"/>
                <w:lang w:val="zh-CN"/>
              </w:rPr>
              <w:t>项目固废产生与处置情况汇总表</w:t>
            </w:r>
            <w:commentRangeEnd w:id="7"/>
            <w:r>
              <w:commentReference w:id="7"/>
            </w:r>
            <w:r>
              <w:rPr>
                <w:b/>
                <w:bCs/>
                <w:szCs w:val="21"/>
                <w:lang w:val="zh-CN"/>
              </w:rPr>
              <w:t xml:space="preserve"> （单位：t/a）</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118"/>
              <w:gridCol w:w="1171"/>
              <w:gridCol w:w="1252"/>
              <w:gridCol w:w="1140"/>
              <w:gridCol w:w="855"/>
              <w:gridCol w:w="1323"/>
              <w:gridCol w:w="947"/>
              <w:gridCol w:w="1676"/>
              <w:gridCol w:w="1968"/>
              <w:gridCol w:w="1143"/>
              <w:gridCol w:w="1777"/>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1118" w:type="dxa"/>
                  <w:vAlign w:val="center"/>
                </w:tcPr>
                <w:p>
                  <w:pPr>
                    <w:adjustRightInd w:val="0"/>
                    <w:snapToGrid w:val="0"/>
                    <w:spacing w:line="240" w:lineRule="exact"/>
                    <w:jc w:val="center"/>
                    <w:rPr>
                      <w:b/>
                      <w:bCs/>
                      <w:color w:val="FF0000"/>
                      <w:sz w:val="18"/>
                      <w:szCs w:val="18"/>
                    </w:rPr>
                  </w:pPr>
                  <w:r>
                    <w:rPr>
                      <w:b/>
                      <w:bCs/>
                      <w:color w:val="FF0000"/>
                      <w:sz w:val="18"/>
                      <w:szCs w:val="18"/>
                    </w:rPr>
                    <w:t>固废产生环节</w:t>
                  </w:r>
                </w:p>
              </w:tc>
              <w:tc>
                <w:tcPr>
                  <w:tcW w:w="1171" w:type="dxa"/>
                  <w:vAlign w:val="center"/>
                </w:tcPr>
                <w:p>
                  <w:pPr>
                    <w:adjustRightInd w:val="0"/>
                    <w:snapToGrid w:val="0"/>
                    <w:spacing w:line="240" w:lineRule="exact"/>
                    <w:jc w:val="center"/>
                    <w:rPr>
                      <w:b/>
                      <w:bCs/>
                      <w:color w:val="FF0000"/>
                      <w:sz w:val="18"/>
                      <w:szCs w:val="18"/>
                    </w:rPr>
                  </w:pPr>
                  <w:r>
                    <w:rPr>
                      <w:b/>
                      <w:bCs/>
                      <w:color w:val="FF0000"/>
                      <w:sz w:val="18"/>
                      <w:szCs w:val="18"/>
                    </w:rPr>
                    <w:t>固废名称</w:t>
                  </w:r>
                </w:p>
              </w:tc>
              <w:tc>
                <w:tcPr>
                  <w:tcW w:w="1252" w:type="dxa"/>
                  <w:vAlign w:val="center"/>
                </w:tcPr>
                <w:p>
                  <w:pPr>
                    <w:adjustRightInd w:val="0"/>
                    <w:snapToGrid w:val="0"/>
                    <w:spacing w:line="240" w:lineRule="exact"/>
                    <w:jc w:val="center"/>
                    <w:rPr>
                      <w:b/>
                      <w:bCs/>
                      <w:color w:val="FF0000"/>
                      <w:sz w:val="18"/>
                      <w:szCs w:val="18"/>
                    </w:rPr>
                  </w:pPr>
                  <w:r>
                    <w:rPr>
                      <w:b/>
                      <w:bCs/>
                      <w:color w:val="FF0000"/>
                      <w:sz w:val="18"/>
                      <w:szCs w:val="18"/>
                    </w:rPr>
                    <w:t>固废属性</w:t>
                  </w:r>
                </w:p>
              </w:tc>
              <w:tc>
                <w:tcPr>
                  <w:tcW w:w="1140" w:type="dxa"/>
                  <w:vAlign w:val="center"/>
                </w:tcPr>
                <w:p>
                  <w:pPr>
                    <w:adjustRightInd w:val="0"/>
                    <w:snapToGrid w:val="0"/>
                    <w:spacing w:line="240" w:lineRule="exact"/>
                    <w:jc w:val="center"/>
                    <w:rPr>
                      <w:b/>
                      <w:bCs/>
                      <w:color w:val="FF0000"/>
                      <w:sz w:val="18"/>
                      <w:szCs w:val="18"/>
                    </w:rPr>
                  </w:pPr>
                  <w:r>
                    <w:rPr>
                      <w:b/>
                      <w:bCs/>
                      <w:color w:val="FF0000"/>
                      <w:sz w:val="18"/>
                      <w:szCs w:val="18"/>
                    </w:rPr>
                    <w:t>主要有毒有害物质名称</w:t>
                  </w:r>
                </w:p>
              </w:tc>
              <w:tc>
                <w:tcPr>
                  <w:tcW w:w="855" w:type="dxa"/>
                  <w:vAlign w:val="center"/>
                </w:tcPr>
                <w:p>
                  <w:pPr>
                    <w:adjustRightInd w:val="0"/>
                    <w:snapToGrid w:val="0"/>
                    <w:spacing w:line="240" w:lineRule="exact"/>
                    <w:jc w:val="center"/>
                    <w:rPr>
                      <w:b/>
                      <w:bCs/>
                      <w:color w:val="FF0000"/>
                      <w:sz w:val="18"/>
                      <w:szCs w:val="18"/>
                    </w:rPr>
                  </w:pPr>
                  <w:r>
                    <w:rPr>
                      <w:b/>
                      <w:bCs/>
                      <w:color w:val="FF0000"/>
                      <w:sz w:val="18"/>
                      <w:szCs w:val="18"/>
                    </w:rPr>
                    <w:t>物理</w:t>
                  </w:r>
                </w:p>
                <w:p>
                  <w:pPr>
                    <w:adjustRightInd w:val="0"/>
                    <w:snapToGrid w:val="0"/>
                    <w:spacing w:line="240" w:lineRule="exact"/>
                    <w:jc w:val="center"/>
                    <w:rPr>
                      <w:b/>
                      <w:bCs/>
                      <w:color w:val="FF0000"/>
                      <w:sz w:val="18"/>
                      <w:szCs w:val="18"/>
                    </w:rPr>
                  </w:pPr>
                  <w:r>
                    <w:rPr>
                      <w:b/>
                      <w:bCs/>
                      <w:color w:val="FF0000"/>
                      <w:sz w:val="18"/>
                      <w:szCs w:val="18"/>
                    </w:rPr>
                    <w:t>性状</w:t>
                  </w:r>
                </w:p>
              </w:tc>
              <w:tc>
                <w:tcPr>
                  <w:tcW w:w="1323" w:type="dxa"/>
                  <w:vAlign w:val="center"/>
                </w:tcPr>
                <w:p>
                  <w:pPr>
                    <w:adjustRightInd w:val="0"/>
                    <w:snapToGrid w:val="0"/>
                    <w:spacing w:line="240" w:lineRule="exact"/>
                    <w:jc w:val="center"/>
                    <w:rPr>
                      <w:b/>
                      <w:bCs/>
                      <w:color w:val="FF0000"/>
                      <w:sz w:val="18"/>
                      <w:szCs w:val="18"/>
                    </w:rPr>
                  </w:pPr>
                  <w:r>
                    <w:rPr>
                      <w:b/>
                      <w:bCs/>
                      <w:color w:val="FF0000"/>
                      <w:sz w:val="18"/>
                      <w:szCs w:val="18"/>
                    </w:rPr>
                    <w:t>环境危险特性</w:t>
                  </w:r>
                </w:p>
              </w:tc>
              <w:tc>
                <w:tcPr>
                  <w:tcW w:w="947" w:type="dxa"/>
                  <w:vAlign w:val="center"/>
                </w:tcPr>
                <w:p>
                  <w:pPr>
                    <w:adjustRightInd w:val="0"/>
                    <w:snapToGrid w:val="0"/>
                    <w:spacing w:line="240" w:lineRule="exact"/>
                    <w:jc w:val="center"/>
                    <w:rPr>
                      <w:b/>
                      <w:bCs/>
                      <w:color w:val="FF0000"/>
                      <w:sz w:val="18"/>
                      <w:szCs w:val="18"/>
                    </w:rPr>
                  </w:pPr>
                  <w:r>
                    <w:rPr>
                      <w:b/>
                      <w:bCs/>
                      <w:color w:val="FF0000"/>
                      <w:sz w:val="18"/>
                      <w:szCs w:val="18"/>
                    </w:rPr>
                    <w:t>产生量</w:t>
                  </w:r>
                </w:p>
                <w:p>
                  <w:pPr>
                    <w:adjustRightInd w:val="0"/>
                    <w:snapToGrid w:val="0"/>
                    <w:spacing w:line="240" w:lineRule="exact"/>
                    <w:jc w:val="center"/>
                    <w:rPr>
                      <w:b/>
                      <w:bCs/>
                      <w:color w:val="FF0000"/>
                      <w:sz w:val="18"/>
                      <w:szCs w:val="18"/>
                    </w:rPr>
                  </w:pPr>
                  <w:r>
                    <w:rPr>
                      <w:b/>
                      <w:bCs/>
                      <w:color w:val="FF0000"/>
                      <w:sz w:val="18"/>
                      <w:szCs w:val="18"/>
                    </w:rPr>
                    <w:t>t/a</w:t>
                  </w:r>
                </w:p>
              </w:tc>
              <w:tc>
                <w:tcPr>
                  <w:tcW w:w="1676" w:type="dxa"/>
                  <w:vAlign w:val="center"/>
                </w:tcPr>
                <w:p>
                  <w:pPr>
                    <w:adjustRightInd w:val="0"/>
                    <w:snapToGrid w:val="0"/>
                    <w:spacing w:line="240" w:lineRule="exact"/>
                    <w:jc w:val="center"/>
                    <w:rPr>
                      <w:b/>
                      <w:bCs/>
                      <w:color w:val="FF0000"/>
                      <w:sz w:val="18"/>
                      <w:szCs w:val="18"/>
                    </w:rPr>
                  </w:pPr>
                  <w:r>
                    <w:rPr>
                      <w:b/>
                      <w:bCs/>
                      <w:color w:val="FF0000"/>
                      <w:sz w:val="18"/>
                      <w:szCs w:val="18"/>
                    </w:rPr>
                    <w:t>贮存方式</w:t>
                  </w:r>
                </w:p>
              </w:tc>
              <w:tc>
                <w:tcPr>
                  <w:tcW w:w="1968" w:type="dxa"/>
                  <w:vAlign w:val="center"/>
                </w:tcPr>
                <w:p>
                  <w:pPr>
                    <w:adjustRightInd w:val="0"/>
                    <w:snapToGrid w:val="0"/>
                    <w:spacing w:line="240" w:lineRule="exact"/>
                    <w:jc w:val="center"/>
                    <w:rPr>
                      <w:b/>
                      <w:bCs/>
                      <w:color w:val="FF0000"/>
                      <w:sz w:val="18"/>
                      <w:szCs w:val="18"/>
                    </w:rPr>
                  </w:pPr>
                  <w:r>
                    <w:rPr>
                      <w:b/>
                      <w:bCs/>
                      <w:color w:val="FF0000"/>
                      <w:sz w:val="18"/>
                      <w:szCs w:val="18"/>
                    </w:rPr>
                    <w:t>利用处置方式和去向</w:t>
                  </w:r>
                </w:p>
              </w:tc>
              <w:tc>
                <w:tcPr>
                  <w:tcW w:w="1143" w:type="dxa"/>
                  <w:vAlign w:val="center"/>
                </w:tcPr>
                <w:p>
                  <w:pPr>
                    <w:adjustRightInd w:val="0"/>
                    <w:snapToGrid w:val="0"/>
                    <w:spacing w:line="240" w:lineRule="exact"/>
                    <w:jc w:val="center"/>
                    <w:rPr>
                      <w:b/>
                      <w:bCs/>
                      <w:color w:val="FF0000"/>
                      <w:sz w:val="18"/>
                      <w:szCs w:val="18"/>
                    </w:rPr>
                  </w:pPr>
                  <w:r>
                    <w:rPr>
                      <w:b/>
                      <w:bCs/>
                      <w:color w:val="FF0000"/>
                      <w:sz w:val="18"/>
                      <w:szCs w:val="18"/>
                    </w:rPr>
                    <w:t>利用或处置量</w:t>
                  </w:r>
                  <w:r>
                    <w:rPr>
                      <w:rFonts w:hint="eastAsia"/>
                      <w:b/>
                      <w:bCs/>
                      <w:color w:val="FF0000"/>
                      <w:sz w:val="18"/>
                      <w:szCs w:val="18"/>
                    </w:rPr>
                    <w:t>t/a</w:t>
                  </w:r>
                </w:p>
              </w:tc>
              <w:tc>
                <w:tcPr>
                  <w:tcW w:w="1777" w:type="dxa"/>
                  <w:vAlign w:val="center"/>
                </w:tcPr>
                <w:p>
                  <w:pPr>
                    <w:adjustRightInd w:val="0"/>
                    <w:snapToGrid w:val="0"/>
                    <w:spacing w:line="240" w:lineRule="exact"/>
                    <w:jc w:val="center"/>
                    <w:rPr>
                      <w:b/>
                      <w:bCs/>
                      <w:color w:val="FF0000"/>
                      <w:sz w:val="18"/>
                      <w:szCs w:val="18"/>
                    </w:rPr>
                  </w:pPr>
                  <w:r>
                    <w:rPr>
                      <w:b/>
                      <w:bCs/>
                      <w:color w:val="FF0000"/>
                      <w:sz w:val="18"/>
                      <w:szCs w:val="18"/>
                    </w:rPr>
                    <w:t>环境管理要求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1118" w:type="dxa"/>
                  <w:vAlign w:val="center"/>
                </w:tcPr>
                <w:p>
                  <w:pPr>
                    <w:adjustRightInd w:val="0"/>
                    <w:snapToGrid w:val="0"/>
                    <w:spacing w:line="240" w:lineRule="exact"/>
                    <w:jc w:val="center"/>
                    <w:rPr>
                      <w:bCs/>
                      <w:color w:val="FF0000"/>
                      <w:sz w:val="18"/>
                      <w:szCs w:val="18"/>
                    </w:rPr>
                  </w:pPr>
                  <w:r>
                    <w:rPr>
                      <w:rFonts w:hint="eastAsia"/>
                      <w:bCs/>
                      <w:color w:val="FF0000"/>
                      <w:sz w:val="18"/>
                      <w:szCs w:val="18"/>
                    </w:rPr>
                    <w:t>员工生活</w:t>
                  </w:r>
                </w:p>
              </w:tc>
              <w:tc>
                <w:tcPr>
                  <w:tcW w:w="1171" w:type="dxa"/>
                  <w:vAlign w:val="center"/>
                </w:tcPr>
                <w:p>
                  <w:pPr>
                    <w:adjustRightInd w:val="0"/>
                    <w:snapToGrid w:val="0"/>
                    <w:spacing w:line="240" w:lineRule="atLeast"/>
                    <w:jc w:val="center"/>
                    <w:rPr>
                      <w:bCs/>
                      <w:color w:val="FF0000"/>
                      <w:sz w:val="18"/>
                      <w:szCs w:val="18"/>
                    </w:rPr>
                  </w:pPr>
                  <w:r>
                    <w:rPr>
                      <w:rFonts w:hint="eastAsia"/>
                      <w:color w:val="FF0000"/>
                      <w:sz w:val="18"/>
                      <w:szCs w:val="18"/>
                    </w:rPr>
                    <w:t>生活垃圾</w:t>
                  </w:r>
                </w:p>
              </w:tc>
              <w:tc>
                <w:tcPr>
                  <w:tcW w:w="1252" w:type="dxa"/>
                  <w:vAlign w:val="center"/>
                </w:tcPr>
                <w:p>
                  <w:pPr>
                    <w:adjustRightInd w:val="0"/>
                    <w:snapToGrid w:val="0"/>
                    <w:spacing w:line="240" w:lineRule="exact"/>
                    <w:jc w:val="center"/>
                    <w:rPr>
                      <w:bCs/>
                      <w:color w:val="FF0000"/>
                      <w:sz w:val="18"/>
                      <w:szCs w:val="18"/>
                    </w:rPr>
                  </w:pPr>
                  <w:r>
                    <w:rPr>
                      <w:rFonts w:hint="eastAsia"/>
                      <w:bCs/>
                      <w:color w:val="FF0000"/>
                      <w:sz w:val="18"/>
                      <w:szCs w:val="18"/>
                    </w:rPr>
                    <w:t>生活垃圾</w:t>
                  </w:r>
                </w:p>
              </w:tc>
              <w:tc>
                <w:tcPr>
                  <w:tcW w:w="1140"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855" w:type="dxa"/>
                  <w:vAlign w:val="center"/>
                </w:tcPr>
                <w:p>
                  <w:pPr>
                    <w:adjustRightInd w:val="0"/>
                    <w:snapToGrid w:val="0"/>
                    <w:spacing w:line="240" w:lineRule="exact"/>
                    <w:jc w:val="center"/>
                    <w:rPr>
                      <w:bCs/>
                      <w:color w:val="FF0000"/>
                      <w:sz w:val="18"/>
                      <w:szCs w:val="18"/>
                    </w:rPr>
                  </w:pPr>
                  <w:r>
                    <w:rPr>
                      <w:rFonts w:hint="eastAsia"/>
                      <w:bCs/>
                      <w:color w:val="FF0000"/>
                      <w:sz w:val="18"/>
                      <w:szCs w:val="18"/>
                    </w:rPr>
                    <w:t>固态</w:t>
                  </w:r>
                </w:p>
              </w:tc>
              <w:tc>
                <w:tcPr>
                  <w:tcW w:w="1323"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947" w:type="dxa"/>
                  <w:vAlign w:val="center"/>
                </w:tcPr>
                <w:p>
                  <w:pPr>
                    <w:pStyle w:val="25"/>
                    <w:jc w:val="center"/>
                    <w:rPr>
                      <w:bCs/>
                      <w:color w:val="FF0000"/>
                      <w:szCs w:val="18"/>
                    </w:rPr>
                  </w:pPr>
                  <w:r>
                    <w:rPr>
                      <w:bCs/>
                      <w:color w:val="FF0000"/>
                    </w:rPr>
                    <w:t>12</w:t>
                  </w:r>
                </w:p>
              </w:tc>
              <w:tc>
                <w:tcPr>
                  <w:tcW w:w="1676" w:type="dxa"/>
                  <w:vAlign w:val="center"/>
                </w:tcPr>
                <w:p>
                  <w:pPr>
                    <w:adjustRightInd w:val="0"/>
                    <w:snapToGrid w:val="0"/>
                    <w:spacing w:line="240" w:lineRule="exact"/>
                    <w:jc w:val="center"/>
                    <w:rPr>
                      <w:bCs/>
                      <w:color w:val="FF0000"/>
                      <w:sz w:val="18"/>
                      <w:szCs w:val="18"/>
                    </w:rPr>
                  </w:pPr>
                  <w:r>
                    <w:rPr>
                      <w:rFonts w:hint="eastAsia"/>
                      <w:bCs/>
                      <w:color w:val="FF0000"/>
                      <w:sz w:val="18"/>
                      <w:szCs w:val="18"/>
                    </w:rPr>
                    <w:t>垃圾桶</w:t>
                  </w:r>
                </w:p>
              </w:tc>
              <w:tc>
                <w:tcPr>
                  <w:tcW w:w="1968" w:type="dxa"/>
                  <w:vAlign w:val="center"/>
                </w:tcPr>
                <w:p>
                  <w:pPr>
                    <w:pStyle w:val="25"/>
                    <w:adjustRightInd w:val="0"/>
                    <w:spacing w:line="240" w:lineRule="atLeast"/>
                    <w:jc w:val="center"/>
                    <w:rPr>
                      <w:bCs/>
                      <w:color w:val="FF0000"/>
                      <w:szCs w:val="18"/>
                    </w:rPr>
                  </w:pPr>
                  <w:r>
                    <w:rPr>
                      <w:rFonts w:hint="eastAsia"/>
                      <w:bCs/>
                      <w:color w:val="FF0000"/>
                      <w:szCs w:val="18"/>
                    </w:rPr>
                    <w:t>交由环卫部门处理</w:t>
                  </w:r>
                </w:p>
              </w:tc>
              <w:tc>
                <w:tcPr>
                  <w:tcW w:w="1143" w:type="dxa"/>
                  <w:vAlign w:val="center"/>
                </w:tcPr>
                <w:p>
                  <w:pPr>
                    <w:pStyle w:val="25"/>
                    <w:jc w:val="center"/>
                    <w:rPr>
                      <w:bCs/>
                      <w:color w:val="FF0000"/>
                      <w:szCs w:val="18"/>
                    </w:rPr>
                  </w:pPr>
                  <w:r>
                    <w:rPr>
                      <w:bCs/>
                      <w:color w:val="FF0000"/>
                    </w:rPr>
                    <w:t>12</w:t>
                  </w:r>
                </w:p>
              </w:tc>
              <w:tc>
                <w:tcPr>
                  <w:tcW w:w="1777" w:type="dxa"/>
                  <w:vMerge w:val="restart"/>
                  <w:vAlign w:val="center"/>
                </w:tcPr>
                <w:p>
                  <w:pPr>
                    <w:adjustRightInd w:val="0"/>
                    <w:snapToGrid w:val="0"/>
                    <w:spacing w:line="240" w:lineRule="exact"/>
                    <w:jc w:val="center"/>
                    <w:rPr>
                      <w:bCs/>
                      <w:sz w:val="18"/>
                      <w:szCs w:val="18"/>
                    </w:rPr>
                  </w:pPr>
                  <w:r>
                    <w:rPr>
                      <w:rFonts w:hint="eastAsia"/>
                      <w:bCs/>
                      <w:color w:val="FF0000"/>
                      <w:sz w:val="18"/>
                      <w:szCs w:val="18"/>
                    </w:rPr>
                    <w:t>建立环境管理台账制度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118" w:type="dxa"/>
                  <w:vMerge w:val="restart"/>
                  <w:vAlign w:val="center"/>
                </w:tcPr>
                <w:p>
                  <w:pPr>
                    <w:adjustRightInd w:val="0"/>
                    <w:snapToGrid w:val="0"/>
                    <w:spacing w:line="240" w:lineRule="exact"/>
                    <w:jc w:val="center"/>
                    <w:rPr>
                      <w:bCs/>
                      <w:sz w:val="18"/>
                      <w:szCs w:val="18"/>
                    </w:rPr>
                  </w:pPr>
                  <w:r>
                    <w:rPr>
                      <w:rFonts w:hint="eastAsia"/>
                      <w:bCs/>
                      <w:color w:val="FF0000"/>
                      <w:sz w:val="18"/>
                      <w:szCs w:val="18"/>
                    </w:rPr>
                    <w:t>生产</w:t>
                  </w:r>
                </w:p>
              </w:tc>
              <w:tc>
                <w:tcPr>
                  <w:tcW w:w="1171" w:type="dxa"/>
                  <w:vAlign w:val="center"/>
                </w:tcPr>
                <w:p>
                  <w:pPr>
                    <w:adjustRightInd w:val="0"/>
                    <w:snapToGrid w:val="0"/>
                    <w:jc w:val="center"/>
                    <w:rPr>
                      <w:color w:val="FF0000"/>
                      <w:sz w:val="18"/>
                      <w:szCs w:val="18"/>
                    </w:rPr>
                  </w:pPr>
                  <w:r>
                    <w:rPr>
                      <w:rFonts w:hint="eastAsia"/>
                      <w:color w:val="FF0000"/>
                      <w:sz w:val="18"/>
                      <w:szCs w:val="18"/>
                    </w:rPr>
                    <w:t>钢带</w:t>
                  </w:r>
                  <w:r>
                    <w:rPr>
                      <w:color w:val="FF0000"/>
                      <w:sz w:val="18"/>
                      <w:szCs w:val="18"/>
                    </w:rPr>
                    <w:t>边角料</w:t>
                  </w:r>
                </w:p>
              </w:tc>
              <w:tc>
                <w:tcPr>
                  <w:tcW w:w="1252" w:type="dxa"/>
                  <w:vMerge w:val="restart"/>
                  <w:vAlign w:val="center"/>
                </w:tcPr>
                <w:p>
                  <w:pPr>
                    <w:snapToGrid w:val="0"/>
                    <w:spacing w:line="240" w:lineRule="exact"/>
                    <w:jc w:val="center"/>
                    <w:rPr>
                      <w:bCs/>
                      <w:color w:val="FF0000"/>
                      <w:sz w:val="18"/>
                      <w:szCs w:val="18"/>
                    </w:rPr>
                  </w:pPr>
                  <w:r>
                    <w:rPr>
                      <w:color w:val="FF0000"/>
                      <w:sz w:val="18"/>
                      <w:szCs w:val="18"/>
                    </w:rPr>
                    <w:t>一般固废</w:t>
                  </w:r>
                </w:p>
              </w:tc>
              <w:tc>
                <w:tcPr>
                  <w:tcW w:w="1140"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855" w:type="dxa"/>
                  <w:vAlign w:val="center"/>
                </w:tcPr>
                <w:p>
                  <w:pPr>
                    <w:adjustRightInd w:val="0"/>
                    <w:snapToGrid w:val="0"/>
                    <w:spacing w:line="240" w:lineRule="exact"/>
                    <w:jc w:val="center"/>
                    <w:rPr>
                      <w:bCs/>
                      <w:color w:val="FF0000"/>
                      <w:sz w:val="18"/>
                      <w:szCs w:val="18"/>
                    </w:rPr>
                  </w:pPr>
                  <w:r>
                    <w:rPr>
                      <w:rFonts w:hint="eastAsia"/>
                      <w:bCs/>
                      <w:color w:val="FF0000"/>
                      <w:sz w:val="18"/>
                      <w:szCs w:val="18"/>
                    </w:rPr>
                    <w:t>固态</w:t>
                  </w:r>
                </w:p>
              </w:tc>
              <w:tc>
                <w:tcPr>
                  <w:tcW w:w="1323"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947" w:type="dxa"/>
                  <w:vAlign w:val="center"/>
                </w:tcPr>
                <w:p>
                  <w:pPr>
                    <w:adjustRightInd w:val="0"/>
                    <w:snapToGrid w:val="0"/>
                    <w:jc w:val="center"/>
                    <w:rPr>
                      <w:color w:val="FF0000"/>
                      <w:sz w:val="18"/>
                      <w:szCs w:val="18"/>
                    </w:rPr>
                  </w:pPr>
                  <w:r>
                    <w:rPr>
                      <w:color w:val="FF0000"/>
                      <w:sz w:val="18"/>
                      <w:szCs w:val="18"/>
                    </w:rPr>
                    <w:t>5</w:t>
                  </w:r>
                </w:p>
              </w:tc>
              <w:tc>
                <w:tcPr>
                  <w:tcW w:w="1676" w:type="dxa"/>
                  <w:vAlign w:val="center"/>
                </w:tcPr>
                <w:p>
                  <w:pPr>
                    <w:adjustRightInd w:val="0"/>
                    <w:snapToGrid w:val="0"/>
                    <w:spacing w:line="240" w:lineRule="exact"/>
                    <w:jc w:val="center"/>
                    <w:rPr>
                      <w:bCs/>
                      <w:color w:val="FF0000"/>
                      <w:sz w:val="18"/>
                      <w:szCs w:val="18"/>
                    </w:rPr>
                  </w:pPr>
                  <w:r>
                    <w:rPr>
                      <w:rFonts w:hint="eastAsia"/>
                      <w:bCs/>
                      <w:color w:val="FF0000"/>
                      <w:sz w:val="18"/>
                      <w:szCs w:val="18"/>
                    </w:rPr>
                    <w:t>袋装</w:t>
                  </w:r>
                </w:p>
              </w:tc>
              <w:tc>
                <w:tcPr>
                  <w:tcW w:w="1968" w:type="dxa"/>
                  <w:vMerge w:val="restart"/>
                  <w:vAlign w:val="center"/>
                </w:tcPr>
                <w:p>
                  <w:pPr>
                    <w:adjustRightInd w:val="0"/>
                    <w:snapToGrid w:val="0"/>
                    <w:jc w:val="center"/>
                    <w:rPr>
                      <w:color w:val="FF0000"/>
                      <w:sz w:val="18"/>
                      <w:szCs w:val="18"/>
                    </w:rPr>
                  </w:pPr>
                  <w:r>
                    <w:rPr>
                      <w:color w:val="FF0000"/>
                      <w:sz w:val="18"/>
                      <w:szCs w:val="18"/>
                    </w:rPr>
                    <w:t>集中收集后外售废品回收站</w:t>
                  </w:r>
                </w:p>
              </w:tc>
              <w:tc>
                <w:tcPr>
                  <w:tcW w:w="1143" w:type="dxa"/>
                  <w:vAlign w:val="center"/>
                </w:tcPr>
                <w:p>
                  <w:pPr>
                    <w:adjustRightInd w:val="0"/>
                    <w:snapToGrid w:val="0"/>
                    <w:jc w:val="center"/>
                    <w:rPr>
                      <w:sz w:val="18"/>
                      <w:szCs w:val="18"/>
                    </w:rPr>
                  </w:pPr>
                  <w:r>
                    <w:rPr>
                      <w:color w:val="FF0000"/>
                      <w:sz w:val="18"/>
                      <w:szCs w:val="18"/>
                    </w:rPr>
                    <w:t>5</w:t>
                  </w:r>
                </w:p>
              </w:tc>
              <w:tc>
                <w:tcPr>
                  <w:tcW w:w="1777" w:type="dxa"/>
                  <w:vMerge w:val="continue"/>
                  <w:vAlign w:val="center"/>
                </w:tcPr>
                <w:p>
                  <w:pPr>
                    <w:adjustRightInd w:val="0"/>
                    <w:snapToGrid w:val="0"/>
                    <w:spacing w:line="240" w:lineRule="exact"/>
                    <w:jc w:val="center"/>
                    <w:rPr>
                      <w:bCs/>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67" w:hRule="atLeast"/>
                <w:jc w:val="center"/>
              </w:trPr>
              <w:tc>
                <w:tcPr>
                  <w:tcW w:w="1118" w:type="dxa"/>
                  <w:vMerge w:val="continue"/>
                  <w:vAlign w:val="center"/>
                </w:tcPr>
                <w:p>
                  <w:pPr>
                    <w:adjustRightInd w:val="0"/>
                    <w:snapToGrid w:val="0"/>
                    <w:spacing w:line="240" w:lineRule="exact"/>
                    <w:jc w:val="center"/>
                    <w:rPr>
                      <w:bCs/>
                      <w:sz w:val="18"/>
                      <w:szCs w:val="18"/>
                    </w:rPr>
                  </w:pPr>
                </w:p>
              </w:tc>
              <w:tc>
                <w:tcPr>
                  <w:tcW w:w="1171" w:type="dxa"/>
                  <w:vAlign w:val="center"/>
                </w:tcPr>
                <w:p>
                  <w:pPr>
                    <w:adjustRightInd w:val="0"/>
                    <w:snapToGrid w:val="0"/>
                    <w:jc w:val="center"/>
                    <w:rPr>
                      <w:color w:val="FF0000"/>
                      <w:sz w:val="18"/>
                      <w:szCs w:val="18"/>
                    </w:rPr>
                  </w:pPr>
                  <w:r>
                    <w:rPr>
                      <w:color w:val="FF0000"/>
                      <w:sz w:val="18"/>
                      <w:szCs w:val="18"/>
                    </w:rPr>
                    <w:t>焊接废料</w:t>
                  </w:r>
                </w:p>
              </w:tc>
              <w:tc>
                <w:tcPr>
                  <w:tcW w:w="1252" w:type="dxa"/>
                  <w:vMerge w:val="continue"/>
                  <w:vAlign w:val="center"/>
                </w:tcPr>
                <w:p>
                  <w:pPr>
                    <w:adjustRightInd w:val="0"/>
                    <w:snapToGrid w:val="0"/>
                    <w:spacing w:line="240" w:lineRule="exact"/>
                    <w:jc w:val="center"/>
                    <w:rPr>
                      <w:bCs/>
                      <w:color w:val="FF0000"/>
                      <w:sz w:val="18"/>
                      <w:szCs w:val="18"/>
                    </w:rPr>
                  </w:pPr>
                </w:p>
              </w:tc>
              <w:tc>
                <w:tcPr>
                  <w:tcW w:w="1140"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855" w:type="dxa"/>
                  <w:vAlign w:val="center"/>
                </w:tcPr>
                <w:p>
                  <w:pPr>
                    <w:adjustRightInd w:val="0"/>
                    <w:snapToGrid w:val="0"/>
                    <w:spacing w:line="240" w:lineRule="exact"/>
                    <w:jc w:val="center"/>
                    <w:rPr>
                      <w:bCs/>
                      <w:color w:val="FF0000"/>
                      <w:sz w:val="18"/>
                      <w:szCs w:val="18"/>
                    </w:rPr>
                  </w:pPr>
                  <w:r>
                    <w:rPr>
                      <w:rFonts w:hint="eastAsia"/>
                      <w:bCs/>
                      <w:color w:val="FF0000"/>
                      <w:sz w:val="18"/>
                      <w:szCs w:val="18"/>
                    </w:rPr>
                    <w:t>固态</w:t>
                  </w:r>
                </w:p>
              </w:tc>
              <w:tc>
                <w:tcPr>
                  <w:tcW w:w="1323"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947" w:type="dxa"/>
                  <w:vAlign w:val="center"/>
                </w:tcPr>
                <w:p>
                  <w:pPr>
                    <w:adjustRightInd w:val="0"/>
                    <w:snapToGrid w:val="0"/>
                    <w:jc w:val="center"/>
                    <w:rPr>
                      <w:color w:val="FF0000"/>
                      <w:sz w:val="18"/>
                      <w:szCs w:val="18"/>
                    </w:rPr>
                  </w:pPr>
                  <w:r>
                    <w:rPr>
                      <w:rFonts w:hint="eastAsia"/>
                      <w:color w:val="FF0000"/>
                      <w:sz w:val="18"/>
                      <w:szCs w:val="18"/>
                    </w:rPr>
                    <w:t>0.23</w:t>
                  </w:r>
                </w:p>
              </w:tc>
              <w:tc>
                <w:tcPr>
                  <w:tcW w:w="1676" w:type="dxa"/>
                  <w:vAlign w:val="center"/>
                </w:tcPr>
                <w:p>
                  <w:pPr>
                    <w:adjustRightInd w:val="0"/>
                    <w:snapToGrid w:val="0"/>
                    <w:spacing w:line="240" w:lineRule="exact"/>
                    <w:jc w:val="center"/>
                    <w:rPr>
                      <w:bCs/>
                      <w:color w:val="FF0000"/>
                      <w:sz w:val="18"/>
                      <w:szCs w:val="18"/>
                    </w:rPr>
                  </w:pPr>
                  <w:r>
                    <w:rPr>
                      <w:rFonts w:hint="eastAsia"/>
                      <w:bCs/>
                      <w:color w:val="FF0000"/>
                      <w:sz w:val="18"/>
                      <w:szCs w:val="18"/>
                    </w:rPr>
                    <w:t>袋装</w:t>
                  </w:r>
                </w:p>
              </w:tc>
              <w:tc>
                <w:tcPr>
                  <w:tcW w:w="1968" w:type="dxa"/>
                  <w:vMerge w:val="continue"/>
                  <w:vAlign w:val="center"/>
                </w:tcPr>
                <w:p>
                  <w:pPr>
                    <w:pStyle w:val="25"/>
                    <w:adjustRightInd w:val="0"/>
                    <w:spacing w:line="240" w:lineRule="atLeast"/>
                    <w:jc w:val="center"/>
                    <w:rPr>
                      <w:bCs/>
                      <w:color w:val="FF0000"/>
                      <w:szCs w:val="18"/>
                    </w:rPr>
                  </w:pPr>
                </w:p>
              </w:tc>
              <w:tc>
                <w:tcPr>
                  <w:tcW w:w="1143" w:type="dxa"/>
                  <w:vAlign w:val="center"/>
                </w:tcPr>
                <w:p>
                  <w:pPr>
                    <w:adjustRightInd w:val="0"/>
                    <w:snapToGrid w:val="0"/>
                    <w:jc w:val="center"/>
                    <w:rPr>
                      <w:sz w:val="18"/>
                      <w:szCs w:val="18"/>
                    </w:rPr>
                  </w:pPr>
                  <w:r>
                    <w:rPr>
                      <w:rFonts w:hint="eastAsia"/>
                      <w:color w:val="FF0000"/>
                      <w:sz w:val="18"/>
                      <w:szCs w:val="18"/>
                    </w:rPr>
                    <w:t>0.23</w:t>
                  </w:r>
                </w:p>
              </w:tc>
              <w:tc>
                <w:tcPr>
                  <w:tcW w:w="1777" w:type="dxa"/>
                  <w:vMerge w:val="continue"/>
                  <w:vAlign w:val="center"/>
                </w:tcPr>
                <w:p>
                  <w:pPr>
                    <w:adjustRightInd w:val="0"/>
                    <w:snapToGrid w:val="0"/>
                    <w:spacing w:line="240" w:lineRule="exact"/>
                    <w:jc w:val="center"/>
                    <w:rPr>
                      <w:bCs/>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12" w:hRule="atLeast"/>
                <w:jc w:val="center"/>
              </w:trPr>
              <w:tc>
                <w:tcPr>
                  <w:tcW w:w="1118" w:type="dxa"/>
                  <w:vMerge w:val="continue"/>
                  <w:vAlign w:val="center"/>
                </w:tcPr>
                <w:p>
                  <w:pPr>
                    <w:adjustRightInd w:val="0"/>
                    <w:snapToGrid w:val="0"/>
                    <w:spacing w:line="240" w:lineRule="exact"/>
                    <w:jc w:val="center"/>
                    <w:rPr>
                      <w:bCs/>
                      <w:sz w:val="18"/>
                      <w:szCs w:val="18"/>
                    </w:rPr>
                  </w:pPr>
                </w:p>
              </w:tc>
              <w:tc>
                <w:tcPr>
                  <w:tcW w:w="1171" w:type="dxa"/>
                  <w:vAlign w:val="center"/>
                </w:tcPr>
                <w:p>
                  <w:pPr>
                    <w:adjustRightInd w:val="0"/>
                    <w:snapToGrid w:val="0"/>
                    <w:jc w:val="center"/>
                    <w:rPr>
                      <w:color w:val="FF0000"/>
                      <w:sz w:val="18"/>
                      <w:szCs w:val="18"/>
                    </w:rPr>
                  </w:pPr>
                  <w:r>
                    <w:rPr>
                      <w:rFonts w:hint="eastAsia"/>
                      <w:color w:val="FF0000"/>
                      <w:sz w:val="18"/>
                      <w:szCs w:val="18"/>
                    </w:rPr>
                    <w:t>残次品</w:t>
                  </w:r>
                </w:p>
              </w:tc>
              <w:tc>
                <w:tcPr>
                  <w:tcW w:w="1252" w:type="dxa"/>
                  <w:vMerge w:val="continue"/>
                  <w:vAlign w:val="center"/>
                </w:tcPr>
                <w:p>
                  <w:pPr>
                    <w:adjustRightInd w:val="0"/>
                    <w:snapToGrid w:val="0"/>
                    <w:spacing w:line="240" w:lineRule="exact"/>
                    <w:jc w:val="center"/>
                    <w:rPr>
                      <w:bCs/>
                      <w:color w:val="FF0000"/>
                      <w:sz w:val="18"/>
                      <w:szCs w:val="18"/>
                    </w:rPr>
                  </w:pPr>
                </w:p>
              </w:tc>
              <w:tc>
                <w:tcPr>
                  <w:tcW w:w="1140"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855" w:type="dxa"/>
                  <w:vAlign w:val="center"/>
                </w:tcPr>
                <w:p>
                  <w:pPr>
                    <w:adjustRightInd w:val="0"/>
                    <w:snapToGrid w:val="0"/>
                    <w:spacing w:line="240" w:lineRule="exact"/>
                    <w:jc w:val="center"/>
                    <w:rPr>
                      <w:bCs/>
                      <w:color w:val="FF0000"/>
                      <w:sz w:val="18"/>
                      <w:szCs w:val="18"/>
                    </w:rPr>
                  </w:pPr>
                  <w:r>
                    <w:rPr>
                      <w:rFonts w:hint="eastAsia"/>
                      <w:bCs/>
                      <w:color w:val="FF0000"/>
                      <w:sz w:val="18"/>
                      <w:szCs w:val="18"/>
                    </w:rPr>
                    <w:t>固态</w:t>
                  </w:r>
                </w:p>
              </w:tc>
              <w:tc>
                <w:tcPr>
                  <w:tcW w:w="1323"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947" w:type="dxa"/>
                  <w:vAlign w:val="center"/>
                </w:tcPr>
                <w:p>
                  <w:pPr>
                    <w:adjustRightInd w:val="0"/>
                    <w:snapToGrid w:val="0"/>
                    <w:jc w:val="center"/>
                    <w:rPr>
                      <w:color w:val="FF0000"/>
                      <w:sz w:val="18"/>
                      <w:szCs w:val="18"/>
                    </w:rPr>
                  </w:pPr>
                  <w:r>
                    <w:rPr>
                      <w:rFonts w:hint="eastAsia"/>
                      <w:color w:val="FF0000"/>
                      <w:sz w:val="18"/>
                      <w:szCs w:val="18"/>
                    </w:rPr>
                    <w:t>2.2</w:t>
                  </w:r>
                </w:p>
              </w:tc>
              <w:tc>
                <w:tcPr>
                  <w:tcW w:w="1676" w:type="dxa"/>
                  <w:vAlign w:val="center"/>
                </w:tcPr>
                <w:p>
                  <w:pPr>
                    <w:adjustRightInd w:val="0"/>
                    <w:snapToGrid w:val="0"/>
                    <w:spacing w:line="240" w:lineRule="exact"/>
                    <w:jc w:val="center"/>
                    <w:rPr>
                      <w:bCs/>
                      <w:color w:val="FF0000"/>
                      <w:sz w:val="18"/>
                      <w:szCs w:val="18"/>
                    </w:rPr>
                  </w:pPr>
                  <w:r>
                    <w:rPr>
                      <w:rFonts w:hint="eastAsia"/>
                      <w:bCs/>
                      <w:color w:val="FF0000"/>
                      <w:sz w:val="18"/>
                      <w:szCs w:val="18"/>
                    </w:rPr>
                    <w:t>袋装</w:t>
                  </w:r>
                </w:p>
              </w:tc>
              <w:tc>
                <w:tcPr>
                  <w:tcW w:w="1968" w:type="dxa"/>
                  <w:vMerge w:val="continue"/>
                  <w:vAlign w:val="center"/>
                </w:tcPr>
                <w:p>
                  <w:pPr>
                    <w:adjustRightInd w:val="0"/>
                    <w:spacing w:line="240" w:lineRule="atLeast"/>
                    <w:jc w:val="center"/>
                    <w:rPr>
                      <w:bCs/>
                      <w:color w:val="FF0000"/>
                      <w:szCs w:val="18"/>
                    </w:rPr>
                  </w:pPr>
                </w:p>
              </w:tc>
              <w:tc>
                <w:tcPr>
                  <w:tcW w:w="1143" w:type="dxa"/>
                  <w:vAlign w:val="center"/>
                </w:tcPr>
                <w:p>
                  <w:pPr>
                    <w:adjustRightInd w:val="0"/>
                    <w:snapToGrid w:val="0"/>
                    <w:jc w:val="center"/>
                    <w:rPr>
                      <w:sz w:val="18"/>
                      <w:szCs w:val="18"/>
                    </w:rPr>
                  </w:pPr>
                  <w:r>
                    <w:rPr>
                      <w:rFonts w:hint="eastAsia"/>
                      <w:color w:val="FF0000"/>
                      <w:sz w:val="18"/>
                      <w:szCs w:val="18"/>
                    </w:rPr>
                    <w:t>2.2</w:t>
                  </w:r>
                </w:p>
              </w:tc>
              <w:tc>
                <w:tcPr>
                  <w:tcW w:w="1777" w:type="dxa"/>
                  <w:vMerge w:val="continue"/>
                  <w:vAlign w:val="center"/>
                </w:tcPr>
                <w:p>
                  <w:pPr>
                    <w:adjustRightInd w:val="0"/>
                    <w:snapToGrid w:val="0"/>
                    <w:spacing w:line="240" w:lineRule="exact"/>
                    <w:jc w:val="center"/>
                    <w:rPr>
                      <w:bCs/>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12" w:hRule="atLeast"/>
                <w:jc w:val="center"/>
              </w:trPr>
              <w:tc>
                <w:tcPr>
                  <w:tcW w:w="1118" w:type="dxa"/>
                  <w:vMerge w:val="continue"/>
                  <w:vAlign w:val="center"/>
                </w:tcPr>
                <w:p>
                  <w:pPr>
                    <w:adjustRightInd w:val="0"/>
                    <w:snapToGrid w:val="0"/>
                    <w:spacing w:line="240" w:lineRule="exact"/>
                    <w:jc w:val="center"/>
                    <w:rPr>
                      <w:bCs/>
                      <w:sz w:val="18"/>
                      <w:szCs w:val="18"/>
                    </w:rPr>
                  </w:pPr>
                </w:p>
              </w:tc>
              <w:tc>
                <w:tcPr>
                  <w:tcW w:w="1171" w:type="dxa"/>
                  <w:vAlign w:val="center"/>
                </w:tcPr>
                <w:p>
                  <w:pPr>
                    <w:adjustRightInd w:val="0"/>
                    <w:snapToGrid w:val="0"/>
                    <w:jc w:val="center"/>
                    <w:rPr>
                      <w:color w:val="FF0000"/>
                      <w:sz w:val="18"/>
                      <w:szCs w:val="18"/>
                    </w:rPr>
                  </w:pPr>
                  <w:r>
                    <w:rPr>
                      <w:rFonts w:hint="eastAsia"/>
                      <w:color w:val="FF0000"/>
                      <w:sz w:val="18"/>
                      <w:szCs w:val="18"/>
                    </w:rPr>
                    <w:t>布袋除尘灰</w:t>
                  </w:r>
                </w:p>
              </w:tc>
              <w:tc>
                <w:tcPr>
                  <w:tcW w:w="1252" w:type="dxa"/>
                  <w:vMerge w:val="continue"/>
                  <w:vAlign w:val="center"/>
                </w:tcPr>
                <w:p>
                  <w:pPr>
                    <w:adjustRightInd w:val="0"/>
                    <w:snapToGrid w:val="0"/>
                    <w:spacing w:line="240" w:lineRule="exact"/>
                    <w:jc w:val="center"/>
                    <w:rPr>
                      <w:bCs/>
                      <w:color w:val="FF0000"/>
                      <w:sz w:val="18"/>
                      <w:szCs w:val="18"/>
                    </w:rPr>
                  </w:pPr>
                </w:p>
              </w:tc>
              <w:tc>
                <w:tcPr>
                  <w:tcW w:w="1140"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855" w:type="dxa"/>
                  <w:vAlign w:val="center"/>
                </w:tcPr>
                <w:p>
                  <w:pPr>
                    <w:adjustRightInd w:val="0"/>
                    <w:snapToGrid w:val="0"/>
                    <w:spacing w:line="240" w:lineRule="exact"/>
                    <w:jc w:val="center"/>
                    <w:rPr>
                      <w:bCs/>
                      <w:color w:val="FF0000"/>
                      <w:sz w:val="18"/>
                      <w:szCs w:val="18"/>
                    </w:rPr>
                  </w:pPr>
                  <w:r>
                    <w:rPr>
                      <w:rFonts w:hint="eastAsia"/>
                      <w:bCs/>
                      <w:color w:val="FF0000"/>
                      <w:sz w:val="18"/>
                      <w:szCs w:val="18"/>
                    </w:rPr>
                    <w:t>固态</w:t>
                  </w:r>
                </w:p>
              </w:tc>
              <w:tc>
                <w:tcPr>
                  <w:tcW w:w="1323" w:type="dxa"/>
                  <w:vAlign w:val="center"/>
                </w:tcPr>
                <w:p>
                  <w:pPr>
                    <w:adjustRightInd w:val="0"/>
                    <w:snapToGrid w:val="0"/>
                    <w:spacing w:line="240" w:lineRule="exact"/>
                    <w:jc w:val="center"/>
                    <w:rPr>
                      <w:bCs/>
                      <w:color w:val="FF0000"/>
                      <w:sz w:val="18"/>
                      <w:szCs w:val="18"/>
                    </w:rPr>
                  </w:pPr>
                  <w:r>
                    <w:rPr>
                      <w:rFonts w:hint="eastAsia"/>
                      <w:bCs/>
                      <w:color w:val="FF0000"/>
                      <w:sz w:val="18"/>
                      <w:szCs w:val="18"/>
                    </w:rPr>
                    <w:t>/</w:t>
                  </w:r>
                </w:p>
              </w:tc>
              <w:tc>
                <w:tcPr>
                  <w:tcW w:w="947" w:type="dxa"/>
                  <w:vAlign w:val="center"/>
                </w:tcPr>
                <w:p>
                  <w:pPr>
                    <w:adjustRightInd w:val="0"/>
                    <w:snapToGrid w:val="0"/>
                    <w:jc w:val="center"/>
                    <w:rPr>
                      <w:color w:val="FF0000"/>
                      <w:sz w:val="18"/>
                      <w:szCs w:val="18"/>
                    </w:rPr>
                  </w:pPr>
                  <w:r>
                    <w:rPr>
                      <w:rFonts w:hint="eastAsia"/>
                      <w:color w:val="FF0000"/>
                      <w:sz w:val="18"/>
                      <w:szCs w:val="18"/>
                    </w:rPr>
                    <w:t>0.196</w:t>
                  </w:r>
                </w:p>
              </w:tc>
              <w:tc>
                <w:tcPr>
                  <w:tcW w:w="1676" w:type="dxa"/>
                  <w:vAlign w:val="center"/>
                </w:tcPr>
                <w:p>
                  <w:pPr>
                    <w:adjustRightInd w:val="0"/>
                    <w:snapToGrid w:val="0"/>
                    <w:spacing w:line="240" w:lineRule="exact"/>
                    <w:jc w:val="center"/>
                    <w:rPr>
                      <w:bCs/>
                      <w:color w:val="FF0000"/>
                      <w:sz w:val="18"/>
                      <w:szCs w:val="18"/>
                    </w:rPr>
                  </w:pPr>
                  <w:r>
                    <w:rPr>
                      <w:rFonts w:hint="eastAsia"/>
                      <w:bCs/>
                      <w:color w:val="FF0000"/>
                      <w:sz w:val="18"/>
                      <w:szCs w:val="18"/>
                    </w:rPr>
                    <w:t>袋装</w:t>
                  </w:r>
                </w:p>
              </w:tc>
              <w:tc>
                <w:tcPr>
                  <w:tcW w:w="1968" w:type="dxa"/>
                  <w:vMerge w:val="continue"/>
                  <w:vAlign w:val="center"/>
                </w:tcPr>
                <w:p>
                  <w:pPr>
                    <w:adjustRightInd w:val="0"/>
                    <w:spacing w:line="240" w:lineRule="atLeast"/>
                    <w:jc w:val="center"/>
                    <w:rPr>
                      <w:bCs/>
                      <w:color w:val="FF0000"/>
                      <w:szCs w:val="18"/>
                    </w:rPr>
                  </w:pPr>
                </w:p>
              </w:tc>
              <w:tc>
                <w:tcPr>
                  <w:tcW w:w="1143" w:type="dxa"/>
                  <w:vAlign w:val="center"/>
                </w:tcPr>
                <w:p>
                  <w:pPr>
                    <w:adjustRightInd w:val="0"/>
                    <w:snapToGrid w:val="0"/>
                    <w:jc w:val="center"/>
                    <w:rPr>
                      <w:sz w:val="18"/>
                      <w:szCs w:val="18"/>
                    </w:rPr>
                  </w:pPr>
                  <w:r>
                    <w:rPr>
                      <w:rFonts w:hint="eastAsia"/>
                      <w:color w:val="FF0000"/>
                      <w:sz w:val="18"/>
                      <w:szCs w:val="18"/>
                    </w:rPr>
                    <w:t>0.196</w:t>
                  </w:r>
                </w:p>
              </w:tc>
              <w:tc>
                <w:tcPr>
                  <w:tcW w:w="1777" w:type="dxa"/>
                  <w:vMerge w:val="continue"/>
                  <w:vAlign w:val="center"/>
                </w:tcPr>
                <w:p>
                  <w:pPr>
                    <w:adjustRightInd w:val="0"/>
                    <w:snapToGrid w:val="0"/>
                    <w:spacing w:line="240" w:lineRule="exact"/>
                    <w:jc w:val="center"/>
                    <w:rPr>
                      <w:bCs/>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23" w:hRule="atLeast"/>
                <w:jc w:val="center"/>
              </w:trPr>
              <w:tc>
                <w:tcPr>
                  <w:tcW w:w="1118" w:type="dxa"/>
                  <w:vMerge w:val="continue"/>
                  <w:vAlign w:val="center"/>
                </w:tcPr>
                <w:p>
                  <w:pPr>
                    <w:adjustRightInd w:val="0"/>
                    <w:snapToGrid w:val="0"/>
                    <w:spacing w:line="240" w:lineRule="exact"/>
                    <w:jc w:val="center"/>
                    <w:rPr>
                      <w:bCs/>
                      <w:sz w:val="18"/>
                      <w:szCs w:val="18"/>
                    </w:rPr>
                  </w:pPr>
                </w:p>
              </w:tc>
              <w:tc>
                <w:tcPr>
                  <w:tcW w:w="1171" w:type="dxa"/>
                  <w:vAlign w:val="center"/>
                </w:tcPr>
                <w:p>
                  <w:pPr>
                    <w:adjustRightInd w:val="0"/>
                    <w:snapToGrid w:val="0"/>
                    <w:jc w:val="center"/>
                    <w:rPr>
                      <w:color w:val="FF0000"/>
                      <w:sz w:val="18"/>
                      <w:szCs w:val="18"/>
                    </w:rPr>
                  </w:pPr>
                  <w:r>
                    <w:rPr>
                      <w:rFonts w:hint="eastAsia"/>
                      <w:color w:val="FF0000"/>
                      <w:sz w:val="18"/>
                      <w:szCs w:val="18"/>
                    </w:rPr>
                    <w:t>废切削液</w:t>
                  </w:r>
                </w:p>
              </w:tc>
              <w:tc>
                <w:tcPr>
                  <w:tcW w:w="1252" w:type="dxa"/>
                  <w:vAlign w:val="center"/>
                </w:tcPr>
                <w:p>
                  <w:pPr>
                    <w:snapToGrid w:val="0"/>
                    <w:spacing w:line="240" w:lineRule="exact"/>
                    <w:jc w:val="center"/>
                    <w:rPr>
                      <w:bCs/>
                      <w:color w:val="FF0000"/>
                      <w:sz w:val="18"/>
                      <w:szCs w:val="18"/>
                    </w:rPr>
                  </w:pPr>
                  <w:r>
                    <w:rPr>
                      <w:color w:val="FF0000"/>
                      <w:sz w:val="18"/>
                      <w:szCs w:val="18"/>
                    </w:rPr>
                    <w:t>危险废物</w:t>
                  </w:r>
                </w:p>
              </w:tc>
              <w:tc>
                <w:tcPr>
                  <w:tcW w:w="1140" w:type="dxa"/>
                  <w:vAlign w:val="center"/>
                </w:tcPr>
                <w:p>
                  <w:pPr>
                    <w:topLinePunct/>
                    <w:snapToGrid w:val="0"/>
                    <w:spacing w:line="240" w:lineRule="exact"/>
                    <w:jc w:val="center"/>
                    <w:rPr>
                      <w:bCs/>
                      <w:color w:val="FF0000"/>
                      <w:sz w:val="18"/>
                      <w:szCs w:val="18"/>
                    </w:rPr>
                  </w:pPr>
                  <w:r>
                    <w:rPr>
                      <w:rFonts w:hint="eastAsia"/>
                      <w:bCs/>
                      <w:color w:val="FF0000"/>
                      <w:sz w:val="18"/>
                      <w:szCs w:val="18"/>
                    </w:rPr>
                    <w:t>切</w:t>
                  </w:r>
                  <w:r>
                    <w:rPr>
                      <w:rFonts w:hint="eastAsia"/>
                      <w:color w:val="FF0000"/>
                      <w:sz w:val="18"/>
                      <w:szCs w:val="18"/>
                    </w:rPr>
                    <w:t>削液</w:t>
                  </w:r>
                </w:p>
              </w:tc>
              <w:tc>
                <w:tcPr>
                  <w:tcW w:w="855" w:type="dxa"/>
                  <w:vAlign w:val="center"/>
                </w:tcPr>
                <w:p>
                  <w:pPr>
                    <w:adjustRightInd w:val="0"/>
                    <w:snapToGrid w:val="0"/>
                    <w:spacing w:line="240" w:lineRule="exact"/>
                    <w:jc w:val="center"/>
                    <w:rPr>
                      <w:bCs/>
                      <w:color w:val="FF0000"/>
                      <w:sz w:val="18"/>
                      <w:szCs w:val="18"/>
                    </w:rPr>
                  </w:pPr>
                  <w:r>
                    <w:rPr>
                      <w:bCs/>
                      <w:color w:val="FF0000"/>
                      <w:sz w:val="18"/>
                      <w:szCs w:val="18"/>
                    </w:rPr>
                    <w:t>液态</w:t>
                  </w:r>
                </w:p>
              </w:tc>
              <w:tc>
                <w:tcPr>
                  <w:tcW w:w="1323" w:type="dxa"/>
                  <w:vAlign w:val="center"/>
                </w:tcPr>
                <w:p>
                  <w:pPr>
                    <w:topLinePunct/>
                    <w:snapToGrid w:val="0"/>
                    <w:spacing w:line="240" w:lineRule="exact"/>
                    <w:jc w:val="center"/>
                    <w:rPr>
                      <w:bCs/>
                      <w:color w:val="FF0000"/>
                      <w:sz w:val="18"/>
                      <w:szCs w:val="18"/>
                    </w:rPr>
                  </w:pPr>
                  <w:r>
                    <w:rPr>
                      <w:color w:val="FF0000"/>
                      <w:sz w:val="18"/>
                      <w:szCs w:val="18"/>
                    </w:rPr>
                    <w:t>T</w:t>
                  </w:r>
                </w:p>
              </w:tc>
              <w:tc>
                <w:tcPr>
                  <w:tcW w:w="947" w:type="dxa"/>
                  <w:vAlign w:val="center"/>
                </w:tcPr>
                <w:p>
                  <w:pPr>
                    <w:pStyle w:val="25"/>
                    <w:jc w:val="center"/>
                    <w:rPr>
                      <w:bCs/>
                      <w:color w:val="FF0000"/>
                      <w:szCs w:val="18"/>
                    </w:rPr>
                  </w:pPr>
                  <w:r>
                    <w:rPr>
                      <w:rFonts w:hint="eastAsia"/>
                      <w:color w:val="FF0000"/>
                      <w:szCs w:val="18"/>
                    </w:rPr>
                    <w:t>6</w:t>
                  </w:r>
                </w:p>
              </w:tc>
              <w:tc>
                <w:tcPr>
                  <w:tcW w:w="1676" w:type="dxa"/>
                  <w:vAlign w:val="center"/>
                </w:tcPr>
                <w:p>
                  <w:pPr>
                    <w:topLinePunct/>
                    <w:snapToGrid w:val="0"/>
                    <w:spacing w:line="240" w:lineRule="exact"/>
                    <w:jc w:val="center"/>
                    <w:rPr>
                      <w:bCs/>
                      <w:color w:val="FF0000"/>
                      <w:sz w:val="18"/>
                      <w:szCs w:val="18"/>
                    </w:rPr>
                  </w:pPr>
                  <w:r>
                    <w:rPr>
                      <w:color w:val="FF0000"/>
                      <w:sz w:val="18"/>
                      <w:szCs w:val="18"/>
                    </w:rPr>
                    <w:t>桶装于危废暂存间</w:t>
                  </w:r>
                </w:p>
              </w:tc>
              <w:tc>
                <w:tcPr>
                  <w:tcW w:w="1968" w:type="dxa"/>
                  <w:vAlign w:val="center"/>
                </w:tcPr>
                <w:p>
                  <w:pPr>
                    <w:pStyle w:val="25"/>
                    <w:adjustRightInd w:val="0"/>
                    <w:spacing w:line="240" w:lineRule="atLeast"/>
                    <w:jc w:val="center"/>
                    <w:rPr>
                      <w:bCs/>
                      <w:color w:val="FF0000"/>
                      <w:szCs w:val="18"/>
                    </w:rPr>
                  </w:pPr>
                  <w:r>
                    <w:rPr>
                      <w:rFonts w:hint="eastAsia"/>
                      <w:bCs/>
                      <w:color w:val="FF0000"/>
                      <w:szCs w:val="18"/>
                    </w:rPr>
                    <w:t>交由有资质单位处置</w:t>
                  </w:r>
                </w:p>
              </w:tc>
              <w:tc>
                <w:tcPr>
                  <w:tcW w:w="1143" w:type="dxa"/>
                  <w:vAlign w:val="center"/>
                </w:tcPr>
                <w:p>
                  <w:pPr>
                    <w:adjustRightInd w:val="0"/>
                    <w:snapToGrid w:val="0"/>
                    <w:jc w:val="center"/>
                    <w:rPr>
                      <w:sz w:val="18"/>
                      <w:szCs w:val="18"/>
                    </w:rPr>
                  </w:pPr>
                  <w:r>
                    <w:rPr>
                      <w:rFonts w:hint="eastAsia"/>
                      <w:color w:val="FF0000"/>
                      <w:sz w:val="18"/>
                      <w:szCs w:val="18"/>
                    </w:rPr>
                    <w:t>6</w:t>
                  </w:r>
                </w:p>
              </w:tc>
              <w:tc>
                <w:tcPr>
                  <w:tcW w:w="1777" w:type="dxa"/>
                  <w:vMerge w:val="continue"/>
                  <w:vAlign w:val="center"/>
                </w:tcPr>
                <w:p>
                  <w:pPr>
                    <w:adjustRightInd w:val="0"/>
                    <w:snapToGrid w:val="0"/>
                    <w:spacing w:line="240" w:lineRule="exact"/>
                    <w:jc w:val="center"/>
                    <w:rPr>
                      <w:bCs/>
                      <w:sz w:val="18"/>
                      <w:szCs w:val="18"/>
                    </w:rPr>
                  </w:pPr>
                </w:p>
              </w:tc>
            </w:tr>
          </w:tbl>
          <w:p>
            <w:pPr>
              <w:adjustRightInd w:val="0"/>
              <w:snapToGrid w:val="0"/>
              <w:spacing w:before="120" w:beforeLines="50"/>
              <w:jc w:val="center"/>
              <w:rPr>
                <w:b/>
                <w:szCs w:val="21"/>
              </w:rPr>
            </w:pPr>
            <w:r>
              <w:rPr>
                <w:b/>
                <w:szCs w:val="21"/>
              </w:rPr>
              <w:t>表4-11  危险废物汇总表</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516"/>
              <w:gridCol w:w="1534"/>
              <w:gridCol w:w="1577"/>
              <w:gridCol w:w="1272"/>
              <w:gridCol w:w="1712"/>
              <w:gridCol w:w="675"/>
              <w:gridCol w:w="1109"/>
              <w:gridCol w:w="1243"/>
              <w:gridCol w:w="1378"/>
              <w:gridCol w:w="1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 w:type="pct"/>
                  <w:vAlign w:val="center"/>
                </w:tcPr>
                <w:p>
                  <w:pPr>
                    <w:pStyle w:val="369"/>
                    <w:rPr>
                      <w:rFonts w:ascii="Times New Roman" w:hAnsi="Times New Roman" w:eastAsia="宋体" w:cs="Times New Roman"/>
                      <w:b/>
                      <w:bCs/>
                    </w:rPr>
                  </w:pPr>
                  <w:r>
                    <w:rPr>
                      <w:rFonts w:ascii="Times New Roman" w:hAnsi="Times New Roman" w:eastAsia="宋体" w:cs="Times New Roman"/>
                      <w:b/>
                      <w:bCs/>
                    </w:rPr>
                    <w:t>序号</w:t>
                  </w:r>
                </w:p>
              </w:tc>
              <w:tc>
                <w:tcPr>
                  <w:tcW w:w="528" w:type="pct"/>
                  <w:vAlign w:val="center"/>
                </w:tcPr>
                <w:p>
                  <w:pPr>
                    <w:pStyle w:val="369"/>
                    <w:rPr>
                      <w:rFonts w:ascii="Times New Roman" w:hAnsi="Times New Roman" w:eastAsia="宋体" w:cs="Times New Roman"/>
                      <w:b/>
                      <w:bCs/>
                    </w:rPr>
                  </w:pPr>
                  <w:r>
                    <w:rPr>
                      <w:rFonts w:ascii="Times New Roman" w:hAnsi="Times New Roman" w:eastAsia="宋体" w:cs="Times New Roman"/>
                      <w:b/>
                      <w:bCs/>
                    </w:rPr>
                    <w:t>危险废物名称</w:t>
                  </w:r>
                </w:p>
              </w:tc>
              <w:tc>
                <w:tcPr>
                  <w:tcW w:w="534" w:type="pct"/>
                  <w:vAlign w:val="center"/>
                </w:tcPr>
                <w:p>
                  <w:pPr>
                    <w:pStyle w:val="369"/>
                    <w:rPr>
                      <w:rFonts w:ascii="Times New Roman" w:hAnsi="Times New Roman" w:eastAsia="宋体" w:cs="Times New Roman"/>
                      <w:b/>
                      <w:bCs/>
                    </w:rPr>
                  </w:pPr>
                  <w:r>
                    <w:rPr>
                      <w:rFonts w:ascii="Times New Roman" w:hAnsi="Times New Roman" w:eastAsia="宋体" w:cs="Times New Roman"/>
                      <w:b/>
                      <w:bCs/>
                    </w:rPr>
                    <w:t>危险废物类别</w:t>
                  </w:r>
                </w:p>
              </w:tc>
              <w:tc>
                <w:tcPr>
                  <w:tcW w:w="549" w:type="pct"/>
                  <w:vAlign w:val="center"/>
                </w:tcPr>
                <w:p>
                  <w:pPr>
                    <w:pStyle w:val="369"/>
                    <w:rPr>
                      <w:rFonts w:ascii="Times New Roman" w:hAnsi="Times New Roman" w:eastAsia="宋体" w:cs="Times New Roman"/>
                      <w:b/>
                      <w:bCs/>
                    </w:rPr>
                  </w:pPr>
                  <w:r>
                    <w:rPr>
                      <w:rFonts w:ascii="Times New Roman" w:hAnsi="Times New Roman" w:eastAsia="宋体" w:cs="Times New Roman"/>
                      <w:b/>
                      <w:bCs/>
                    </w:rPr>
                    <w:t>危险废物代码</w:t>
                  </w:r>
                </w:p>
              </w:tc>
              <w:tc>
                <w:tcPr>
                  <w:tcW w:w="443" w:type="pct"/>
                  <w:vAlign w:val="center"/>
                </w:tcPr>
                <w:p>
                  <w:pPr>
                    <w:pStyle w:val="369"/>
                    <w:rPr>
                      <w:rFonts w:ascii="Times New Roman" w:hAnsi="Times New Roman" w:eastAsia="宋体" w:cs="Times New Roman"/>
                      <w:b/>
                      <w:bCs/>
                    </w:rPr>
                  </w:pPr>
                  <w:r>
                    <w:rPr>
                      <w:rFonts w:ascii="Times New Roman" w:hAnsi="Times New Roman" w:eastAsia="宋体" w:cs="Times New Roman"/>
                      <w:b/>
                      <w:bCs/>
                    </w:rPr>
                    <w:t>产生量</w:t>
                  </w:r>
                </w:p>
              </w:tc>
              <w:tc>
                <w:tcPr>
                  <w:tcW w:w="596" w:type="pct"/>
                  <w:vAlign w:val="center"/>
                </w:tcPr>
                <w:p>
                  <w:pPr>
                    <w:pStyle w:val="369"/>
                    <w:rPr>
                      <w:rFonts w:ascii="Times New Roman" w:hAnsi="Times New Roman" w:eastAsia="宋体" w:cs="Times New Roman"/>
                      <w:b/>
                      <w:bCs/>
                    </w:rPr>
                  </w:pPr>
                  <w:r>
                    <w:rPr>
                      <w:rFonts w:ascii="Times New Roman" w:hAnsi="Times New Roman" w:eastAsia="宋体" w:cs="Times New Roman"/>
                      <w:b/>
                      <w:bCs/>
                    </w:rPr>
                    <w:t>产生工序及装置</w:t>
                  </w:r>
                </w:p>
              </w:tc>
              <w:tc>
                <w:tcPr>
                  <w:tcW w:w="235" w:type="pct"/>
                  <w:vAlign w:val="center"/>
                </w:tcPr>
                <w:p>
                  <w:pPr>
                    <w:pStyle w:val="369"/>
                    <w:rPr>
                      <w:rFonts w:ascii="Times New Roman" w:hAnsi="Times New Roman" w:eastAsia="宋体" w:cs="Times New Roman"/>
                      <w:b/>
                      <w:bCs/>
                    </w:rPr>
                  </w:pPr>
                  <w:r>
                    <w:rPr>
                      <w:rFonts w:ascii="Times New Roman" w:hAnsi="Times New Roman" w:eastAsia="宋体" w:cs="Times New Roman"/>
                      <w:b/>
                      <w:bCs/>
                    </w:rPr>
                    <w:t>形态</w:t>
                  </w:r>
                </w:p>
              </w:tc>
              <w:tc>
                <w:tcPr>
                  <w:tcW w:w="386" w:type="pct"/>
                  <w:vAlign w:val="center"/>
                </w:tcPr>
                <w:p>
                  <w:pPr>
                    <w:pStyle w:val="369"/>
                    <w:rPr>
                      <w:rFonts w:ascii="Times New Roman" w:hAnsi="Times New Roman" w:eastAsia="宋体" w:cs="Times New Roman"/>
                      <w:b/>
                      <w:bCs/>
                    </w:rPr>
                  </w:pPr>
                  <w:r>
                    <w:rPr>
                      <w:rFonts w:ascii="Times New Roman" w:hAnsi="Times New Roman" w:eastAsia="宋体" w:cs="Times New Roman"/>
                      <w:b/>
                      <w:bCs/>
                    </w:rPr>
                    <w:t>主要成分</w:t>
                  </w:r>
                </w:p>
              </w:tc>
              <w:tc>
                <w:tcPr>
                  <w:tcW w:w="433" w:type="pct"/>
                  <w:vAlign w:val="center"/>
                </w:tcPr>
                <w:p>
                  <w:pPr>
                    <w:pStyle w:val="369"/>
                    <w:rPr>
                      <w:rFonts w:ascii="Times New Roman" w:hAnsi="Times New Roman" w:eastAsia="宋体" w:cs="Times New Roman"/>
                      <w:b/>
                      <w:bCs/>
                    </w:rPr>
                  </w:pPr>
                  <w:r>
                    <w:rPr>
                      <w:rFonts w:ascii="Times New Roman" w:hAnsi="Times New Roman" w:eastAsia="宋体" w:cs="Times New Roman"/>
                      <w:b/>
                      <w:bCs/>
                    </w:rPr>
                    <w:t>产废周期</w:t>
                  </w:r>
                </w:p>
              </w:tc>
              <w:tc>
                <w:tcPr>
                  <w:tcW w:w="480" w:type="pct"/>
                  <w:vAlign w:val="center"/>
                </w:tcPr>
                <w:p>
                  <w:pPr>
                    <w:pStyle w:val="369"/>
                    <w:rPr>
                      <w:rFonts w:ascii="Times New Roman" w:hAnsi="Times New Roman" w:eastAsia="宋体" w:cs="Times New Roman"/>
                      <w:b/>
                      <w:bCs/>
                    </w:rPr>
                  </w:pPr>
                  <w:r>
                    <w:rPr>
                      <w:rFonts w:ascii="Times New Roman" w:hAnsi="Times New Roman" w:eastAsia="宋体" w:cs="Times New Roman"/>
                      <w:b/>
                      <w:bCs/>
                    </w:rPr>
                    <w:t>危险特性</w:t>
                  </w:r>
                </w:p>
              </w:tc>
              <w:tc>
                <w:tcPr>
                  <w:tcW w:w="539" w:type="pct"/>
                  <w:vAlign w:val="center"/>
                </w:tcPr>
                <w:p>
                  <w:pPr>
                    <w:pStyle w:val="369"/>
                    <w:rPr>
                      <w:rFonts w:ascii="Times New Roman" w:hAnsi="Times New Roman" w:eastAsia="宋体" w:cs="Times New Roman"/>
                      <w:b/>
                      <w:bCs/>
                    </w:rPr>
                  </w:pPr>
                  <w:r>
                    <w:rPr>
                      <w:rFonts w:ascii="Times New Roman" w:hAnsi="Times New Roman" w:eastAsia="宋体" w:cs="Times New Roman"/>
                      <w:b/>
                      <w:bCs/>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Align w:val="center"/>
                </w:tcPr>
                <w:p>
                  <w:pPr>
                    <w:pStyle w:val="369"/>
                    <w:rPr>
                      <w:rFonts w:ascii="Times New Roman" w:hAnsi="Times New Roman" w:eastAsia="宋体" w:cs="Times New Roman"/>
                    </w:rPr>
                  </w:pPr>
                  <w:r>
                    <w:rPr>
                      <w:rFonts w:ascii="Times New Roman" w:hAnsi="Times New Roman" w:eastAsia="宋体" w:cs="Times New Roman"/>
                    </w:rPr>
                    <w:t>1</w:t>
                  </w:r>
                </w:p>
              </w:tc>
              <w:tc>
                <w:tcPr>
                  <w:tcW w:w="528" w:type="pct"/>
                  <w:vAlign w:val="center"/>
                </w:tcPr>
                <w:p>
                  <w:pPr>
                    <w:jc w:val="center"/>
                    <w:rPr>
                      <w:szCs w:val="21"/>
                    </w:rPr>
                  </w:pPr>
                  <w:r>
                    <w:rPr>
                      <w:rFonts w:hint="eastAsia"/>
                      <w:szCs w:val="21"/>
                    </w:rPr>
                    <w:t>废切削液</w:t>
                  </w:r>
                </w:p>
              </w:tc>
              <w:tc>
                <w:tcPr>
                  <w:tcW w:w="534" w:type="pct"/>
                  <w:vAlign w:val="center"/>
                </w:tcPr>
                <w:p>
                  <w:pPr>
                    <w:pStyle w:val="369"/>
                    <w:rPr>
                      <w:rFonts w:ascii="Times New Roman" w:hAnsi="Times New Roman" w:eastAsia="宋体" w:cs="Times New Roman"/>
                    </w:rPr>
                  </w:pPr>
                  <w:r>
                    <w:rPr>
                      <w:rFonts w:ascii="Times New Roman" w:hAnsi="Times New Roman" w:eastAsia="宋体" w:cs="Times New Roman"/>
                    </w:rPr>
                    <w:t>HW</w:t>
                  </w:r>
                  <w:r>
                    <w:rPr>
                      <w:rFonts w:hint="eastAsia" w:ascii="Times New Roman" w:hAnsi="Times New Roman" w:eastAsia="宋体" w:cs="Times New Roman"/>
                    </w:rPr>
                    <w:t>09</w:t>
                  </w:r>
                </w:p>
              </w:tc>
              <w:tc>
                <w:tcPr>
                  <w:tcW w:w="549" w:type="pct"/>
                  <w:vAlign w:val="center"/>
                </w:tcPr>
                <w:p>
                  <w:pPr>
                    <w:pStyle w:val="369"/>
                    <w:rPr>
                      <w:rFonts w:ascii="Times New Roman" w:hAnsi="Times New Roman" w:eastAsia="宋体" w:cs="Times New Roman"/>
                    </w:rPr>
                  </w:pPr>
                  <w:r>
                    <w:rPr>
                      <w:rFonts w:ascii="Times New Roman" w:hAnsi="Times New Roman" w:eastAsia="宋体" w:cs="Times New Roman"/>
                    </w:rPr>
                    <w:t>900-0</w:t>
                  </w:r>
                  <w:r>
                    <w:rPr>
                      <w:rFonts w:hint="eastAsia" w:ascii="Times New Roman" w:hAnsi="Times New Roman" w:eastAsia="宋体" w:cs="Times New Roman"/>
                    </w:rPr>
                    <w:t>06</w:t>
                  </w:r>
                  <w:r>
                    <w:rPr>
                      <w:rFonts w:ascii="Times New Roman" w:hAnsi="Times New Roman" w:eastAsia="宋体" w:cs="Times New Roman"/>
                    </w:rPr>
                    <w:t>-</w:t>
                  </w:r>
                  <w:r>
                    <w:rPr>
                      <w:rFonts w:hint="eastAsia" w:ascii="Times New Roman" w:hAnsi="Times New Roman" w:eastAsia="宋体" w:cs="Times New Roman"/>
                    </w:rPr>
                    <w:t>09</w:t>
                  </w:r>
                </w:p>
              </w:tc>
              <w:tc>
                <w:tcPr>
                  <w:tcW w:w="443" w:type="pct"/>
                  <w:vAlign w:val="center"/>
                </w:tcPr>
                <w:p>
                  <w:pPr>
                    <w:pStyle w:val="369"/>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（t/a）</w:t>
                  </w:r>
                </w:p>
              </w:tc>
              <w:tc>
                <w:tcPr>
                  <w:tcW w:w="596" w:type="pct"/>
                  <w:vAlign w:val="center"/>
                </w:tcPr>
                <w:p>
                  <w:pPr>
                    <w:jc w:val="center"/>
                    <w:rPr>
                      <w:szCs w:val="21"/>
                    </w:rPr>
                  </w:pPr>
                  <w:r>
                    <w:rPr>
                      <w:rFonts w:hint="eastAsia"/>
                      <w:szCs w:val="21"/>
                    </w:rPr>
                    <w:t>制管</w:t>
                  </w:r>
                </w:p>
              </w:tc>
              <w:tc>
                <w:tcPr>
                  <w:tcW w:w="235" w:type="pct"/>
                  <w:vAlign w:val="center"/>
                </w:tcPr>
                <w:p>
                  <w:pPr>
                    <w:pStyle w:val="369"/>
                    <w:rPr>
                      <w:rFonts w:ascii="Times New Roman" w:hAnsi="Times New Roman" w:eastAsia="宋体" w:cs="Times New Roman"/>
                    </w:rPr>
                  </w:pPr>
                  <w:r>
                    <w:rPr>
                      <w:rFonts w:hint="eastAsia" w:ascii="Times New Roman" w:hAnsi="Times New Roman" w:eastAsia="宋体" w:cs="Times New Roman"/>
                    </w:rPr>
                    <w:t>液态</w:t>
                  </w:r>
                </w:p>
              </w:tc>
              <w:tc>
                <w:tcPr>
                  <w:tcW w:w="386" w:type="pct"/>
                  <w:vAlign w:val="center"/>
                </w:tcPr>
                <w:p>
                  <w:pPr>
                    <w:pStyle w:val="369"/>
                    <w:rPr>
                      <w:rFonts w:ascii="Times New Roman" w:hAnsi="Times New Roman" w:eastAsia="宋体" w:cs="Times New Roman"/>
                    </w:rPr>
                  </w:pPr>
                  <w:r>
                    <w:rPr>
                      <w:rFonts w:ascii="Times New Roman" w:hAnsi="Times New Roman" w:eastAsia="宋体" w:cs="Times New Roman"/>
                    </w:rPr>
                    <w:t>有机物</w:t>
                  </w:r>
                </w:p>
              </w:tc>
              <w:tc>
                <w:tcPr>
                  <w:tcW w:w="433" w:type="pct"/>
                  <w:vAlign w:val="center"/>
                </w:tcPr>
                <w:p>
                  <w:pPr>
                    <w:pStyle w:val="369"/>
                    <w:rPr>
                      <w:rFonts w:ascii="Times New Roman" w:hAnsi="Times New Roman" w:eastAsia="宋体" w:cs="Times New Roman"/>
                    </w:rPr>
                  </w:pPr>
                  <w:r>
                    <w:rPr>
                      <w:rFonts w:ascii="Times New Roman" w:hAnsi="Times New Roman" w:eastAsia="宋体" w:cs="Times New Roman"/>
                    </w:rPr>
                    <w:t>间断</w:t>
                  </w:r>
                </w:p>
              </w:tc>
              <w:tc>
                <w:tcPr>
                  <w:tcW w:w="480" w:type="pct"/>
                  <w:vAlign w:val="center"/>
                </w:tcPr>
                <w:p>
                  <w:pPr>
                    <w:pStyle w:val="369"/>
                    <w:rPr>
                      <w:rFonts w:ascii="Times New Roman" w:hAnsi="Times New Roman" w:eastAsia="宋体" w:cs="Times New Roman"/>
                    </w:rPr>
                  </w:pPr>
                  <w:r>
                    <w:rPr>
                      <w:rFonts w:ascii="Times New Roman" w:hAnsi="Times New Roman" w:eastAsia="宋体" w:cs="Times New Roman"/>
                    </w:rPr>
                    <w:t>T</w:t>
                  </w:r>
                </w:p>
              </w:tc>
              <w:tc>
                <w:tcPr>
                  <w:tcW w:w="539" w:type="pct"/>
                  <w:vAlign w:val="center"/>
                </w:tcPr>
                <w:p>
                  <w:pPr>
                    <w:pStyle w:val="369"/>
                    <w:rPr>
                      <w:rFonts w:ascii="Times New Roman" w:hAnsi="Times New Roman" w:eastAsia="宋体" w:cs="Times New Roman"/>
                    </w:rPr>
                  </w:pPr>
                  <w:r>
                    <w:rPr>
                      <w:rFonts w:ascii="Times New Roman" w:hAnsi="Times New Roman" w:eastAsia="宋体" w:cs="Times New Roman"/>
                    </w:rPr>
                    <w:t>交由有资质单位处置</w:t>
                  </w:r>
                </w:p>
              </w:tc>
            </w:tr>
          </w:tbl>
          <w:p>
            <w:pPr>
              <w:spacing w:before="120" w:beforeLines="50" w:line="360" w:lineRule="auto"/>
              <w:ind w:firstLine="480" w:firstLineChars="200"/>
              <w:rPr>
                <w:sz w:val="24"/>
              </w:rPr>
            </w:pPr>
            <w:r>
              <w:rPr>
                <w:sz w:val="24"/>
              </w:rPr>
              <w:t>（2）固废日常处理及管理要求</w:t>
            </w:r>
          </w:p>
          <w:p>
            <w:pPr>
              <w:spacing w:line="360" w:lineRule="auto"/>
              <w:ind w:firstLine="420"/>
              <w:rPr>
                <w:sz w:val="24"/>
              </w:rPr>
            </w:pPr>
            <w:r>
              <w:rPr>
                <w:sz w:val="24"/>
              </w:rPr>
              <w:t>结合本项目产生的相关固废，企业应严格按照《危险废物贮存污染控制标准》（GB18597-2001）等标准的要求，对各固废仓库及临时储存点进行合理分区，分质临时堆放等措施，具体要求如下：</w:t>
            </w:r>
          </w:p>
          <w:p>
            <w:pPr>
              <w:spacing w:line="360" w:lineRule="auto"/>
              <w:ind w:firstLine="420"/>
              <w:rPr>
                <w:sz w:val="24"/>
              </w:rPr>
            </w:pPr>
            <w:r>
              <w:rPr>
                <w:sz w:val="24"/>
              </w:rPr>
              <w:t>1）一般固废及生活垃圾的处理及管理</w:t>
            </w:r>
          </w:p>
          <w:p>
            <w:pPr>
              <w:pStyle w:val="387"/>
              <w:rPr>
                <w:kern w:val="0"/>
                <w:sz w:val="24"/>
              </w:rPr>
            </w:pPr>
            <w:r>
              <w:rPr>
                <w:sz w:val="24"/>
              </w:rPr>
              <w:t>对于一般固废，企业应严格按照防渗漏、防雨淋、防扬尘等环境保护要求，建设必要的固废分类收集和临时贮存设施；为解决厂区内一般固体废物产销（运）不平衡问题，按</w:t>
            </w:r>
            <w:r>
              <w:rPr>
                <w:kern w:val="0"/>
                <w:sz w:val="24"/>
              </w:rPr>
              <w:t>防渗漏、防雨淋、防扬尘等环境保护要求</w:t>
            </w:r>
            <w:r>
              <w:rPr>
                <w:sz w:val="24"/>
              </w:rPr>
              <w:t>，在</w:t>
            </w:r>
            <w:r>
              <w:rPr>
                <w:rFonts w:hint="eastAsia"/>
                <w:sz w:val="24"/>
              </w:rPr>
              <w:t>1#车间</w:t>
            </w:r>
            <w:r>
              <w:rPr>
                <w:sz w:val="24"/>
              </w:rPr>
              <w:t>东南角设置一个占地面积为3m</w:t>
            </w:r>
            <w:r>
              <w:rPr>
                <w:sz w:val="24"/>
                <w:vertAlign w:val="superscript"/>
              </w:rPr>
              <w:t>2</w:t>
            </w:r>
            <w:r>
              <w:rPr>
                <w:sz w:val="24"/>
              </w:rPr>
              <w:t>，库容积约6m</w:t>
            </w:r>
            <w:r>
              <w:rPr>
                <w:sz w:val="24"/>
                <w:vertAlign w:val="superscript"/>
              </w:rPr>
              <w:t>3</w:t>
            </w:r>
            <w:r>
              <w:rPr>
                <w:sz w:val="24"/>
              </w:rPr>
              <w:t>的一般固废暂存库，地面采用混凝土硬化防渗。</w:t>
            </w:r>
            <w:r>
              <w:rPr>
                <w:kern w:val="0"/>
                <w:sz w:val="24"/>
              </w:rPr>
              <w:t>具体要求如下：</w:t>
            </w:r>
          </w:p>
          <w:p>
            <w:pPr>
              <w:spacing w:line="360" w:lineRule="auto"/>
              <w:ind w:firstLine="420"/>
              <w:rPr>
                <w:sz w:val="24"/>
              </w:rPr>
            </w:pPr>
            <w:r>
              <w:rPr>
                <w:rFonts w:hint="eastAsia" w:ascii="宋体" w:hAnsi="宋体" w:cs="宋体"/>
                <w:sz w:val="24"/>
              </w:rPr>
              <w:t>①</w:t>
            </w:r>
            <w:r>
              <w:rPr>
                <w:sz w:val="24"/>
              </w:rPr>
              <w:t>贮存、处置场的建设类型，须与将要堆放的一般工业固体废物的类别相一致。</w:t>
            </w:r>
          </w:p>
          <w:p>
            <w:pPr>
              <w:spacing w:line="360" w:lineRule="auto"/>
              <w:ind w:firstLine="420"/>
              <w:rPr>
                <w:sz w:val="24"/>
              </w:rPr>
            </w:pPr>
            <w:r>
              <w:rPr>
                <w:rFonts w:hint="eastAsia" w:ascii="宋体" w:hAnsi="宋体" w:cs="宋体"/>
                <w:sz w:val="24"/>
              </w:rPr>
              <w:t>②</w:t>
            </w:r>
            <w:r>
              <w:rPr>
                <w:sz w:val="24"/>
              </w:rPr>
              <w:t>贮存、处置场应采取防止粉尘污染的措施。</w:t>
            </w:r>
          </w:p>
          <w:p>
            <w:pPr>
              <w:spacing w:line="360" w:lineRule="auto"/>
              <w:ind w:firstLine="420"/>
              <w:rPr>
                <w:sz w:val="24"/>
              </w:rPr>
            </w:pPr>
            <w:r>
              <w:rPr>
                <w:rFonts w:hint="eastAsia" w:ascii="宋体" w:hAnsi="宋体" w:cs="宋体"/>
                <w:sz w:val="24"/>
              </w:rPr>
              <w:t>③</w:t>
            </w:r>
            <w:r>
              <w:rPr>
                <w:sz w:val="24"/>
              </w:rPr>
              <w:t>为防止雨水径流进入贮存、处置场内，避免渗滤液量增加和滑坡，贮存、处置场周边应设置导流渠。</w:t>
            </w:r>
          </w:p>
          <w:p>
            <w:pPr>
              <w:spacing w:line="360" w:lineRule="auto"/>
              <w:ind w:firstLine="420"/>
              <w:rPr>
                <w:sz w:val="24"/>
              </w:rPr>
            </w:pPr>
            <w:r>
              <w:rPr>
                <w:rFonts w:hint="eastAsia" w:ascii="宋体" w:hAnsi="宋体" w:cs="宋体"/>
                <w:sz w:val="24"/>
              </w:rPr>
              <w:t>④</w:t>
            </w:r>
            <w:r>
              <w:rPr>
                <w:sz w:val="24"/>
              </w:rPr>
              <w:t>应设计渗滤液集排水设施。</w:t>
            </w:r>
          </w:p>
          <w:p>
            <w:pPr>
              <w:spacing w:line="360" w:lineRule="auto"/>
              <w:ind w:firstLine="420"/>
              <w:rPr>
                <w:sz w:val="24"/>
              </w:rPr>
            </w:pPr>
            <w:r>
              <w:rPr>
                <w:rFonts w:hint="eastAsia" w:ascii="宋体" w:hAnsi="宋体" w:cs="宋体"/>
                <w:sz w:val="24"/>
              </w:rPr>
              <w:t>⑤</w:t>
            </w:r>
            <w:r>
              <w:rPr>
                <w:sz w:val="24"/>
              </w:rPr>
              <w:t>为保障设施、设备正常运营，必要时应采取措施防止地基下沉，尤其是防止不均匀或局部下沉。</w:t>
            </w:r>
          </w:p>
          <w:p>
            <w:pPr>
              <w:adjustRightInd w:val="0"/>
              <w:snapToGrid w:val="0"/>
              <w:spacing w:line="360" w:lineRule="auto"/>
              <w:ind w:firstLine="480"/>
              <w:rPr>
                <w:sz w:val="24"/>
              </w:rPr>
            </w:pPr>
            <w:r>
              <w:rPr>
                <w:sz w:val="24"/>
              </w:rPr>
              <w:t>对于生活垃圾则交由环卫部门定期清运。</w:t>
            </w:r>
          </w:p>
          <w:p>
            <w:pPr>
              <w:spacing w:line="360" w:lineRule="auto"/>
              <w:ind w:firstLine="480" w:firstLineChars="200"/>
              <w:rPr>
                <w:sz w:val="24"/>
              </w:rPr>
            </w:pPr>
            <w:r>
              <w:rPr>
                <w:sz w:val="24"/>
              </w:rPr>
              <w:t>2）危险固废的处理及管理</w:t>
            </w:r>
          </w:p>
          <w:p>
            <w:pPr>
              <w:spacing w:line="360" w:lineRule="auto"/>
              <w:ind w:firstLine="420"/>
              <w:rPr>
                <w:sz w:val="24"/>
              </w:rPr>
            </w:pPr>
            <w:r>
              <w:rPr>
                <w:sz w:val="24"/>
              </w:rPr>
              <w:t>危险废物必须按照国家有关规定进行申报登记，建立台账管理制度，建设符合标准的专门设施和场所妥善保存并设立危险废物标示牌。危险废物在厂内暂存期间，企业应该严格按照《危险废物储存污染控制标准》(GB18597-2001)。含残留易挥发物质的危废应放置于专用密闭容器，各容器或场所需粘贴危险废物标签，并做好相应的纪录。危险废物外运采用专门密闭车辆，防止散落和流洒。</w:t>
            </w:r>
          </w:p>
          <w:p>
            <w:pPr>
              <w:spacing w:line="360" w:lineRule="auto"/>
              <w:ind w:firstLine="420"/>
              <w:rPr>
                <w:sz w:val="24"/>
              </w:rPr>
            </w:pPr>
            <w:r>
              <w:rPr>
                <w:sz w:val="24"/>
              </w:rPr>
              <w:t>对于危险废物管理，应配备专职的管理人员，建立规范的台帐制度，如实记录危废的产生，包括危险废物的产生、贮存、利用和处置等各个环境的情况，如危险废物交接记录台帐，危险废物贮存情况记录台帐、危险废物处理/利用情况记录台帐。对危险废物的转移处理须严格按照国家环境保护部第5号令《危险废物转移联单管理办法》进行管理。</w:t>
            </w:r>
          </w:p>
          <w:p>
            <w:pPr>
              <w:spacing w:line="360" w:lineRule="auto"/>
              <w:ind w:firstLine="420"/>
              <w:rPr>
                <w:sz w:val="24"/>
              </w:rPr>
            </w:pPr>
            <w:r>
              <w:rPr>
                <w:sz w:val="24"/>
              </w:rPr>
              <w:t>3）项目危废暂存间设置情况</w:t>
            </w:r>
          </w:p>
          <w:p>
            <w:pPr>
              <w:spacing w:line="360" w:lineRule="auto"/>
              <w:ind w:firstLine="420"/>
              <w:rPr>
                <w:sz w:val="24"/>
              </w:rPr>
            </w:pPr>
            <w:r>
              <w:rPr>
                <w:sz w:val="24"/>
              </w:rPr>
              <w:t>建设单位拟在</w:t>
            </w:r>
            <w:r>
              <w:rPr>
                <w:rFonts w:hint="eastAsia"/>
                <w:sz w:val="24"/>
              </w:rPr>
              <w:t>1#车间</w:t>
            </w:r>
            <w:r>
              <w:rPr>
                <w:sz w:val="24"/>
              </w:rPr>
              <w:t>东南角</w:t>
            </w:r>
            <w:r>
              <w:rPr>
                <w:sz w:val="24"/>
                <w:szCs w:val="22"/>
              </w:rPr>
              <w:t>设置一</w:t>
            </w:r>
            <w:r>
              <w:rPr>
                <w:sz w:val="24"/>
              </w:rPr>
              <w:t>个占地面积为2m</w:t>
            </w:r>
            <w:r>
              <w:rPr>
                <w:sz w:val="24"/>
                <w:vertAlign w:val="superscript"/>
              </w:rPr>
              <w:t>2</w:t>
            </w:r>
            <w:r>
              <w:rPr>
                <w:sz w:val="24"/>
              </w:rPr>
              <w:t>，库容积约4m</w:t>
            </w:r>
            <w:r>
              <w:rPr>
                <w:sz w:val="24"/>
                <w:vertAlign w:val="superscript"/>
              </w:rPr>
              <w:t>3</w:t>
            </w:r>
            <w:r>
              <w:rPr>
                <w:sz w:val="24"/>
              </w:rPr>
              <w:t>的</w:t>
            </w:r>
            <w:r>
              <w:rPr>
                <w:sz w:val="24"/>
                <w:szCs w:val="22"/>
              </w:rPr>
              <w:t>危废暂存库，</w:t>
            </w:r>
            <w:r>
              <w:rPr>
                <w:sz w:val="24"/>
              </w:rPr>
              <w:t>作为全厂危废处理前的临时暂存场所，库容量可完全满足要求。</w:t>
            </w:r>
            <w:r>
              <w:rPr>
                <w:sz w:val="24"/>
                <w:szCs w:val="22"/>
              </w:rPr>
              <w:t>危废暂存库</w:t>
            </w:r>
            <w:r>
              <w:rPr>
                <w:sz w:val="24"/>
              </w:rPr>
              <w:t>设置按照《危险废物贮存污染控制标准》（GB18597-2001）的有关要求进行，</w:t>
            </w:r>
            <w:r>
              <w:rPr>
                <w:sz w:val="24"/>
                <w:szCs w:val="22"/>
              </w:rPr>
              <w:t>危废暂存库</w:t>
            </w:r>
            <w:r>
              <w:rPr>
                <w:sz w:val="24"/>
              </w:rPr>
              <w:t>应设警示标志，并做好防腐防渗处理，产生的危险废物不得遗弃、倾倒于环境中，严禁露天堆放。</w:t>
            </w:r>
          </w:p>
          <w:p>
            <w:pPr>
              <w:spacing w:line="360" w:lineRule="auto"/>
              <w:ind w:firstLine="420"/>
              <w:rPr>
                <w:sz w:val="24"/>
              </w:rPr>
            </w:pPr>
            <w:r>
              <w:rPr>
                <w:sz w:val="24"/>
              </w:rPr>
              <w:t>（3）危险废物贮存场所（设施）及运输过程环境影响分析</w:t>
            </w:r>
          </w:p>
          <w:p>
            <w:pPr>
              <w:spacing w:line="360" w:lineRule="auto"/>
              <w:ind w:firstLine="420"/>
              <w:rPr>
                <w:sz w:val="24"/>
              </w:rPr>
            </w:pPr>
            <w:r>
              <w:rPr>
                <w:sz w:val="24"/>
              </w:rPr>
              <w:t>1）选址可行性分析</w:t>
            </w:r>
          </w:p>
          <w:p>
            <w:pPr>
              <w:spacing w:line="360" w:lineRule="auto"/>
              <w:ind w:firstLine="420"/>
              <w:rPr>
                <w:sz w:val="24"/>
              </w:rPr>
            </w:pPr>
            <w:r>
              <w:rPr>
                <w:sz w:val="24"/>
              </w:rPr>
              <w:t>根据前述的固废暂存库设置情况，项目所有的危险废物均临时储存于危废暂存库内，拟严格按照《危险废物储存污染控制标准》(GB18597-2001)及其修改单要求，做好“四防”（防风、防雨、防晒、防渗漏）工作，结合区域环境条件，项目所在区域为工业园区，周边交通便捷，便于危废的转运，因此项目危废临时储存场所选址可行。</w:t>
            </w:r>
          </w:p>
          <w:p>
            <w:pPr>
              <w:spacing w:line="360" w:lineRule="auto"/>
              <w:ind w:firstLine="420"/>
              <w:rPr>
                <w:sz w:val="24"/>
              </w:rPr>
            </w:pPr>
            <w:r>
              <w:rPr>
                <w:sz w:val="24"/>
              </w:rPr>
              <w:t>2）危废暂存间临时储存能力合理性分析</w:t>
            </w:r>
          </w:p>
          <w:p>
            <w:pPr>
              <w:spacing w:line="360" w:lineRule="auto"/>
              <w:ind w:firstLine="420"/>
              <w:rPr>
                <w:sz w:val="24"/>
              </w:rPr>
            </w:pPr>
            <w:r>
              <w:rPr>
                <w:sz w:val="24"/>
              </w:rPr>
              <w:t>结合前述的危废产生量、产废周期及日常临时最大储存量等情况，项目危险废物暂存间的临时储存能力分析详见表4-12。</w:t>
            </w:r>
          </w:p>
          <w:p>
            <w:pPr>
              <w:autoSpaceDE w:val="0"/>
              <w:autoSpaceDN w:val="0"/>
              <w:jc w:val="center"/>
              <w:rPr>
                <w:b/>
                <w:bCs/>
              </w:rPr>
            </w:pPr>
            <w:r>
              <w:rPr>
                <w:b/>
                <w:bCs/>
              </w:rPr>
              <w:t>表4-12  项目危险废物贮存场所（设施）基本情况一览表</w:t>
            </w:r>
          </w:p>
          <w:tbl>
            <w:tblPr>
              <w:tblStyle w:val="40"/>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85" w:type="dxa"/>
                <w:bottom w:w="0" w:type="dxa"/>
                <w:right w:w="85" w:type="dxa"/>
              </w:tblCellMar>
            </w:tblPr>
            <w:tblGrid>
              <w:gridCol w:w="660"/>
              <w:gridCol w:w="1310"/>
              <w:gridCol w:w="1867"/>
              <w:gridCol w:w="1694"/>
              <w:gridCol w:w="2102"/>
              <w:gridCol w:w="1651"/>
              <w:gridCol w:w="997"/>
              <w:gridCol w:w="1723"/>
              <w:gridCol w:w="1169"/>
              <w:gridCol w:w="11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5" w:hRule="atLeast"/>
                <w:jc w:val="center"/>
              </w:trPr>
              <w:tc>
                <w:tcPr>
                  <w:tcW w:w="230" w:type="pct"/>
                  <w:vAlign w:val="center"/>
                </w:tcPr>
                <w:p>
                  <w:pPr>
                    <w:spacing w:line="0" w:lineRule="atLeast"/>
                    <w:jc w:val="center"/>
                    <w:rPr>
                      <w:b/>
                      <w:bCs/>
                      <w:szCs w:val="21"/>
                    </w:rPr>
                  </w:pPr>
                  <w:r>
                    <w:rPr>
                      <w:b/>
                      <w:bCs/>
                      <w:szCs w:val="21"/>
                    </w:rPr>
                    <w:t>序号</w:t>
                  </w:r>
                </w:p>
              </w:tc>
              <w:tc>
                <w:tcPr>
                  <w:tcW w:w="456" w:type="pct"/>
                  <w:vAlign w:val="center"/>
                </w:tcPr>
                <w:p>
                  <w:pPr>
                    <w:spacing w:line="0" w:lineRule="atLeast"/>
                    <w:jc w:val="center"/>
                    <w:rPr>
                      <w:b/>
                      <w:bCs/>
                      <w:szCs w:val="21"/>
                    </w:rPr>
                  </w:pPr>
                  <w:r>
                    <w:rPr>
                      <w:b/>
                      <w:bCs/>
                      <w:szCs w:val="21"/>
                    </w:rPr>
                    <w:t>贮存场所</w:t>
                  </w:r>
                </w:p>
              </w:tc>
              <w:tc>
                <w:tcPr>
                  <w:tcW w:w="650" w:type="pct"/>
                  <w:vAlign w:val="center"/>
                </w:tcPr>
                <w:p>
                  <w:pPr>
                    <w:spacing w:line="0" w:lineRule="atLeast"/>
                    <w:jc w:val="center"/>
                    <w:rPr>
                      <w:b/>
                      <w:bCs/>
                      <w:szCs w:val="21"/>
                    </w:rPr>
                  </w:pPr>
                  <w:r>
                    <w:rPr>
                      <w:b/>
                      <w:bCs/>
                      <w:szCs w:val="21"/>
                    </w:rPr>
                    <w:t>危废名称</w:t>
                  </w:r>
                </w:p>
              </w:tc>
              <w:tc>
                <w:tcPr>
                  <w:tcW w:w="590" w:type="pct"/>
                  <w:vAlign w:val="center"/>
                </w:tcPr>
                <w:p>
                  <w:pPr>
                    <w:spacing w:line="0" w:lineRule="atLeast"/>
                    <w:jc w:val="center"/>
                    <w:rPr>
                      <w:b/>
                      <w:bCs/>
                      <w:szCs w:val="21"/>
                    </w:rPr>
                  </w:pPr>
                  <w:r>
                    <w:rPr>
                      <w:b/>
                      <w:bCs/>
                      <w:szCs w:val="21"/>
                    </w:rPr>
                    <w:t>危险废物类别</w:t>
                  </w:r>
                </w:p>
              </w:tc>
              <w:tc>
                <w:tcPr>
                  <w:tcW w:w="732" w:type="pct"/>
                  <w:vAlign w:val="center"/>
                </w:tcPr>
                <w:p>
                  <w:pPr>
                    <w:spacing w:line="0" w:lineRule="atLeast"/>
                    <w:jc w:val="center"/>
                    <w:rPr>
                      <w:b/>
                      <w:bCs/>
                      <w:szCs w:val="21"/>
                    </w:rPr>
                  </w:pPr>
                  <w:r>
                    <w:rPr>
                      <w:b/>
                      <w:bCs/>
                      <w:szCs w:val="21"/>
                    </w:rPr>
                    <w:t>废物代码</w:t>
                  </w:r>
                </w:p>
              </w:tc>
              <w:tc>
                <w:tcPr>
                  <w:tcW w:w="575" w:type="pct"/>
                  <w:vAlign w:val="center"/>
                </w:tcPr>
                <w:p>
                  <w:pPr>
                    <w:spacing w:line="0" w:lineRule="atLeast"/>
                    <w:jc w:val="center"/>
                    <w:rPr>
                      <w:b/>
                      <w:bCs/>
                      <w:szCs w:val="21"/>
                    </w:rPr>
                  </w:pPr>
                  <w:r>
                    <w:rPr>
                      <w:b/>
                      <w:bCs/>
                      <w:szCs w:val="21"/>
                    </w:rPr>
                    <w:t>位置</w:t>
                  </w:r>
                </w:p>
              </w:tc>
              <w:tc>
                <w:tcPr>
                  <w:tcW w:w="347" w:type="pct"/>
                  <w:vAlign w:val="center"/>
                </w:tcPr>
                <w:p>
                  <w:pPr>
                    <w:spacing w:line="0" w:lineRule="atLeast"/>
                    <w:jc w:val="center"/>
                    <w:rPr>
                      <w:b/>
                      <w:bCs/>
                      <w:szCs w:val="21"/>
                    </w:rPr>
                  </w:pPr>
                  <w:r>
                    <w:rPr>
                      <w:b/>
                      <w:bCs/>
                      <w:szCs w:val="21"/>
                    </w:rPr>
                    <w:t>占地</w:t>
                  </w:r>
                </w:p>
              </w:tc>
              <w:tc>
                <w:tcPr>
                  <w:tcW w:w="600" w:type="pct"/>
                  <w:vAlign w:val="center"/>
                </w:tcPr>
                <w:p>
                  <w:pPr>
                    <w:spacing w:line="0" w:lineRule="atLeast"/>
                    <w:jc w:val="center"/>
                    <w:rPr>
                      <w:b/>
                      <w:bCs/>
                      <w:szCs w:val="21"/>
                    </w:rPr>
                  </w:pPr>
                  <w:r>
                    <w:rPr>
                      <w:b/>
                      <w:bCs/>
                      <w:szCs w:val="21"/>
                    </w:rPr>
                    <w:t>贮存方式</w:t>
                  </w:r>
                </w:p>
              </w:tc>
              <w:tc>
                <w:tcPr>
                  <w:tcW w:w="407" w:type="pct"/>
                  <w:vAlign w:val="center"/>
                </w:tcPr>
                <w:p>
                  <w:pPr>
                    <w:spacing w:line="0" w:lineRule="atLeast"/>
                    <w:jc w:val="center"/>
                    <w:rPr>
                      <w:b/>
                      <w:bCs/>
                      <w:szCs w:val="21"/>
                    </w:rPr>
                  </w:pPr>
                  <w:r>
                    <w:rPr>
                      <w:b/>
                      <w:bCs/>
                      <w:szCs w:val="21"/>
                    </w:rPr>
                    <w:t>贮存能力</w:t>
                  </w:r>
                </w:p>
              </w:tc>
              <w:tc>
                <w:tcPr>
                  <w:tcW w:w="413" w:type="pct"/>
                  <w:vAlign w:val="center"/>
                </w:tcPr>
                <w:p>
                  <w:pPr>
                    <w:spacing w:line="0" w:lineRule="atLeast"/>
                    <w:jc w:val="center"/>
                    <w:rPr>
                      <w:b/>
                      <w:bCs/>
                      <w:szCs w:val="21"/>
                    </w:rPr>
                  </w:pPr>
                  <w:r>
                    <w:rPr>
                      <w:b/>
                      <w:bCs/>
                      <w:szCs w:val="21"/>
                    </w:rPr>
                    <w:t>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93" w:hRule="atLeast"/>
                <w:jc w:val="center"/>
              </w:trPr>
              <w:tc>
                <w:tcPr>
                  <w:tcW w:w="230" w:type="pct"/>
                  <w:vAlign w:val="center"/>
                </w:tcPr>
                <w:p>
                  <w:pPr>
                    <w:spacing w:line="240" w:lineRule="atLeast"/>
                    <w:jc w:val="center"/>
                    <w:rPr>
                      <w:bCs/>
                      <w:szCs w:val="21"/>
                    </w:rPr>
                  </w:pPr>
                  <w:r>
                    <w:rPr>
                      <w:bCs/>
                      <w:szCs w:val="21"/>
                    </w:rPr>
                    <w:t>1</w:t>
                  </w:r>
                </w:p>
              </w:tc>
              <w:tc>
                <w:tcPr>
                  <w:tcW w:w="456" w:type="pct"/>
                  <w:vAlign w:val="center"/>
                </w:tcPr>
                <w:p>
                  <w:pPr>
                    <w:jc w:val="center"/>
                    <w:rPr>
                      <w:bCs/>
                      <w:szCs w:val="21"/>
                    </w:rPr>
                  </w:pPr>
                  <w:r>
                    <w:rPr>
                      <w:bCs/>
                      <w:szCs w:val="21"/>
                    </w:rPr>
                    <w:t>危废暂存间</w:t>
                  </w:r>
                </w:p>
              </w:tc>
              <w:tc>
                <w:tcPr>
                  <w:tcW w:w="650" w:type="pct"/>
                  <w:vAlign w:val="center"/>
                </w:tcPr>
                <w:p>
                  <w:pPr>
                    <w:jc w:val="center"/>
                    <w:rPr>
                      <w:bCs/>
                      <w:szCs w:val="21"/>
                    </w:rPr>
                  </w:pPr>
                  <w:r>
                    <w:rPr>
                      <w:rFonts w:hint="eastAsia"/>
                      <w:szCs w:val="21"/>
                    </w:rPr>
                    <w:t>废切削液</w:t>
                  </w:r>
                </w:p>
              </w:tc>
              <w:tc>
                <w:tcPr>
                  <w:tcW w:w="590" w:type="pct"/>
                  <w:vAlign w:val="center"/>
                </w:tcPr>
                <w:p>
                  <w:pPr>
                    <w:pStyle w:val="369"/>
                    <w:rPr>
                      <w:rFonts w:ascii="Times New Roman" w:hAnsi="Times New Roman" w:cs="Times New Roman"/>
                    </w:rPr>
                  </w:pPr>
                  <w:r>
                    <w:rPr>
                      <w:rFonts w:ascii="Times New Roman" w:hAnsi="Times New Roman" w:eastAsia="宋体" w:cs="Times New Roman"/>
                    </w:rPr>
                    <w:t>HW</w:t>
                  </w:r>
                  <w:r>
                    <w:rPr>
                      <w:rFonts w:hint="eastAsia" w:ascii="Times New Roman" w:hAnsi="Times New Roman" w:eastAsia="宋体" w:cs="Times New Roman"/>
                    </w:rPr>
                    <w:t>09</w:t>
                  </w:r>
                </w:p>
              </w:tc>
              <w:tc>
                <w:tcPr>
                  <w:tcW w:w="732" w:type="pct"/>
                  <w:vAlign w:val="center"/>
                </w:tcPr>
                <w:p>
                  <w:pPr>
                    <w:pStyle w:val="369"/>
                    <w:rPr>
                      <w:rFonts w:ascii="Times New Roman" w:hAnsi="Times New Roman" w:cs="Times New Roman"/>
                    </w:rPr>
                  </w:pPr>
                  <w:r>
                    <w:rPr>
                      <w:rFonts w:ascii="Times New Roman" w:hAnsi="Times New Roman" w:eastAsia="宋体" w:cs="Times New Roman"/>
                    </w:rPr>
                    <w:t>900-0</w:t>
                  </w:r>
                  <w:r>
                    <w:rPr>
                      <w:rFonts w:hint="eastAsia" w:ascii="Times New Roman" w:hAnsi="Times New Roman" w:eastAsia="宋体" w:cs="Times New Roman"/>
                    </w:rPr>
                    <w:t>06</w:t>
                  </w:r>
                  <w:r>
                    <w:rPr>
                      <w:rFonts w:ascii="Times New Roman" w:hAnsi="Times New Roman" w:eastAsia="宋体" w:cs="Times New Roman"/>
                    </w:rPr>
                    <w:t>-</w:t>
                  </w:r>
                  <w:r>
                    <w:rPr>
                      <w:rFonts w:hint="eastAsia" w:ascii="Times New Roman" w:hAnsi="Times New Roman" w:eastAsia="宋体" w:cs="Times New Roman"/>
                    </w:rPr>
                    <w:t>09</w:t>
                  </w:r>
                </w:p>
              </w:tc>
              <w:tc>
                <w:tcPr>
                  <w:tcW w:w="575" w:type="pct"/>
                  <w:vAlign w:val="center"/>
                </w:tcPr>
                <w:p>
                  <w:pPr>
                    <w:spacing w:line="240" w:lineRule="atLeast"/>
                    <w:jc w:val="center"/>
                    <w:rPr>
                      <w:szCs w:val="21"/>
                    </w:rPr>
                  </w:pPr>
                  <w:r>
                    <w:rPr>
                      <w:rFonts w:hint="eastAsia"/>
                      <w:szCs w:val="21"/>
                    </w:rPr>
                    <w:t>1#车间</w:t>
                  </w:r>
                  <w:r>
                    <w:rPr>
                      <w:szCs w:val="21"/>
                    </w:rPr>
                    <w:t>东南角</w:t>
                  </w:r>
                </w:p>
              </w:tc>
              <w:tc>
                <w:tcPr>
                  <w:tcW w:w="347" w:type="pct"/>
                  <w:vAlign w:val="center"/>
                </w:tcPr>
                <w:p>
                  <w:pPr>
                    <w:spacing w:line="240" w:lineRule="atLeast"/>
                    <w:jc w:val="center"/>
                    <w:rPr>
                      <w:szCs w:val="21"/>
                    </w:rPr>
                  </w:pPr>
                  <w:r>
                    <w:rPr>
                      <w:szCs w:val="21"/>
                    </w:rPr>
                    <w:t>2m</w:t>
                  </w:r>
                  <w:r>
                    <w:rPr>
                      <w:szCs w:val="21"/>
                      <w:vertAlign w:val="superscript"/>
                    </w:rPr>
                    <w:t>2</w:t>
                  </w:r>
                </w:p>
              </w:tc>
              <w:tc>
                <w:tcPr>
                  <w:tcW w:w="600" w:type="pct"/>
                  <w:vAlign w:val="center"/>
                </w:tcPr>
                <w:p>
                  <w:pPr>
                    <w:spacing w:line="240" w:lineRule="atLeast"/>
                    <w:jc w:val="center"/>
                    <w:rPr>
                      <w:szCs w:val="21"/>
                    </w:rPr>
                  </w:pPr>
                  <w:r>
                    <w:rPr>
                      <w:szCs w:val="21"/>
                    </w:rPr>
                    <w:t>密封桶装</w:t>
                  </w:r>
                </w:p>
              </w:tc>
              <w:tc>
                <w:tcPr>
                  <w:tcW w:w="407" w:type="pct"/>
                  <w:vAlign w:val="center"/>
                </w:tcPr>
                <w:p>
                  <w:pPr>
                    <w:spacing w:line="240" w:lineRule="atLeast"/>
                    <w:jc w:val="center"/>
                    <w:rPr>
                      <w:bCs/>
                      <w:szCs w:val="21"/>
                    </w:rPr>
                  </w:pPr>
                  <w:r>
                    <w:rPr>
                      <w:bCs/>
                      <w:szCs w:val="21"/>
                    </w:rPr>
                    <w:t>2m</w:t>
                  </w:r>
                  <w:r>
                    <w:rPr>
                      <w:bCs/>
                      <w:szCs w:val="21"/>
                      <w:vertAlign w:val="superscript"/>
                    </w:rPr>
                    <w:t>3</w:t>
                  </w:r>
                </w:p>
              </w:tc>
              <w:tc>
                <w:tcPr>
                  <w:tcW w:w="413" w:type="pct"/>
                  <w:vAlign w:val="center"/>
                </w:tcPr>
                <w:p>
                  <w:pPr>
                    <w:spacing w:line="240" w:lineRule="atLeast"/>
                    <w:jc w:val="center"/>
                    <w:rPr>
                      <w:szCs w:val="21"/>
                    </w:rPr>
                  </w:pPr>
                  <w:r>
                    <w:rPr>
                      <w:szCs w:val="21"/>
                    </w:rPr>
                    <w:t>2个月</w:t>
                  </w:r>
                </w:p>
              </w:tc>
            </w:tr>
          </w:tbl>
          <w:p>
            <w:pPr>
              <w:spacing w:before="120" w:beforeLines="50" w:line="360" w:lineRule="auto"/>
              <w:ind w:firstLine="420"/>
              <w:rPr>
                <w:sz w:val="24"/>
              </w:rPr>
            </w:pPr>
            <w:r>
              <w:rPr>
                <w:sz w:val="24"/>
              </w:rPr>
              <w:t>根据上表分析可知，项目设置的危废暂存库的临时储存能力能够满足要求。</w:t>
            </w:r>
          </w:p>
          <w:p>
            <w:pPr>
              <w:spacing w:line="360" w:lineRule="auto"/>
              <w:ind w:firstLine="420"/>
              <w:rPr>
                <w:sz w:val="24"/>
              </w:rPr>
            </w:pPr>
            <w:r>
              <w:rPr>
                <w:sz w:val="24"/>
              </w:rPr>
              <w:t>3）危废日常储存对环境各要素的影响分析</w:t>
            </w:r>
          </w:p>
          <w:p>
            <w:pPr>
              <w:spacing w:line="360" w:lineRule="auto"/>
              <w:ind w:firstLine="420"/>
              <w:rPr>
                <w:sz w:val="24"/>
              </w:rPr>
            </w:pPr>
            <w:r>
              <w:rPr>
                <w:sz w:val="24"/>
              </w:rPr>
              <w:t>危险废物日常储存于桶内，各储存容器日常均加盖密封，危废暂存间均采建有堵截泄漏的裙脚，地面与裙脚要用坚固防渗的材料建造；并设置有隔离设施、报警装置和“四防”（防风、防雨、防晒、防渗漏）设施。不同种类的危险废物应根据其理化性质分类存放，不同类的危废须分区贮存，不同分区应设置矮围墙或在地面画线并预留明显间隔，严禁将不相容（相互反应）的危废在同一容器内混装。项目位于工业园区内，企业在做好日常环境管理的基础上，项目危险废物贮存过程中对周边的环境空气、地表水、地下水、土壤以及环境敏感保护目标影响较小。</w:t>
            </w:r>
          </w:p>
          <w:p>
            <w:pPr>
              <w:spacing w:line="360" w:lineRule="auto"/>
              <w:ind w:firstLine="420"/>
              <w:rPr>
                <w:sz w:val="24"/>
              </w:rPr>
            </w:pPr>
            <w:r>
              <w:rPr>
                <w:sz w:val="24"/>
              </w:rPr>
              <w:t>4）危废日常运输过程的影响分析</w:t>
            </w:r>
          </w:p>
          <w:p>
            <w:pPr>
              <w:spacing w:line="360" w:lineRule="auto"/>
              <w:ind w:firstLine="420"/>
              <w:rPr>
                <w:sz w:val="24"/>
              </w:rPr>
            </w:pPr>
            <w:r>
              <w:rPr>
                <w:sz w:val="24"/>
              </w:rPr>
              <w:t>本项目产生的危险废物在厂内指定的危险暂存间安全暂存，定期委托有资质单位回收处理，由持有危险废物经营许可证、危险货物运输资质的单位拉运。危险废物挥发被人体吸入后，会引起头晕、呼吸道和眼部刺激症状，对运输沿线的敏感保护目标造成影响。</w:t>
            </w:r>
          </w:p>
          <w:p>
            <w:pPr>
              <w:spacing w:line="360" w:lineRule="auto"/>
              <w:ind w:firstLine="420"/>
              <w:rPr>
                <w:sz w:val="24"/>
              </w:rPr>
            </w:pPr>
            <w:r>
              <w:rPr>
                <w:sz w:val="24"/>
              </w:rPr>
              <w:t>本环评要求的危险废物运输应当达到以下要求：</w:t>
            </w:r>
          </w:p>
          <w:p>
            <w:pPr>
              <w:spacing w:line="360" w:lineRule="auto"/>
              <w:ind w:firstLine="420"/>
              <w:rPr>
                <w:sz w:val="24"/>
              </w:rPr>
            </w:pPr>
            <w:r>
              <w:rPr>
                <w:rFonts w:hint="eastAsia" w:ascii="宋体" w:hAnsi="宋体" w:cs="宋体"/>
                <w:sz w:val="24"/>
              </w:rPr>
              <w:t>①</w:t>
            </w:r>
            <w:r>
              <w:rPr>
                <w:sz w:val="24"/>
              </w:rPr>
              <w:t>危险废物的运输委托持有危险废物经营许可证、危险货物运输资质的单位运输，并按照其许可证经营范围组织实施；</w:t>
            </w:r>
          </w:p>
          <w:p>
            <w:pPr>
              <w:spacing w:line="360" w:lineRule="auto"/>
              <w:ind w:firstLine="420"/>
              <w:rPr>
                <w:sz w:val="24"/>
              </w:rPr>
            </w:pPr>
            <w:r>
              <w:rPr>
                <w:rFonts w:hint="eastAsia" w:ascii="宋体" w:hAnsi="宋体" w:cs="宋体"/>
                <w:sz w:val="24"/>
              </w:rPr>
              <w:t>②</w:t>
            </w:r>
            <w:r>
              <w:rPr>
                <w:sz w:val="24"/>
              </w:rPr>
              <w:t>危险废物贮存设专职人员管理，防止非工作人员接触，装卸区工作人员应配备个人防护装备并设立必要的消防设备和指示标志；</w:t>
            </w:r>
          </w:p>
          <w:p>
            <w:pPr>
              <w:spacing w:line="360" w:lineRule="auto"/>
              <w:ind w:firstLine="420"/>
              <w:rPr>
                <w:sz w:val="24"/>
              </w:rPr>
            </w:pPr>
            <w:r>
              <w:rPr>
                <w:rFonts w:hint="eastAsia" w:ascii="宋体" w:hAnsi="宋体" w:cs="宋体"/>
                <w:sz w:val="24"/>
              </w:rPr>
              <w:t>③</w:t>
            </w:r>
            <w:r>
              <w:rPr>
                <w:sz w:val="24"/>
              </w:rPr>
              <w:t>有防鼠、防蚊蝇、防蟑螂的安全措施；防止渗漏和雨水冲刷；易于清洁和消毒；避免阳光直射；</w:t>
            </w:r>
          </w:p>
          <w:p>
            <w:pPr>
              <w:spacing w:line="360" w:lineRule="auto"/>
              <w:ind w:firstLine="420"/>
              <w:rPr>
                <w:sz w:val="24"/>
              </w:rPr>
            </w:pPr>
            <w:r>
              <w:rPr>
                <w:rFonts w:hint="eastAsia" w:ascii="宋体" w:hAnsi="宋体" w:cs="宋体"/>
                <w:sz w:val="24"/>
              </w:rPr>
              <w:t>④</w:t>
            </w:r>
            <w:r>
              <w:rPr>
                <w:sz w:val="24"/>
              </w:rPr>
              <w:t>危废运输严格按照《危险废物收集贮存运输技术规范》（HJ2025-2012）中相关要求与危废转运联单有关要求；</w:t>
            </w:r>
          </w:p>
          <w:p>
            <w:pPr>
              <w:spacing w:line="360" w:lineRule="auto"/>
              <w:ind w:firstLine="420"/>
              <w:rPr>
                <w:sz w:val="24"/>
              </w:rPr>
            </w:pPr>
            <w:r>
              <w:rPr>
                <w:rFonts w:hint="eastAsia" w:ascii="宋体" w:hAnsi="宋体" w:cs="宋体"/>
                <w:sz w:val="24"/>
              </w:rPr>
              <w:t>⑤</w:t>
            </w:r>
            <w:r>
              <w:rPr>
                <w:sz w:val="24"/>
              </w:rPr>
              <w:t>输路线应尽量避免穿越人口稠密区，远离人员活动区和生活垃圾存放场所，方便危险废物运送人员及运送工具、车辆的出入；运输人员要穿安全防护服。</w:t>
            </w:r>
          </w:p>
          <w:p>
            <w:pPr>
              <w:spacing w:line="360" w:lineRule="auto"/>
              <w:ind w:firstLine="420"/>
              <w:rPr>
                <w:sz w:val="24"/>
              </w:rPr>
            </w:pPr>
            <w:r>
              <w:rPr>
                <w:sz w:val="24"/>
              </w:rPr>
              <w:t>危废暂存库设置在危废产生点附近，运输距离较短，在加强日常管理的基础上，基本不会对周边环境造成影响。此外，所产生的各类型危废，交由有资质单位处置，运输过程的日常管理均由危废处置单位负责安排，企业在转运过程应积极配合危废处置单位的运输工作。</w:t>
            </w:r>
          </w:p>
          <w:p>
            <w:pPr>
              <w:spacing w:line="360" w:lineRule="auto"/>
              <w:ind w:firstLine="480" w:firstLineChars="200"/>
              <w:rPr>
                <w:sz w:val="24"/>
              </w:rPr>
            </w:pPr>
            <w:r>
              <w:rPr>
                <w:sz w:val="24"/>
              </w:rPr>
              <w:t>综上，在严格采取以上措施情况下，本项目营运期产生的固体废物不会对周围环境产生二次污染。</w:t>
            </w:r>
          </w:p>
          <w:p>
            <w:pPr>
              <w:spacing w:line="360" w:lineRule="auto"/>
              <w:ind w:firstLine="482" w:firstLineChars="200"/>
              <w:rPr>
                <w:b/>
                <w:bCs/>
                <w:sz w:val="24"/>
              </w:rPr>
            </w:pPr>
            <w:r>
              <w:rPr>
                <w:b/>
                <w:bCs/>
                <w:sz w:val="24"/>
              </w:rPr>
              <w:t>5、地下水、土壤环境影响分析</w:t>
            </w:r>
          </w:p>
          <w:p>
            <w:pPr>
              <w:spacing w:line="360" w:lineRule="auto"/>
              <w:ind w:firstLine="480" w:firstLineChars="200"/>
              <w:rPr>
                <w:sz w:val="24"/>
              </w:rPr>
            </w:pPr>
            <w:r>
              <w:rPr>
                <w:sz w:val="24"/>
              </w:rPr>
              <w:t>本项目对地下水、土壤造成污染的途径主要有：</w:t>
            </w:r>
            <w:r>
              <w:rPr>
                <w:rFonts w:hint="eastAsia" w:ascii="宋体" w:hAnsi="宋体" w:cs="宋体"/>
                <w:sz w:val="24"/>
              </w:rPr>
              <w:t>①（废）切削液</w:t>
            </w:r>
            <w:r>
              <w:rPr>
                <w:sz w:val="24"/>
              </w:rPr>
              <w:t>由于收集、贮放、运输、处置等环节的不严格或不妥善发生渗漏，从而造成土壤、地下水污染。</w:t>
            </w:r>
            <w:r>
              <w:rPr>
                <w:rFonts w:hint="eastAsia" w:ascii="宋体" w:hAnsi="宋体" w:cs="宋体"/>
                <w:sz w:val="24"/>
              </w:rPr>
              <w:t>②</w:t>
            </w:r>
            <w:r>
              <w:rPr>
                <w:sz w:val="24"/>
              </w:rPr>
              <w:t>污水处理系统的跑、冒、滴、漏等影响，废水下渗对地下水、土壤造成污染。</w:t>
            </w:r>
          </w:p>
          <w:p>
            <w:pPr>
              <w:spacing w:line="360" w:lineRule="auto"/>
              <w:ind w:firstLine="420"/>
              <w:rPr>
                <w:sz w:val="24"/>
              </w:rPr>
            </w:pPr>
            <w:r>
              <w:rPr>
                <w:sz w:val="24"/>
              </w:rPr>
              <w:t>鉴于本项目污染物产生和排放特点，针对土壤、地下水环境污染的可能途径，为防止建设项目物料及废水下渗对地下水造成污染，本评价建议：</w:t>
            </w:r>
          </w:p>
          <w:p>
            <w:pPr>
              <w:numPr>
                <w:ilvl w:val="0"/>
                <w:numId w:val="8"/>
              </w:numPr>
              <w:spacing w:line="360" w:lineRule="auto"/>
              <w:ind w:firstLine="420"/>
              <w:rPr>
                <w:sz w:val="24"/>
              </w:rPr>
            </w:pPr>
            <w:r>
              <w:rPr>
                <w:sz w:val="24"/>
              </w:rPr>
              <w:t>项目原料、一般固废和危险废物分类存放于相应的暂存库内，不设置露天堆场。</w:t>
            </w:r>
          </w:p>
          <w:p>
            <w:pPr>
              <w:numPr>
                <w:ilvl w:val="0"/>
                <w:numId w:val="8"/>
              </w:numPr>
              <w:spacing w:line="360" w:lineRule="auto"/>
              <w:ind w:firstLine="420"/>
              <w:rPr>
                <w:sz w:val="24"/>
              </w:rPr>
            </w:pPr>
            <w:r>
              <w:rPr>
                <w:sz w:val="24"/>
              </w:rPr>
              <w:t>根据本项目厂区可能泄漏至地面区域污染物的性质和生产单元的构筑方式，将厂区划分为重点污染防治区、一般污染防治区和非污染防治区，针对不同的区域提出相应的防渗措施。</w:t>
            </w:r>
          </w:p>
          <w:p>
            <w:pPr>
              <w:spacing w:line="360" w:lineRule="auto"/>
              <w:ind w:firstLine="480" w:firstLineChars="200"/>
              <w:rPr>
                <w:sz w:val="24"/>
              </w:rPr>
            </w:pPr>
            <w:r>
              <w:rPr>
                <w:sz w:val="24"/>
              </w:rPr>
              <w:t>1）重点防渗区</w:t>
            </w:r>
          </w:p>
          <w:p>
            <w:pPr>
              <w:pStyle w:val="361"/>
              <w:ind w:firstLine="480"/>
              <w:rPr>
                <w:kern w:val="2"/>
              </w:rPr>
            </w:pPr>
            <w:r>
              <w:t>危废暂存库、</w:t>
            </w:r>
            <w:r>
              <w:rPr>
                <w:rFonts w:hint="eastAsia"/>
              </w:rPr>
              <w:t>切削液</w:t>
            </w:r>
            <w:r>
              <w:t>储存库、化粪池为本项目地下水重点污染区域，危废暂存库、切削液储存库</w:t>
            </w:r>
            <w:r>
              <w:rPr>
                <w:kern w:val="2"/>
              </w:rPr>
              <w:t>地面用坚固、防渗的材料建造，同时地面硬化，且表面无裂隙，</w:t>
            </w:r>
            <w:r>
              <w:t>危废暂存库、切削液储存库防渗层渗透系数≤10</w:t>
            </w:r>
            <w:r>
              <w:rPr>
                <w:vertAlign w:val="superscript"/>
              </w:rPr>
              <w:t>-10</w:t>
            </w:r>
            <w:r>
              <w:t>cm/s。化粪池</w:t>
            </w:r>
            <w:r>
              <w:rPr>
                <w:kern w:val="2"/>
              </w:rPr>
              <w:t>处理构筑物采取粘土铺底，再在上层铺设10-15cm的水泥进行硬化，四周壁用砖砌再用水泥硬化防渗，全池铺水泥基渗透结晶型抗渗混泥土，防渗层渗透系数≤10</w:t>
            </w:r>
            <w:r>
              <w:rPr>
                <w:kern w:val="2"/>
                <w:vertAlign w:val="superscript"/>
              </w:rPr>
              <w:t>-10</w:t>
            </w:r>
            <w:r>
              <w:rPr>
                <w:kern w:val="2"/>
              </w:rPr>
              <w:t>cm/s，符合要求。</w:t>
            </w:r>
          </w:p>
          <w:p>
            <w:pPr>
              <w:spacing w:line="360" w:lineRule="auto"/>
              <w:ind w:firstLine="480" w:firstLineChars="200"/>
              <w:rPr>
                <w:sz w:val="24"/>
              </w:rPr>
            </w:pPr>
            <w:r>
              <w:rPr>
                <w:sz w:val="24"/>
              </w:rPr>
              <w:t>2）一般防渗区</w:t>
            </w:r>
          </w:p>
          <w:p>
            <w:pPr>
              <w:spacing w:line="360" w:lineRule="auto"/>
              <w:ind w:firstLine="420"/>
              <w:rPr>
                <w:sz w:val="24"/>
              </w:rPr>
            </w:pPr>
            <w:r>
              <w:rPr>
                <w:sz w:val="24"/>
              </w:rPr>
              <w:t>其他地方等地面均采取水泥硬化，并视情况采取防渗措施。一般污染物污染防治区参照防渗漏、防雨淋、防扬尘等环境保护要求，采用抗渗等级不低于1级的抗渗混凝土，防渗技术要求达到等效粘土防渗层Mb≥1.5m，K≤1×10</w:t>
            </w:r>
            <w:r>
              <w:rPr>
                <w:sz w:val="24"/>
                <w:vertAlign w:val="superscript"/>
              </w:rPr>
              <w:t>-7</w:t>
            </w:r>
            <w:r>
              <w:rPr>
                <w:sz w:val="24"/>
              </w:rPr>
              <w:t>cm/s。</w:t>
            </w:r>
          </w:p>
          <w:p>
            <w:pPr>
              <w:spacing w:line="360" w:lineRule="auto"/>
              <w:ind w:firstLine="420"/>
              <w:rPr>
                <w:sz w:val="24"/>
              </w:rPr>
            </w:pPr>
            <w:r>
              <w:rPr>
                <w:sz w:val="24"/>
              </w:rPr>
              <w:t>项目对可能产生地下水、土壤影响的各项途径均进行有效预防，在确保各项防渗措施得以落实，并加强维护和厂区环境管理的前提下，可有效控制厂区内的废水和危险废物等出现下渗现象，避免污染地下水，因此项目不会对区域地下水环境产生明显影响。</w:t>
            </w:r>
          </w:p>
          <w:p>
            <w:pPr>
              <w:spacing w:line="360" w:lineRule="auto"/>
              <w:ind w:firstLine="482" w:firstLineChars="200"/>
              <w:rPr>
                <w:b/>
                <w:bCs/>
                <w:sz w:val="24"/>
              </w:rPr>
            </w:pPr>
            <w:r>
              <w:rPr>
                <w:b/>
                <w:bCs/>
                <w:sz w:val="24"/>
              </w:rPr>
              <w:t>6、环境风险分析</w:t>
            </w:r>
          </w:p>
          <w:p>
            <w:pPr>
              <w:spacing w:line="360" w:lineRule="auto"/>
              <w:ind w:firstLine="420"/>
              <w:rPr>
                <w:sz w:val="24"/>
              </w:rPr>
            </w:pPr>
            <w:r>
              <w:rPr>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环境风险评价的工作重点是预测事故发主要为涉及有毒有害和易燃易爆危险物质生产、使用、储存（包括使用管线输运）的建设项生引起厂界外人群的伤害、环境质量的恶化，并提出相应的防护措施。风险识别范围目可能发生的突发性事故（不包括人为破坏及自然灾害引发的事故）的环境风险评价。</w:t>
            </w:r>
          </w:p>
          <w:p>
            <w:pPr>
              <w:spacing w:line="360" w:lineRule="auto"/>
              <w:ind w:firstLine="420"/>
              <w:rPr>
                <w:sz w:val="24"/>
              </w:rPr>
            </w:pPr>
            <w:r>
              <w:rPr>
                <w:sz w:val="24"/>
              </w:rPr>
              <w:t>（1）项目环境风险调查</w:t>
            </w:r>
          </w:p>
          <w:p>
            <w:pPr>
              <w:spacing w:line="360" w:lineRule="auto"/>
              <w:ind w:firstLine="420"/>
              <w:rPr>
                <w:sz w:val="24"/>
              </w:rPr>
            </w:pPr>
            <w:r>
              <w:rPr>
                <w:sz w:val="24"/>
              </w:rPr>
              <w:t>1）风险源调查</w:t>
            </w:r>
          </w:p>
          <w:p>
            <w:pPr>
              <w:spacing w:line="360" w:lineRule="auto"/>
              <w:ind w:firstLine="480" w:firstLineChars="200"/>
              <w:rPr>
                <w:b/>
                <w:bCs/>
              </w:rPr>
            </w:pPr>
            <w:r>
              <w:rPr>
                <w:sz w:val="24"/>
              </w:rPr>
              <w:t>根据分析，项目涉及的风险物质主要为</w:t>
            </w:r>
            <w:r>
              <w:rPr>
                <w:rFonts w:hint="eastAsia"/>
                <w:sz w:val="24"/>
              </w:rPr>
              <w:t>（废）</w:t>
            </w:r>
            <w:r>
              <w:rPr>
                <w:sz w:val="24"/>
              </w:rPr>
              <w:t>切削液等，在使用过程中出现包装桶破裂，可能造成物料外泄，物料中含有易燃物质，遇到高温、明火、电火等可能引起火灾等风险；项目</w:t>
            </w:r>
            <w:commentRangeStart w:id="8"/>
            <w:r>
              <w:rPr>
                <w:sz w:val="24"/>
              </w:rPr>
              <w:t>危险废物</w:t>
            </w:r>
            <w:r>
              <w:rPr>
                <w:color w:val="FF0000"/>
                <w:sz w:val="24"/>
              </w:rPr>
              <w:t>（废切削液）</w:t>
            </w:r>
            <w:r>
              <w:rPr>
                <w:sz w:val="24"/>
              </w:rPr>
              <w:t>、原辅材料（切削液）</w:t>
            </w:r>
            <w:commentRangeEnd w:id="8"/>
            <w:r>
              <w:commentReference w:id="8"/>
            </w:r>
            <w:r>
              <w:rPr>
                <w:sz w:val="24"/>
              </w:rPr>
              <w:t>储存过程中发生泄露，有害成分进入大气、水中，对环境空气、地表水、地下水和土壤造成污染。</w:t>
            </w:r>
          </w:p>
          <w:p>
            <w:pPr>
              <w:spacing w:line="360" w:lineRule="auto"/>
              <w:ind w:firstLine="480" w:firstLineChars="200"/>
              <w:rPr>
                <w:sz w:val="24"/>
              </w:rPr>
            </w:pPr>
            <w:r>
              <w:rPr>
                <w:sz w:val="24"/>
              </w:rPr>
              <w:t>2）风险潜势初判</w:t>
            </w:r>
          </w:p>
          <w:p>
            <w:pPr>
              <w:spacing w:line="360" w:lineRule="auto"/>
              <w:ind w:firstLine="420"/>
              <w:rPr>
                <w:sz w:val="24"/>
              </w:rPr>
            </w:pPr>
            <w:r>
              <w:rPr>
                <w:sz w:val="24"/>
              </w:rPr>
              <w:t>根据《建设项目环境风险评价技术导则》（HJ169-2018）附录B和附录C，项目重大危险源判定见表4-13。</w:t>
            </w:r>
          </w:p>
          <w:p>
            <w:pPr>
              <w:autoSpaceDE w:val="0"/>
              <w:autoSpaceDN w:val="0"/>
              <w:spacing w:before="120" w:beforeLines="50"/>
              <w:jc w:val="center"/>
              <w:rPr>
                <w:b/>
                <w:bCs/>
              </w:rPr>
            </w:pPr>
            <w:r>
              <w:rPr>
                <w:b/>
                <w:bCs/>
              </w:rPr>
              <w:t>表4-13  危险物质数量与临界量比值一览表</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3191"/>
              <w:gridCol w:w="3389"/>
              <w:gridCol w:w="3119"/>
              <w:gridCol w:w="2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vAlign w:val="center"/>
                </w:tcPr>
                <w:p>
                  <w:pPr>
                    <w:pStyle w:val="369"/>
                    <w:rPr>
                      <w:rFonts w:ascii="Times New Roman" w:hAnsi="Times New Roman" w:eastAsia="宋体" w:cs="Times New Roman"/>
                      <w:b/>
                      <w:sz w:val="21"/>
                    </w:rPr>
                  </w:pPr>
                  <w:r>
                    <w:rPr>
                      <w:rFonts w:ascii="Times New Roman" w:hAnsi="Times New Roman" w:eastAsia="宋体" w:cs="Times New Roman"/>
                      <w:b/>
                      <w:sz w:val="21"/>
                    </w:rPr>
                    <w:t>序号</w:t>
                  </w:r>
                </w:p>
              </w:tc>
              <w:tc>
                <w:tcPr>
                  <w:tcW w:w="1111" w:type="pct"/>
                  <w:vAlign w:val="center"/>
                </w:tcPr>
                <w:p>
                  <w:pPr>
                    <w:pStyle w:val="369"/>
                    <w:rPr>
                      <w:rFonts w:ascii="Times New Roman" w:hAnsi="Times New Roman" w:eastAsia="宋体" w:cs="Times New Roman"/>
                      <w:b/>
                      <w:sz w:val="21"/>
                    </w:rPr>
                  </w:pPr>
                  <w:r>
                    <w:rPr>
                      <w:rFonts w:ascii="Times New Roman" w:hAnsi="Times New Roman" w:eastAsia="宋体" w:cs="Times New Roman"/>
                      <w:b/>
                      <w:sz w:val="21"/>
                    </w:rPr>
                    <w:t>危险物质名称</w:t>
                  </w:r>
                </w:p>
              </w:tc>
              <w:tc>
                <w:tcPr>
                  <w:tcW w:w="1180" w:type="pct"/>
                  <w:vAlign w:val="center"/>
                </w:tcPr>
                <w:p>
                  <w:pPr>
                    <w:pStyle w:val="369"/>
                    <w:rPr>
                      <w:rFonts w:ascii="Times New Roman" w:hAnsi="Times New Roman" w:eastAsia="宋体" w:cs="Times New Roman"/>
                      <w:b/>
                      <w:sz w:val="21"/>
                    </w:rPr>
                  </w:pPr>
                  <w:r>
                    <w:rPr>
                      <w:rFonts w:ascii="Times New Roman" w:hAnsi="Times New Roman" w:eastAsia="宋体" w:cs="Times New Roman"/>
                      <w:b/>
                      <w:sz w:val="21"/>
                    </w:rPr>
                    <w:t>最大贮存量（t）</w:t>
                  </w:r>
                </w:p>
              </w:tc>
              <w:tc>
                <w:tcPr>
                  <w:tcW w:w="1086" w:type="pct"/>
                  <w:vAlign w:val="center"/>
                </w:tcPr>
                <w:p>
                  <w:pPr>
                    <w:pStyle w:val="369"/>
                    <w:rPr>
                      <w:rFonts w:ascii="Times New Roman" w:hAnsi="Times New Roman" w:eastAsia="宋体" w:cs="Times New Roman"/>
                      <w:b/>
                      <w:sz w:val="21"/>
                    </w:rPr>
                  </w:pPr>
                  <w:r>
                    <w:rPr>
                      <w:rFonts w:ascii="Times New Roman" w:hAnsi="Times New Roman" w:eastAsia="宋体" w:cs="Times New Roman"/>
                      <w:b/>
                      <w:sz w:val="21"/>
                    </w:rPr>
                    <w:t>临界量（t）</w:t>
                  </w:r>
                </w:p>
              </w:tc>
              <w:tc>
                <w:tcPr>
                  <w:tcW w:w="1026" w:type="pct"/>
                  <w:vAlign w:val="center"/>
                </w:tcPr>
                <w:p>
                  <w:pPr>
                    <w:pStyle w:val="369"/>
                    <w:rPr>
                      <w:rFonts w:ascii="Times New Roman" w:hAnsi="Times New Roman" w:eastAsia="宋体" w:cs="Times New Roman"/>
                      <w:b/>
                      <w:sz w:val="21"/>
                    </w:rPr>
                  </w:pPr>
                  <w:r>
                    <w:rPr>
                      <w:rFonts w:ascii="Times New Roman" w:hAnsi="Times New Roman" w:eastAsia="宋体" w:cs="Times New Roman"/>
                      <w:b/>
                      <w:sz w:val="21"/>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vAlign w:val="center"/>
                </w:tcPr>
                <w:p>
                  <w:pPr>
                    <w:pStyle w:val="369"/>
                    <w:rPr>
                      <w:rFonts w:ascii="Times New Roman" w:hAnsi="Times New Roman" w:eastAsia="宋体" w:cs="Times New Roman"/>
                      <w:sz w:val="21"/>
                    </w:rPr>
                  </w:pPr>
                  <w:r>
                    <w:rPr>
                      <w:rFonts w:ascii="Times New Roman" w:hAnsi="Times New Roman" w:eastAsia="宋体" w:cs="Times New Roman"/>
                      <w:sz w:val="21"/>
                    </w:rPr>
                    <w:t>1</w:t>
                  </w:r>
                </w:p>
              </w:tc>
              <w:tc>
                <w:tcPr>
                  <w:tcW w:w="1111" w:type="pct"/>
                  <w:vAlign w:val="center"/>
                </w:tcPr>
                <w:p>
                  <w:pPr>
                    <w:pStyle w:val="369"/>
                    <w:rPr>
                      <w:rFonts w:ascii="Times New Roman" w:hAnsi="Times New Roman" w:eastAsia="宋体" w:cs="Times New Roman"/>
                      <w:sz w:val="21"/>
                    </w:rPr>
                  </w:pPr>
                  <w:r>
                    <w:rPr>
                      <w:rFonts w:ascii="Times New Roman" w:hAnsi="Times New Roman" w:eastAsia="宋体" w:cs="Times New Roman"/>
                      <w:sz w:val="21"/>
                    </w:rPr>
                    <w:t>切削液</w:t>
                  </w:r>
                </w:p>
              </w:tc>
              <w:tc>
                <w:tcPr>
                  <w:tcW w:w="1180" w:type="pct"/>
                  <w:vAlign w:val="bottom"/>
                </w:tcPr>
                <w:p>
                  <w:pPr>
                    <w:pStyle w:val="369"/>
                    <w:rPr>
                      <w:rFonts w:ascii="Times New Roman" w:hAnsi="Times New Roman" w:eastAsia="宋体" w:cs="Times New Roman"/>
                      <w:sz w:val="21"/>
                    </w:rPr>
                  </w:pPr>
                  <w:r>
                    <w:rPr>
                      <w:rFonts w:hint="eastAsia" w:ascii="Times New Roman" w:hAnsi="Times New Roman" w:eastAsia="宋体" w:cs="Times New Roman"/>
                      <w:sz w:val="21"/>
                    </w:rPr>
                    <w:t>0.5</w:t>
                  </w:r>
                </w:p>
              </w:tc>
              <w:tc>
                <w:tcPr>
                  <w:tcW w:w="1086" w:type="pct"/>
                  <w:vAlign w:val="center"/>
                </w:tcPr>
                <w:p>
                  <w:pPr>
                    <w:pStyle w:val="369"/>
                    <w:rPr>
                      <w:rFonts w:ascii="Times New Roman" w:hAnsi="Times New Roman" w:eastAsia="宋体" w:cs="Times New Roman"/>
                      <w:color w:val="FF0000"/>
                      <w:sz w:val="21"/>
                    </w:rPr>
                  </w:pPr>
                  <w:r>
                    <w:rPr>
                      <w:rFonts w:ascii="Times New Roman" w:hAnsi="Times New Roman" w:eastAsia="宋体" w:cs="Times New Roman"/>
                      <w:color w:val="FF0000"/>
                      <w:sz w:val="21"/>
                    </w:rPr>
                    <w:t>10</w:t>
                  </w:r>
                </w:p>
              </w:tc>
              <w:tc>
                <w:tcPr>
                  <w:tcW w:w="1026" w:type="pct"/>
                  <w:vAlign w:val="center"/>
                </w:tcPr>
                <w:p>
                  <w:pPr>
                    <w:pStyle w:val="369"/>
                    <w:rPr>
                      <w:rFonts w:ascii="Times New Roman" w:hAnsi="Times New Roman" w:eastAsia="宋体" w:cs="Times New Roman"/>
                      <w:color w:val="FF0000"/>
                      <w:sz w:val="21"/>
                    </w:rPr>
                  </w:pPr>
                  <w:r>
                    <w:rPr>
                      <w:rFonts w:hint="eastAsia" w:ascii="Times New Roman" w:hAnsi="Times New Roman" w:eastAsia="宋体" w:cs="Times New Roman"/>
                      <w:color w:val="FF0000"/>
                      <w:sz w:val="21"/>
                    </w:rPr>
                    <w:t>0.0</w:t>
                  </w:r>
                  <w:r>
                    <w:rPr>
                      <w:rFonts w:ascii="Times New Roman" w:hAnsi="Times New Roman" w:eastAsia="宋体" w:cs="Times New Roman"/>
                      <w:color w:val="FF0000"/>
                      <w:sz w:val="21"/>
                    </w:rPr>
                    <w:t>5</w:t>
                  </w:r>
                  <w:r>
                    <w:rPr>
                      <w:rFonts w:hint="eastAsia" w:ascii="Times New Roman" w:hAnsi="Times New Roman" w:eastAsia="宋体" w:cs="Times New Roman"/>
                      <w:color w:val="FF0000"/>
                      <w:sz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97" w:type="pct"/>
                  <w:vAlign w:val="center"/>
                </w:tcPr>
                <w:p>
                  <w:pPr>
                    <w:pStyle w:val="369"/>
                    <w:rPr>
                      <w:rFonts w:ascii="Times New Roman" w:hAnsi="Times New Roman" w:eastAsia="宋体" w:cs="Times New Roman"/>
                      <w:sz w:val="21"/>
                    </w:rPr>
                  </w:pPr>
                  <w:r>
                    <w:rPr>
                      <w:rFonts w:ascii="Times New Roman" w:hAnsi="Times New Roman" w:eastAsia="宋体" w:cs="Times New Roman"/>
                      <w:sz w:val="21"/>
                    </w:rPr>
                    <w:t>2</w:t>
                  </w:r>
                </w:p>
              </w:tc>
              <w:tc>
                <w:tcPr>
                  <w:tcW w:w="1111" w:type="pct"/>
                  <w:vAlign w:val="center"/>
                </w:tcPr>
                <w:p>
                  <w:pPr>
                    <w:pStyle w:val="369"/>
                    <w:rPr>
                      <w:rFonts w:ascii="Times New Roman" w:hAnsi="Times New Roman" w:eastAsia="宋体" w:cs="Times New Roman"/>
                      <w:sz w:val="21"/>
                    </w:rPr>
                  </w:pPr>
                  <w:r>
                    <w:rPr>
                      <w:rFonts w:ascii="Times New Roman" w:hAnsi="Times New Roman" w:eastAsia="宋体" w:cs="Times New Roman"/>
                      <w:sz w:val="21"/>
                    </w:rPr>
                    <w:t>废切削液</w:t>
                  </w:r>
                </w:p>
              </w:tc>
              <w:tc>
                <w:tcPr>
                  <w:tcW w:w="1180" w:type="pct"/>
                  <w:vAlign w:val="center"/>
                </w:tcPr>
                <w:p>
                  <w:pPr>
                    <w:pStyle w:val="369"/>
                    <w:rPr>
                      <w:rFonts w:ascii="Times New Roman" w:hAnsi="Times New Roman" w:eastAsia="宋体" w:cs="Times New Roman"/>
                      <w:sz w:val="21"/>
                    </w:rPr>
                  </w:pPr>
                  <w:r>
                    <w:rPr>
                      <w:rFonts w:hint="eastAsia" w:ascii="Times New Roman" w:hAnsi="Times New Roman" w:eastAsia="宋体" w:cs="Times New Roman"/>
                      <w:sz w:val="21"/>
                    </w:rPr>
                    <w:t>3</w:t>
                  </w:r>
                </w:p>
              </w:tc>
              <w:tc>
                <w:tcPr>
                  <w:tcW w:w="1086" w:type="pct"/>
                  <w:vAlign w:val="center"/>
                </w:tcPr>
                <w:p>
                  <w:pPr>
                    <w:pStyle w:val="369"/>
                    <w:rPr>
                      <w:rFonts w:ascii="Times New Roman" w:hAnsi="Times New Roman" w:eastAsia="宋体" w:cs="Times New Roman"/>
                      <w:color w:val="FF0000"/>
                      <w:sz w:val="21"/>
                    </w:rPr>
                  </w:pPr>
                  <w:r>
                    <w:rPr>
                      <w:rFonts w:hint="eastAsia" w:ascii="Times New Roman" w:hAnsi="Times New Roman" w:eastAsia="宋体" w:cs="Times New Roman"/>
                      <w:color w:val="FF0000"/>
                      <w:sz w:val="21"/>
                    </w:rPr>
                    <w:t>1</w:t>
                  </w:r>
                  <w:commentRangeStart w:id="9"/>
                  <w:r>
                    <w:rPr>
                      <w:rFonts w:hint="eastAsia" w:ascii="Times New Roman" w:hAnsi="Times New Roman" w:eastAsia="宋体" w:cs="Times New Roman"/>
                      <w:color w:val="FF0000"/>
                      <w:sz w:val="21"/>
                    </w:rPr>
                    <w:t>0</w:t>
                  </w:r>
                  <w:commentRangeEnd w:id="9"/>
                  <w:r>
                    <w:rPr>
                      <w:color w:val="FF0000"/>
                    </w:rPr>
                    <w:commentReference w:id="9"/>
                  </w:r>
                </w:p>
              </w:tc>
              <w:tc>
                <w:tcPr>
                  <w:tcW w:w="1026" w:type="pct"/>
                  <w:vAlign w:val="center"/>
                </w:tcPr>
                <w:p>
                  <w:pPr>
                    <w:pStyle w:val="369"/>
                    <w:rPr>
                      <w:rFonts w:ascii="Times New Roman" w:hAnsi="Times New Roman" w:eastAsia="宋体" w:cs="Times New Roman"/>
                      <w:color w:val="FF0000"/>
                      <w:sz w:val="21"/>
                    </w:rPr>
                  </w:pPr>
                  <w:r>
                    <w:rPr>
                      <w:rFonts w:hint="eastAsia" w:ascii="Times New Roman" w:hAnsi="Times New Roman" w:eastAsia="宋体" w:cs="Times New Roman"/>
                      <w:color w:val="FF0000"/>
                      <w:sz w:val="21"/>
                    </w:rPr>
                    <w:t>0.</w:t>
                  </w:r>
                  <w:r>
                    <w:rPr>
                      <w:rFonts w:ascii="Times New Roman" w:hAnsi="Times New Roman" w:eastAsia="宋体" w:cs="Times New Roman"/>
                      <w:color w:val="FF0000"/>
                      <w:sz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74" w:type="pct"/>
                  <w:gridSpan w:val="4"/>
                  <w:vAlign w:val="center"/>
                </w:tcPr>
                <w:p>
                  <w:pPr>
                    <w:pStyle w:val="369"/>
                    <w:rPr>
                      <w:rFonts w:ascii="Times New Roman" w:hAnsi="Times New Roman" w:eastAsia="宋体" w:cs="Times New Roman"/>
                      <w:sz w:val="21"/>
                    </w:rPr>
                  </w:pPr>
                  <w:r>
                    <w:rPr>
                      <w:rFonts w:ascii="Times New Roman" w:hAnsi="Times New Roman" w:eastAsia="宋体" w:cs="Times New Roman"/>
                      <w:sz w:val="21"/>
                    </w:rPr>
                    <w:t>合计</w:t>
                  </w:r>
                </w:p>
              </w:tc>
              <w:tc>
                <w:tcPr>
                  <w:tcW w:w="1026" w:type="pct"/>
                  <w:vAlign w:val="center"/>
                </w:tcPr>
                <w:p>
                  <w:pPr>
                    <w:pStyle w:val="369"/>
                    <w:rPr>
                      <w:rFonts w:ascii="Times New Roman" w:hAnsi="Times New Roman" w:eastAsia="宋体" w:cs="Times New Roman"/>
                      <w:color w:val="FF0000"/>
                      <w:sz w:val="21"/>
                    </w:rPr>
                  </w:pPr>
                  <w:r>
                    <w:rPr>
                      <w:rFonts w:hint="eastAsia" w:ascii="Times New Roman" w:hAnsi="Times New Roman" w:eastAsia="宋体" w:cs="Times New Roman"/>
                      <w:color w:val="FF0000"/>
                      <w:sz w:val="21"/>
                    </w:rPr>
                    <w:t>0.</w:t>
                  </w:r>
                  <w:r>
                    <w:rPr>
                      <w:rFonts w:ascii="Times New Roman" w:hAnsi="Times New Roman" w:eastAsia="宋体" w:cs="Times New Roman"/>
                      <w:color w:val="FF0000"/>
                      <w:sz w:val="21"/>
                    </w:rPr>
                    <w:t>35</w:t>
                  </w:r>
                </w:p>
              </w:tc>
            </w:tr>
          </w:tbl>
          <w:p>
            <w:pPr>
              <w:spacing w:before="120" w:beforeLines="50"/>
              <w:ind w:firstLine="420"/>
              <w:rPr>
                <w:b/>
                <w:color w:val="FF0000"/>
                <w:szCs w:val="21"/>
              </w:rPr>
            </w:pPr>
            <w:r>
              <w:rPr>
                <w:rFonts w:hint="eastAsia"/>
                <w:b/>
                <w:color w:val="FF0000"/>
                <w:szCs w:val="21"/>
              </w:rPr>
              <w:t>注</w:t>
            </w:r>
            <w:r>
              <w:rPr>
                <w:b/>
                <w:color w:val="FF0000"/>
                <w:szCs w:val="21"/>
              </w:rPr>
              <w:t>：</w:t>
            </w:r>
            <w:r>
              <w:rPr>
                <w:rFonts w:hint="eastAsia"/>
                <w:b/>
                <w:color w:val="FF0000"/>
                <w:szCs w:val="21"/>
              </w:rPr>
              <w:t>切削液</w:t>
            </w:r>
            <w:r>
              <w:rPr>
                <w:b/>
                <w:color w:val="FF0000"/>
                <w:szCs w:val="21"/>
              </w:rPr>
              <w:t>及废切削液属于</w:t>
            </w:r>
            <w:r>
              <w:rPr>
                <w:rFonts w:hint="eastAsia"/>
                <w:b/>
                <w:color w:val="FF0000"/>
                <w:szCs w:val="21"/>
              </w:rPr>
              <w:t>COD</w:t>
            </w:r>
            <w:r>
              <w:rPr>
                <w:rFonts w:hint="eastAsia"/>
                <w:b/>
                <w:color w:val="FF0000"/>
                <w:szCs w:val="21"/>
                <w:vertAlign w:val="subscript"/>
              </w:rPr>
              <w:t>Cr</w:t>
            </w:r>
            <w:r>
              <w:rPr>
                <w:rFonts w:hint="eastAsia"/>
                <w:b/>
                <w:color w:val="FF0000"/>
                <w:szCs w:val="21"/>
              </w:rPr>
              <w:t>浓度≥10000mg/L的有机废液。</w:t>
            </w:r>
          </w:p>
          <w:p>
            <w:pPr>
              <w:spacing w:before="120" w:beforeLines="50" w:line="360" w:lineRule="auto"/>
              <w:ind w:firstLine="420"/>
              <w:rPr>
                <w:sz w:val="24"/>
              </w:rPr>
            </w:pPr>
            <w:r>
              <w:rPr>
                <w:sz w:val="24"/>
              </w:rPr>
              <w:t>根据上表判断，q/Q＜1，项目环境风险潜势判断为</w:t>
            </w:r>
            <w:r>
              <w:rPr>
                <w:rFonts w:hint="eastAsia" w:ascii="宋体" w:hAnsi="宋体" w:cs="宋体"/>
                <w:sz w:val="24"/>
              </w:rPr>
              <w:t>Ⅰ</w:t>
            </w:r>
            <w:r>
              <w:rPr>
                <w:sz w:val="24"/>
              </w:rPr>
              <w:t>。</w:t>
            </w:r>
          </w:p>
          <w:p>
            <w:pPr>
              <w:spacing w:line="360" w:lineRule="auto"/>
              <w:ind w:firstLine="480" w:firstLineChars="200"/>
              <w:rPr>
                <w:sz w:val="24"/>
              </w:rPr>
            </w:pPr>
            <w:r>
              <w:rPr>
                <w:sz w:val="24"/>
              </w:rPr>
              <w:t>3）评价等级</w:t>
            </w:r>
          </w:p>
          <w:p>
            <w:pPr>
              <w:spacing w:line="360" w:lineRule="auto"/>
              <w:ind w:firstLine="420"/>
              <w:rPr>
                <w:sz w:val="24"/>
              </w:rPr>
            </w:pPr>
            <w:r>
              <w:rPr>
                <w:sz w:val="24"/>
              </w:rPr>
              <w:t>根据《建设项目环境风险评价技术导则》（HJ169-2018）中环境风险评价工作等级划分标准，风险潜势判断为Ⅰ的可进行简单分析。</w:t>
            </w:r>
          </w:p>
          <w:p>
            <w:pPr>
              <w:spacing w:line="360" w:lineRule="auto"/>
              <w:ind w:firstLine="420"/>
              <w:rPr>
                <w:sz w:val="24"/>
              </w:rPr>
            </w:pPr>
            <w:r>
              <w:rPr>
                <w:sz w:val="24"/>
              </w:rPr>
              <w:t>（2）环境风险影响分析</w:t>
            </w:r>
          </w:p>
          <w:p>
            <w:pPr>
              <w:spacing w:line="360" w:lineRule="auto"/>
              <w:ind w:firstLine="420"/>
              <w:rPr>
                <w:sz w:val="24"/>
              </w:rPr>
            </w:pPr>
            <w:r>
              <w:rPr>
                <w:sz w:val="24"/>
              </w:rPr>
              <w:t>1）火灾风险事故分析</w:t>
            </w:r>
          </w:p>
          <w:p>
            <w:pPr>
              <w:spacing w:line="360" w:lineRule="auto"/>
              <w:ind w:firstLine="480" w:firstLineChars="200"/>
              <w:rPr>
                <w:sz w:val="24"/>
              </w:rPr>
            </w:pPr>
            <w:r>
              <w:rPr>
                <w:rFonts w:hint="eastAsia"/>
                <w:sz w:val="24"/>
              </w:rPr>
              <w:t>（废）</w:t>
            </w:r>
            <w:r>
              <w:rPr>
                <w:sz w:val="24"/>
              </w:rPr>
              <w:t>切削液若发生火灾事故，燃烧产生的烟气进入到空气中将会对厂区员工及附近居民的身体造成一定的伤害。考虑到项目实施后</w:t>
            </w:r>
            <w:r>
              <w:rPr>
                <w:rFonts w:hint="eastAsia"/>
                <w:sz w:val="24"/>
              </w:rPr>
              <w:t>（废）</w:t>
            </w:r>
            <w:r>
              <w:rPr>
                <w:sz w:val="24"/>
              </w:rPr>
              <w:t>切削液用量不大，事故发生的概率小，一是防雷击防火等防范可靠性强，二是即使发生雷击火灾，燃烧形成的烟气量较小，经扩散稀释后对周围大气环境污染较小。物料使用和贮存过程中可能发生火灾等风险事故，同时造成物料外泄。在火灾的同时，物料会随着消防用水四溢，这些外泄物料和混有此类物质的消防水可能通过厂区雨污管网排入附近地表水体，造成周边水体造成一定的污染影响。</w:t>
            </w:r>
          </w:p>
          <w:p>
            <w:pPr>
              <w:spacing w:line="360" w:lineRule="auto"/>
              <w:ind w:firstLine="420"/>
              <w:rPr>
                <w:sz w:val="24"/>
              </w:rPr>
            </w:pPr>
            <w:r>
              <w:rPr>
                <w:sz w:val="24"/>
              </w:rPr>
              <w:t>2）泄漏风险事故影响分析</w:t>
            </w:r>
          </w:p>
          <w:p>
            <w:pPr>
              <w:spacing w:line="360" w:lineRule="auto"/>
              <w:ind w:firstLine="480" w:firstLineChars="200"/>
              <w:jc w:val="left"/>
              <w:rPr>
                <w:sz w:val="24"/>
              </w:rPr>
            </w:pPr>
            <w:r>
              <w:rPr>
                <w:rFonts w:hint="eastAsia"/>
                <w:sz w:val="24"/>
              </w:rPr>
              <w:t>（废）</w:t>
            </w:r>
            <w:r>
              <w:rPr>
                <w:sz w:val="24"/>
              </w:rPr>
              <w:t>切削液储存量较少，且根据同类型国内企业实际运行情况，项目运行中危险物质泄漏风险事故概率较低。一旦发生危险物质泄露，若不采取有效的应急措施，危险物质大部分将会通过厂区雨污管网进入地表水。若危险物质将直接进入附近地表水，容易在水体表面形成油膜，导致水体复氧困难，水体长期被油膜覆盖将会导致水体缺氧，水体好氧生物死亡，破坏水生生态系统。泄漏的危险物质会有小部分挥发，污染大气环境。本项目危险物质发生泄漏事故后，由于泄漏量较小，容易采取有效的应急措施，防止泄漏的危险物质污染地表水体，可有效减少危险物质泄漏对环境的影响程度。</w:t>
            </w:r>
          </w:p>
          <w:p>
            <w:pPr>
              <w:spacing w:line="360" w:lineRule="auto"/>
              <w:ind w:firstLine="480" w:firstLineChars="200"/>
              <w:rPr>
                <w:sz w:val="24"/>
              </w:rPr>
            </w:pPr>
            <w:r>
              <w:rPr>
                <w:sz w:val="24"/>
              </w:rPr>
              <w:t>（3）风险防范措施</w:t>
            </w:r>
          </w:p>
          <w:p>
            <w:pPr>
              <w:spacing w:line="360" w:lineRule="auto"/>
              <w:ind w:firstLine="480" w:firstLineChars="200"/>
              <w:rPr>
                <w:sz w:val="24"/>
              </w:rPr>
            </w:pPr>
            <w:r>
              <w:rPr>
                <w:sz w:val="24"/>
              </w:rPr>
              <w:t>本项目涉及使用和存放的</w:t>
            </w:r>
            <w:r>
              <w:rPr>
                <w:rFonts w:hint="eastAsia"/>
                <w:sz w:val="24"/>
              </w:rPr>
              <w:t>（废）</w:t>
            </w:r>
            <w:r>
              <w:rPr>
                <w:sz w:val="24"/>
              </w:rPr>
              <w:t>切削液，可能存在物料泄漏或泄露后遇明火发生火灾等环境风险，本评价从风险防范方面提出防范及应急处理措施。</w:t>
            </w:r>
          </w:p>
          <w:p>
            <w:pPr>
              <w:spacing w:line="360" w:lineRule="auto"/>
              <w:ind w:firstLine="480" w:firstLineChars="200"/>
              <w:rPr>
                <w:sz w:val="24"/>
              </w:rPr>
            </w:pPr>
            <w:r>
              <w:rPr>
                <w:sz w:val="24"/>
              </w:rPr>
              <w:t>1）加强对</w:t>
            </w:r>
            <w:r>
              <w:rPr>
                <w:rFonts w:hint="eastAsia"/>
                <w:sz w:val="24"/>
              </w:rPr>
              <w:t>（废）</w:t>
            </w:r>
            <w:r>
              <w:rPr>
                <w:sz w:val="24"/>
              </w:rPr>
              <w:t>切削液的安全管理，做到专人管理、专人负责。此外，厂区实行用火作业许可证制度和定点吸烟制度，吸烟点应远离生产场所等防火重点区域，并设置防火标示牌和危险品防护标志。</w:t>
            </w:r>
          </w:p>
          <w:p>
            <w:pPr>
              <w:spacing w:line="360" w:lineRule="auto"/>
              <w:ind w:firstLine="480" w:firstLineChars="200"/>
              <w:rPr>
                <w:sz w:val="24"/>
              </w:rPr>
            </w:pPr>
            <w:r>
              <w:rPr>
                <w:sz w:val="24"/>
              </w:rPr>
              <w:t>2）切削液入库前，认真检查包装桶的完整性及密封性，防止变形、破损或者密封不严的原料入库，对不合格的原料，经处理符合要求后方可登记入库储存。</w:t>
            </w:r>
          </w:p>
          <w:p>
            <w:pPr>
              <w:spacing w:line="360" w:lineRule="auto"/>
              <w:ind w:firstLine="480" w:firstLineChars="200"/>
              <w:rPr>
                <w:sz w:val="24"/>
              </w:rPr>
            </w:pPr>
            <w:r>
              <w:rPr>
                <w:sz w:val="24"/>
              </w:rPr>
              <w:t>3）要求建设单位对</w:t>
            </w:r>
            <w:r>
              <w:rPr>
                <w:rFonts w:hint="eastAsia"/>
                <w:sz w:val="24"/>
              </w:rPr>
              <w:t>（废）</w:t>
            </w:r>
            <w:r>
              <w:rPr>
                <w:sz w:val="24"/>
              </w:rPr>
              <w:t>切削液的安全管理工作，储存场所必须保持干燥，室温应在35℃以下，并有相应的防火安全措施。</w:t>
            </w:r>
          </w:p>
          <w:p>
            <w:pPr>
              <w:spacing w:line="360" w:lineRule="auto"/>
              <w:ind w:firstLine="480" w:firstLineChars="200"/>
              <w:rPr>
                <w:sz w:val="24"/>
              </w:rPr>
            </w:pPr>
            <w:r>
              <w:rPr>
                <w:sz w:val="24"/>
              </w:rPr>
              <w:t>4）应严格按照国家有关消防安全的规定，制定消防灭火应急预案，建立自动灭火系统，配备足够的消防设施和消防器材。一切消防器材不准挪动、乱用，并要定期检查，灭火器要按时换药。</w:t>
            </w:r>
          </w:p>
          <w:p>
            <w:pPr>
              <w:spacing w:line="360" w:lineRule="auto"/>
              <w:ind w:firstLine="480" w:firstLineChars="200"/>
              <w:rPr>
                <w:sz w:val="24"/>
              </w:rPr>
            </w:pPr>
            <w:r>
              <w:rPr>
                <w:sz w:val="24"/>
              </w:rPr>
              <w:t>5）搬运、装卸</w:t>
            </w:r>
            <w:r>
              <w:rPr>
                <w:rFonts w:hint="eastAsia"/>
                <w:sz w:val="24"/>
              </w:rPr>
              <w:t>（废）</w:t>
            </w:r>
            <w:r>
              <w:rPr>
                <w:sz w:val="24"/>
              </w:rPr>
              <w:t>切削液时应按照有关规定进行，做到轻装、轻卸。严禁摔、碰、撞、击、拖拉、倾倒和滚动。</w:t>
            </w:r>
          </w:p>
          <w:p>
            <w:pPr>
              <w:spacing w:line="360" w:lineRule="auto"/>
              <w:ind w:firstLine="480" w:firstLineChars="200"/>
              <w:rPr>
                <w:sz w:val="24"/>
              </w:rPr>
            </w:pPr>
            <w:r>
              <w:rPr>
                <w:sz w:val="24"/>
              </w:rPr>
              <w:t>6）项目设置危废暂存间，危废暂存间地面采取防渗、防腐措施，发现危险废物（主要为</w:t>
            </w:r>
            <w:r>
              <w:rPr>
                <w:rFonts w:hint="eastAsia"/>
                <w:sz w:val="24"/>
              </w:rPr>
              <w:t>废</w:t>
            </w:r>
            <w:r>
              <w:rPr>
                <w:sz w:val="24"/>
              </w:rPr>
              <w:t>切削液）泄漏时及时收集和处理，定期交由危废处置资质单位处置；</w:t>
            </w:r>
          </w:p>
          <w:p>
            <w:pPr>
              <w:spacing w:line="360" w:lineRule="auto"/>
              <w:ind w:firstLine="480" w:firstLineChars="200"/>
            </w:pPr>
            <w:r>
              <w:rPr>
                <w:sz w:val="24"/>
              </w:rPr>
              <w:t>7）机修间需设易燃标识，设专人进行巡逻，该区域内绝对禁止明火，并根据《建筑灭火器配置设计规范》（GB50140-2005）的规定，在建筑物内配置一定数量的灭火器，以便及时扑灭初起火灾。</w:t>
            </w:r>
          </w:p>
          <w:p>
            <w:pPr>
              <w:spacing w:line="360" w:lineRule="auto"/>
              <w:ind w:firstLine="480" w:firstLineChars="200"/>
              <w:rPr>
                <w:sz w:val="24"/>
              </w:rPr>
            </w:pPr>
            <w:r>
              <w:rPr>
                <w:sz w:val="24"/>
              </w:rPr>
              <w:t>（4）风险评价结论</w:t>
            </w:r>
          </w:p>
          <w:p>
            <w:pPr>
              <w:spacing w:line="360" w:lineRule="auto"/>
              <w:ind w:firstLine="480" w:firstLineChars="200"/>
              <w:rPr>
                <w:bCs/>
                <w:color w:val="FF0000"/>
                <w:spacing w:val="-10"/>
                <w:szCs w:val="21"/>
              </w:rPr>
            </w:pPr>
            <w:r>
              <w:rPr>
                <w:sz w:val="24"/>
              </w:rPr>
              <w:t>本项目涉及的主要环境风险物质为</w:t>
            </w:r>
            <w:r>
              <w:rPr>
                <w:rFonts w:hint="eastAsia"/>
                <w:sz w:val="24"/>
              </w:rPr>
              <w:t>（废）</w:t>
            </w:r>
            <w:r>
              <w:rPr>
                <w:sz w:val="24"/>
              </w:rPr>
              <w:t>切削液等，风险事故风险类型主要为原料泄</w:t>
            </w:r>
            <w:r>
              <w:rPr>
                <w:rFonts w:hint="eastAsia"/>
                <w:sz w:val="24"/>
                <w:lang w:val="en-US" w:eastAsia="zh-CN"/>
              </w:rPr>
              <w:t>漏</w:t>
            </w:r>
            <w:r>
              <w:rPr>
                <w:sz w:val="24"/>
              </w:rPr>
              <w:t>事故以及火灾环境事故，但只要建设单位认真落实本次评价提出的各项风险防范措施，运营中加强安全管理，杜绝认为操作失误，制定完善、有效的环境风险突发事件应急预案，一担发生事故采取有效的措施，防止事故蔓延，并做好事后环境污染治理工作，则项目的环境风险影响是可控的，不会对环境和人员安全造成明显的影响。</w:t>
            </w:r>
          </w:p>
        </w:tc>
      </w:tr>
    </w:tbl>
    <w:p>
      <w:pPr>
        <w:pStyle w:val="35"/>
        <w:jc w:val="center"/>
        <w:outlineLvl w:val="0"/>
        <w:rPr>
          <w:rFonts w:ascii="Times New Roman" w:hAnsi="Times New Roman"/>
          <w:snapToGrid w:val="0"/>
          <w:color w:val="FF0000"/>
          <w:sz w:val="30"/>
          <w:szCs w:val="30"/>
        </w:rPr>
        <w:sectPr>
          <w:pgSz w:w="16838" w:h="11906" w:orient="landscape"/>
          <w:pgMar w:top="1531" w:right="1701" w:bottom="1531" w:left="1701" w:header="851" w:footer="851" w:gutter="0"/>
          <w:cols w:space="720" w:num="1"/>
          <w:docGrid w:linePitch="312" w:charSpace="0"/>
        </w:sectPr>
      </w:pPr>
    </w:p>
    <w:p>
      <w:pPr>
        <w:pStyle w:val="35"/>
        <w:jc w:val="center"/>
        <w:outlineLvl w:val="0"/>
        <w:rPr>
          <w:rFonts w:ascii="Times New Roman" w:hAnsi="Times New Roman"/>
          <w:snapToGrid w:val="0"/>
          <w:sz w:val="30"/>
          <w:szCs w:val="30"/>
        </w:rPr>
      </w:pPr>
      <w:r>
        <w:rPr>
          <w:rFonts w:ascii="Times New Roman" w:hAnsi="Times New Roman"/>
          <w:snapToGrid w:val="0"/>
          <w:sz w:val="30"/>
          <w:szCs w:val="30"/>
        </w:rPr>
        <w:t>五、</w:t>
      </w:r>
      <w:bookmarkStart w:id="2" w:name="_Hlk54167917"/>
      <w:r>
        <w:rPr>
          <w:rFonts w:ascii="Times New Roman" w:hAnsi="Times New Roman"/>
          <w:snapToGrid w:val="0"/>
          <w:sz w:val="30"/>
          <w:szCs w:val="30"/>
        </w:rPr>
        <w:t>环境保护措施监督检查清单</w:t>
      </w:r>
      <w:bookmarkEnd w:id="2"/>
    </w:p>
    <w:tbl>
      <w:tblPr>
        <w:tblStyle w:val="40"/>
        <w:tblW w:w="10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1755"/>
        <w:gridCol w:w="1548"/>
        <w:gridCol w:w="1962"/>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tcBorders>
              <w:tl2br w:val="single" w:color="auto" w:sz="4" w:space="0"/>
            </w:tcBorders>
          </w:tcPr>
          <w:p>
            <w:pPr>
              <w:adjustRightInd w:val="0"/>
              <w:snapToGrid w:val="0"/>
              <w:ind w:firstLine="840"/>
              <w:rPr>
                <w:sz w:val="24"/>
              </w:rPr>
            </w:pPr>
            <w:r>
              <w:rPr>
                <w:sz w:val="24"/>
              </w:rPr>
              <w:t>内容</w:t>
            </w:r>
          </w:p>
          <w:p>
            <w:pPr>
              <w:adjustRightInd w:val="0"/>
              <w:snapToGrid w:val="0"/>
              <w:rPr>
                <w:sz w:val="24"/>
              </w:rPr>
            </w:pPr>
            <w:r>
              <w:rPr>
                <w:sz w:val="24"/>
              </w:rPr>
              <w:t>要素</w:t>
            </w:r>
          </w:p>
        </w:tc>
        <w:tc>
          <w:tcPr>
            <w:tcW w:w="1755" w:type="dxa"/>
            <w:vAlign w:val="center"/>
          </w:tcPr>
          <w:p>
            <w:pPr>
              <w:adjustRightInd w:val="0"/>
              <w:snapToGrid w:val="0"/>
              <w:jc w:val="center"/>
              <w:rPr>
                <w:sz w:val="24"/>
              </w:rPr>
            </w:pPr>
            <w:r>
              <w:rPr>
                <w:sz w:val="24"/>
              </w:rPr>
              <w:t>排放口(编号、</w:t>
            </w:r>
          </w:p>
          <w:p>
            <w:pPr>
              <w:adjustRightInd w:val="0"/>
              <w:snapToGrid w:val="0"/>
              <w:jc w:val="center"/>
              <w:rPr>
                <w:sz w:val="24"/>
              </w:rPr>
            </w:pPr>
            <w:r>
              <w:rPr>
                <w:sz w:val="24"/>
              </w:rPr>
              <w:t>名称)/污染源</w:t>
            </w:r>
          </w:p>
        </w:tc>
        <w:tc>
          <w:tcPr>
            <w:tcW w:w="1548" w:type="dxa"/>
            <w:vAlign w:val="center"/>
          </w:tcPr>
          <w:p>
            <w:pPr>
              <w:adjustRightInd w:val="0"/>
              <w:snapToGrid w:val="0"/>
              <w:jc w:val="center"/>
              <w:rPr>
                <w:sz w:val="24"/>
              </w:rPr>
            </w:pPr>
            <w:r>
              <w:rPr>
                <w:sz w:val="24"/>
              </w:rPr>
              <w:t>污染物项目</w:t>
            </w:r>
          </w:p>
        </w:tc>
        <w:tc>
          <w:tcPr>
            <w:tcW w:w="1962" w:type="dxa"/>
            <w:vAlign w:val="center"/>
          </w:tcPr>
          <w:p>
            <w:pPr>
              <w:adjustRightInd w:val="0"/>
              <w:snapToGrid w:val="0"/>
              <w:jc w:val="center"/>
              <w:rPr>
                <w:sz w:val="24"/>
              </w:rPr>
            </w:pPr>
            <w:r>
              <w:rPr>
                <w:sz w:val="24"/>
              </w:rPr>
              <w:t>环境保护措施</w:t>
            </w:r>
          </w:p>
        </w:tc>
        <w:tc>
          <w:tcPr>
            <w:tcW w:w="2565" w:type="dxa"/>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Merge w:val="restart"/>
            <w:vAlign w:val="center"/>
          </w:tcPr>
          <w:p>
            <w:pPr>
              <w:adjustRightInd w:val="0"/>
              <w:snapToGrid w:val="0"/>
              <w:jc w:val="center"/>
              <w:rPr>
                <w:sz w:val="24"/>
              </w:rPr>
            </w:pPr>
            <w:r>
              <w:rPr>
                <w:sz w:val="24"/>
              </w:rPr>
              <w:t>大气环境</w:t>
            </w:r>
          </w:p>
        </w:tc>
        <w:tc>
          <w:tcPr>
            <w:tcW w:w="1755" w:type="dxa"/>
            <w:vAlign w:val="center"/>
          </w:tcPr>
          <w:p>
            <w:pPr>
              <w:pStyle w:val="226"/>
              <w:spacing w:line="240" w:lineRule="auto"/>
              <w:rPr>
                <w:color w:val="FF0000"/>
                <w:sz w:val="24"/>
                <w:lang w:eastAsia="zh-CN"/>
              </w:rPr>
            </w:pPr>
            <w:r>
              <w:rPr>
                <w:rFonts w:hint="eastAsia"/>
                <w:color w:val="FF0000"/>
                <w:sz w:val="24"/>
                <w:lang w:eastAsia="zh-CN"/>
              </w:rPr>
              <w:t>DA001 1#车间排气筒</w:t>
            </w:r>
          </w:p>
        </w:tc>
        <w:tc>
          <w:tcPr>
            <w:tcW w:w="1548" w:type="dxa"/>
            <w:vAlign w:val="center"/>
          </w:tcPr>
          <w:p>
            <w:pPr>
              <w:pStyle w:val="226"/>
              <w:spacing w:line="240" w:lineRule="auto"/>
              <w:rPr>
                <w:color w:val="FF0000"/>
                <w:sz w:val="24"/>
                <w:lang w:eastAsia="zh-CN"/>
              </w:rPr>
            </w:pPr>
            <w:r>
              <w:rPr>
                <w:rFonts w:hint="eastAsia"/>
                <w:color w:val="FF0000"/>
                <w:sz w:val="24"/>
                <w:lang w:eastAsia="zh-CN"/>
              </w:rPr>
              <w:t>颗粒物</w:t>
            </w:r>
          </w:p>
        </w:tc>
        <w:tc>
          <w:tcPr>
            <w:tcW w:w="1962" w:type="dxa"/>
            <w:vAlign w:val="center"/>
          </w:tcPr>
          <w:p>
            <w:pPr>
              <w:pStyle w:val="226"/>
              <w:spacing w:line="240" w:lineRule="auto"/>
              <w:rPr>
                <w:color w:val="FF0000"/>
                <w:sz w:val="24"/>
                <w:lang w:eastAsia="zh-CN"/>
              </w:rPr>
            </w:pPr>
            <w:r>
              <w:rPr>
                <w:rFonts w:hint="eastAsia"/>
                <w:color w:val="FF0000"/>
                <w:sz w:val="24"/>
                <w:lang w:eastAsia="zh-CN"/>
              </w:rPr>
              <w:t>1套焊烟净化器、1套</w:t>
            </w:r>
            <w:r>
              <w:rPr>
                <w:color w:val="FF0000"/>
                <w:sz w:val="24"/>
                <w:lang w:eastAsia="zh-CN"/>
              </w:rPr>
              <w:t>布袋除尘器</w:t>
            </w:r>
            <w:r>
              <w:rPr>
                <w:rFonts w:hint="eastAsia"/>
                <w:color w:val="FF0000"/>
                <w:sz w:val="24"/>
                <w:lang w:eastAsia="zh-CN"/>
              </w:rPr>
              <w:t>处理+1根</w:t>
            </w:r>
            <w:r>
              <w:rPr>
                <w:color w:val="FF0000"/>
                <w:sz w:val="24"/>
                <w:lang w:eastAsia="zh-CN"/>
              </w:rPr>
              <w:t>15m高排气筒</w:t>
            </w:r>
            <w:r>
              <w:rPr>
                <w:rFonts w:hint="eastAsia"/>
                <w:color w:val="FF0000"/>
                <w:sz w:val="24"/>
                <w:lang w:eastAsia="zh-CN"/>
              </w:rPr>
              <w:t>（3000</w:t>
            </w:r>
            <w:r>
              <w:rPr>
                <w:bCs/>
                <w:color w:val="FF0000"/>
                <w:sz w:val="24"/>
                <w:lang w:eastAsia="zh-CN"/>
              </w:rPr>
              <w:t>m</w:t>
            </w:r>
            <w:r>
              <w:rPr>
                <w:bCs/>
                <w:color w:val="FF0000"/>
                <w:sz w:val="24"/>
                <w:vertAlign w:val="superscript"/>
                <w:lang w:eastAsia="zh-CN"/>
              </w:rPr>
              <w:t>3</w:t>
            </w:r>
            <w:r>
              <w:rPr>
                <w:bCs/>
                <w:color w:val="FF0000"/>
                <w:sz w:val="24"/>
                <w:lang w:eastAsia="zh-CN"/>
              </w:rPr>
              <w:t>/h</w:t>
            </w:r>
            <w:r>
              <w:rPr>
                <w:rFonts w:hint="eastAsia"/>
                <w:bCs/>
                <w:color w:val="FF0000"/>
                <w:sz w:val="24"/>
                <w:lang w:eastAsia="zh-CN"/>
              </w:rPr>
              <w:t>，处理效率99</w:t>
            </w:r>
            <w:r>
              <w:rPr>
                <w:bCs/>
                <w:color w:val="FF0000"/>
                <w:sz w:val="24"/>
                <w:lang w:eastAsia="zh-CN"/>
              </w:rPr>
              <w:t>%</w:t>
            </w:r>
            <w:r>
              <w:rPr>
                <w:rFonts w:hint="eastAsia"/>
                <w:color w:val="FF0000"/>
                <w:sz w:val="24"/>
                <w:lang w:eastAsia="zh-CN"/>
              </w:rPr>
              <w:t>）</w:t>
            </w:r>
          </w:p>
        </w:tc>
        <w:tc>
          <w:tcPr>
            <w:tcW w:w="2565" w:type="dxa"/>
            <w:vMerge w:val="restart"/>
            <w:vAlign w:val="center"/>
          </w:tcPr>
          <w:p>
            <w:pPr>
              <w:adjustRightInd w:val="0"/>
              <w:snapToGrid w:val="0"/>
              <w:jc w:val="center"/>
              <w:rPr>
                <w:color w:val="FF0000"/>
                <w:sz w:val="24"/>
              </w:rPr>
            </w:pPr>
            <w:r>
              <w:rPr>
                <w:rFonts w:hint="eastAsia"/>
                <w:color w:val="FF0000"/>
                <w:sz w:val="24"/>
              </w:rPr>
              <w:t>《大气污染物综合排放标准》（GB16297-1996）表2中</w:t>
            </w:r>
            <w:r>
              <w:rPr>
                <w:color w:val="FF0000"/>
                <w:sz w:val="24"/>
              </w:rPr>
              <w:t>二级标准及</w:t>
            </w:r>
            <w:r>
              <w:rPr>
                <w:rFonts w:hint="eastAsia"/>
                <w:color w:val="FF0000"/>
                <w:sz w:val="24"/>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Merge w:val="continue"/>
            <w:vAlign w:val="center"/>
          </w:tcPr>
          <w:p>
            <w:pPr>
              <w:adjustRightInd w:val="0"/>
              <w:snapToGrid w:val="0"/>
              <w:jc w:val="center"/>
              <w:rPr>
                <w:color w:val="FF0000"/>
                <w:sz w:val="24"/>
              </w:rPr>
            </w:pPr>
          </w:p>
        </w:tc>
        <w:tc>
          <w:tcPr>
            <w:tcW w:w="1755" w:type="dxa"/>
            <w:vAlign w:val="center"/>
          </w:tcPr>
          <w:p>
            <w:pPr>
              <w:adjustRightInd w:val="0"/>
              <w:snapToGrid w:val="0"/>
              <w:jc w:val="center"/>
              <w:rPr>
                <w:color w:val="FF0000"/>
                <w:sz w:val="24"/>
              </w:rPr>
            </w:pPr>
            <w:r>
              <w:rPr>
                <w:rFonts w:hint="eastAsia"/>
                <w:color w:val="FF0000"/>
                <w:sz w:val="24"/>
              </w:rPr>
              <w:t>DA00</w:t>
            </w:r>
            <w:r>
              <w:rPr>
                <w:color w:val="FF0000"/>
                <w:sz w:val="24"/>
              </w:rPr>
              <w:t>2</w:t>
            </w:r>
            <w:r>
              <w:rPr>
                <w:rFonts w:hint="eastAsia"/>
                <w:color w:val="FF0000"/>
                <w:sz w:val="24"/>
              </w:rPr>
              <w:t xml:space="preserve"> </w:t>
            </w:r>
            <w:r>
              <w:rPr>
                <w:color w:val="FF0000"/>
                <w:sz w:val="24"/>
              </w:rPr>
              <w:t>2</w:t>
            </w:r>
            <w:r>
              <w:rPr>
                <w:rFonts w:hint="eastAsia"/>
                <w:color w:val="FF0000"/>
                <w:sz w:val="24"/>
              </w:rPr>
              <w:t>#车间排气筒</w:t>
            </w:r>
          </w:p>
        </w:tc>
        <w:tc>
          <w:tcPr>
            <w:tcW w:w="1548" w:type="dxa"/>
            <w:vAlign w:val="center"/>
          </w:tcPr>
          <w:p>
            <w:pPr>
              <w:adjustRightInd w:val="0"/>
              <w:snapToGrid w:val="0"/>
              <w:jc w:val="center"/>
              <w:rPr>
                <w:color w:val="FF0000"/>
                <w:sz w:val="24"/>
              </w:rPr>
            </w:pPr>
            <w:r>
              <w:rPr>
                <w:rFonts w:hint="eastAsia"/>
                <w:color w:val="FF0000"/>
                <w:sz w:val="24"/>
              </w:rPr>
              <w:t>颗粒物</w:t>
            </w:r>
          </w:p>
        </w:tc>
        <w:tc>
          <w:tcPr>
            <w:tcW w:w="1962" w:type="dxa"/>
            <w:vAlign w:val="center"/>
          </w:tcPr>
          <w:p>
            <w:pPr>
              <w:adjustRightInd w:val="0"/>
              <w:snapToGrid w:val="0"/>
              <w:jc w:val="center"/>
              <w:rPr>
                <w:bCs/>
                <w:color w:val="FF0000"/>
                <w:sz w:val="24"/>
              </w:rPr>
            </w:pPr>
            <w:r>
              <w:rPr>
                <w:rFonts w:hint="eastAsia"/>
                <w:color w:val="FF0000"/>
                <w:sz w:val="24"/>
              </w:rPr>
              <w:t>1套焊烟净化器、1套</w:t>
            </w:r>
            <w:r>
              <w:rPr>
                <w:color w:val="FF0000"/>
                <w:sz w:val="24"/>
              </w:rPr>
              <w:t>布袋除尘器</w:t>
            </w:r>
            <w:r>
              <w:rPr>
                <w:rFonts w:hint="eastAsia"/>
                <w:color w:val="FF0000"/>
                <w:sz w:val="24"/>
              </w:rPr>
              <w:t>处理+1根</w:t>
            </w:r>
            <w:r>
              <w:rPr>
                <w:color w:val="FF0000"/>
                <w:sz w:val="24"/>
              </w:rPr>
              <w:t>15m高排气筒</w:t>
            </w:r>
            <w:r>
              <w:rPr>
                <w:rFonts w:hint="eastAsia"/>
                <w:color w:val="FF0000"/>
                <w:sz w:val="24"/>
              </w:rPr>
              <w:t>（3000</w:t>
            </w:r>
            <w:r>
              <w:rPr>
                <w:bCs/>
                <w:color w:val="FF0000"/>
                <w:sz w:val="24"/>
              </w:rPr>
              <w:t>m</w:t>
            </w:r>
            <w:r>
              <w:rPr>
                <w:bCs/>
                <w:color w:val="FF0000"/>
                <w:sz w:val="24"/>
                <w:vertAlign w:val="superscript"/>
              </w:rPr>
              <w:t>3</w:t>
            </w:r>
            <w:r>
              <w:rPr>
                <w:bCs/>
                <w:color w:val="FF0000"/>
                <w:sz w:val="24"/>
              </w:rPr>
              <w:t>/h</w:t>
            </w:r>
            <w:r>
              <w:rPr>
                <w:rFonts w:hint="eastAsia"/>
                <w:bCs/>
                <w:color w:val="FF0000"/>
                <w:sz w:val="24"/>
              </w:rPr>
              <w:t>，处理效率99</w:t>
            </w:r>
            <w:r>
              <w:rPr>
                <w:bCs/>
                <w:color w:val="FF0000"/>
                <w:sz w:val="24"/>
              </w:rPr>
              <w:t>%</w:t>
            </w:r>
            <w:r>
              <w:rPr>
                <w:rFonts w:hint="eastAsia"/>
                <w:color w:val="FF0000"/>
                <w:sz w:val="24"/>
              </w:rPr>
              <w:t>）</w:t>
            </w:r>
          </w:p>
        </w:tc>
        <w:tc>
          <w:tcPr>
            <w:tcW w:w="2565" w:type="dxa"/>
            <w:vMerge w:val="continue"/>
            <w:vAlign w:val="center"/>
          </w:tcPr>
          <w:p>
            <w:pPr>
              <w:adjustRightInd w:val="0"/>
              <w:snapToGrid w:val="0"/>
              <w:jc w:val="center"/>
              <w:rPr>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Align w:val="center"/>
          </w:tcPr>
          <w:p>
            <w:pPr>
              <w:adjustRightInd w:val="0"/>
              <w:snapToGrid w:val="0"/>
              <w:jc w:val="center"/>
              <w:rPr>
                <w:sz w:val="24"/>
              </w:rPr>
            </w:pPr>
            <w:r>
              <w:rPr>
                <w:sz w:val="24"/>
              </w:rPr>
              <w:t>地表水环境</w:t>
            </w:r>
          </w:p>
        </w:tc>
        <w:tc>
          <w:tcPr>
            <w:tcW w:w="1755" w:type="dxa"/>
            <w:vAlign w:val="center"/>
          </w:tcPr>
          <w:p>
            <w:pPr>
              <w:adjustRightInd w:val="0"/>
              <w:snapToGrid w:val="0"/>
              <w:jc w:val="center"/>
              <w:rPr>
                <w:sz w:val="24"/>
              </w:rPr>
            </w:pPr>
            <w:r>
              <w:rPr>
                <w:sz w:val="24"/>
              </w:rPr>
              <w:t>生活污水</w:t>
            </w:r>
          </w:p>
        </w:tc>
        <w:tc>
          <w:tcPr>
            <w:tcW w:w="1548" w:type="dxa"/>
            <w:vAlign w:val="center"/>
          </w:tcPr>
          <w:p>
            <w:pPr>
              <w:ind w:right="170"/>
              <w:jc w:val="center"/>
              <w:rPr>
                <w:sz w:val="24"/>
              </w:rPr>
            </w:pPr>
            <w:r>
              <w:rPr>
                <w:sz w:val="24"/>
              </w:rPr>
              <w:t>SS</w:t>
            </w:r>
          </w:p>
          <w:p>
            <w:pPr>
              <w:ind w:right="170"/>
              <w:jc w:val="center"/>
              <w:rPr>
                <w:sz w:val="24"/>
              </w:rPr>
            </w:pPr>
            <w:r>
              <w:rPr>
                <w:sz w:val="24"/>
              </w:rPr>
              <w:t>CODcr</w:t>
            </w:r>
          </w:p>
          <w:p>
            <w:pPr>
              <w:ind w:right="170"/>
              <w:jc w:val="center"/>
              <w:rPr>
                <w:sz w:val="24"/>
              </w:rPr>
            </w:pPr>
            <w:r>
              <w:rPr>
                <w:sz w:val="24"/>
              </w:rPr>
              <w:t>BOD</w:t>
            </w:r>
            <w:r>
              <w:rPr>
                <w:sz w:val="24"/>
                <w:vertAlign w:val="subscript"/>
              </w:rPr>
              <w:t>5</w:t>
            </w:r>
          </w:p>
          <w:p>
            <w:pPr>
              <w:adjustRightInd w:val="0"/>
              <w:snapToGrid w:val="0"/>
              <w:jc w:val="center"/>
              <w:rPr>
                <w:sz w:val="24"/>
              </w:rPr>
            </w:pPr>
            <w:r>
              <w:rPr>
                <w:sz w:val="24"/>
              </w:rPr>
              <w:t>NH</w:t>
            </w:r>
            <w:r>
              <w:rPr>
                <w:sz w:val="24"/>
                <w:vertAlign w:val="subscript"/>
              </w:rPr>
              <w:t>3</w:t>
            </w:r>
            <w:r>
              <w:rPr>
                <w:sz w:val="24"/>
              </w:rPr>
              <w:t>-N</w:t>
            </w:r>
          </w:p>
        </w:tc>
        <w:tc>
          <w:tcPr>
            <w:tcW w:w="1962" w:type="dxa"/>
            <w:vAlign w:val="center"/>
          </w:tcPr>
          <w:p>
            <w:pPr>
              <w:adjustRightInd w:val="0"/>
              <w:snapToGrid w:val="0"/>
              <w:jc w:val="center"/>
              <w:rPr>
                <w:sz w:val="24"/>
              </w:rPr>
            </w:pPr>
            <w:r>
              <w:rPr>
                <w:color w:val="FF0000"/>
                <w:sz w:val="24"/>
              </w:rPr>
              <w:t>经化粪池</w:t>
            </w:r>
            <w:r>
              <w:rPr>
                <w:rFonts w:hint="eastAsia"/>
                <w:color w:val="FF0000"/>
                <w:sz w:val="24"/>
              </w:rPr>
              <w:t>（</w:t>
            </w:r>
            <w:r>
              <w:rPr>
                <w:rFonts w:hint="eastAsia"/>
                <w:color w:val="FF00FF"/>
                <w:sz w:val="24"/>
              </w:rPr>
              <w:t>10</w:t>
            </w:r>
            <w:r>
              <w:rPr>
                <w:bCs/>
                <w:color w:val="FF00FF"/>
                <w:sz w:val="24"/>
              </w:rPr>
              <w:t>m</w:t>
            </w:r>
            <w:r>
              <w:rPr>
                <w:bCs/>
                <w:color w:val="FF00FF"/>
                <w:sz w:val="24"/>
                <w:vertAlign w:val="superscript"/>
              </w:rPr>
              <w:t>3</w:t>
            </w:r>
            <w:r>
              <w:rPr>
                <w:bCs/>
                <w:color w:val="FF00FF"/>
                <w:sz w:val="24"/>
              </w:rPr>
              <w:t>/d</w:t>
            </w:r>
            <w:r>
              <w:rPr>
                <w:rFonts w:hint="eastAsia"/>
                <w:bCs/>
                <w:color w:val="FF0000"/>
                <w:sz w:val="24"/>
              </w:rPr>
              <w:t>，处理效率</w:t>
            </w:r>
            <w:r>
              <w:rPr>
                <w:color w:val="FF0000"/>
                <w:sz w:val="24"/>
              </w:rPr>
              <w:t>CODcr</w:t>
            </w:r>
            <w:r>
              <w:rPr>
                <w:rFonts w:hint="eastAsia"/>
                <w:color w:val="FF0000"/>
                <w:sz w:val="24"/>
              </w:rPr>
              <w:t>：12</w:t>
            </w:r>
            <w:r>
              <w:rPr>
                <w:color w:val="FF0000"/>
                <w:sz w:val="24"/>
              </w:rPr>
              <w:t>%、BOD</w:t>
            </w:r>
            <w:r>
              <w:rPr>
                <w:color w:val="FF0000"/>
                <w:sz w:val="24"/>
                <w:vertAlign w:val="subscript"/>
              </w:rPr>
              <w:t>5</w:t>
            </w:r>
            <w:r>
              <w:rPr>
                <w:rFonts w:hint="eastAsia"/>
                <w:color w:val="FF0000"/>
                <w:sz w:val="24"/>
              </w:rPr>
              <w:t>：20</w:t>
            </w:r>
            <w:r>
              <w:rPr>
                <w:color w:val="FF0000"/>
                <w:sz w:val="24"/>
              </w:rPr>
              <w:t>%</w:t>
            </w:r>
            <w:r>
              <w:rPr>
                <w:rFonts w:hint="eastAsia"/>
                <w:color w:val="FF0000"/>
                <w:sz w:val="24"/>
              </w:rPr>
              <w:t>、SS：25</w:t>
            </w:r>
            <w:r>
              <w:rPr>
                <w:color w:val="FF0000"/>
                <w:sz w:val="24"/>
              </w:rPr>
              <w:t>%、氨氮：</w:t>
            </w:r>
            <w:r>
              <w:rPr>
                <w:rFonts w:hint="eastAsia"/>
                <w:color w:val="FF0000"/>
                <w:sz w:val="24"/>
              </w:rPr>
              <w:t>20</w:t>
            </w:r>
            <w:r>
              <w:rPr>
                <w:color w:val="FF0000"/>
                <w:sz w:val="24"/>
              </w:rPr>
              <w:t>%</w:t>
            </w:r>
            <w:r>
              <w:rPr>
                <w:rFonts w:hint="eastAsia"/>
                <w:color w:val="FF0000"/>
                <w:sz w:val="24"/>
              </w:rPr>
              <w:t>）</w:t>
            </w:r>
            <w:r>
              <w:rPr>
                <w:sz w:val="24"/>
              </w:rPr>
              <w:t>预处理后通过污水管网入小蓝污水处理厂深度处理，尾水最终排入雄溪河尾段，经莲塘河入抚河支流（清丰山溪）</w:t>
            </w:r>
          </w:p>
        </w:tc>
        <w:tc>
          <w:tcPr>
            <w:tcW w:w="2565" w:type="dxa"/>
            <w:vAlign w:val="center"/>
          </w:tcPr>
          <w:p>
            <w:pPr>
              <w:adjustRightInd w:val="0"/>
              <w:snapToGrid w:val="0"/>
              <w:jc w:val="center"/>
              <w:rPr>
                <w:sz w:val="24"/>
              </w:rPr>
            </w:pPr>
            <w:r>
              <w:rPr>
                <w:sz w:val="24"/>
              </w:rPr>
              <w:t>小蓝污水处理厂接管标准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Align w:val="center"/>
          </w:tcPr>
          <w:p>
            <w:pPr>
              <w:adjustRightInd w:val="0"/>
              <w:snapToGrid w:val="0"/>
              <w:jc w:val="center"/>
              <w:rPr>
                <w:sz w:val="24"/>
              </w:rPr>
            </w:pPr>
            <w:r>
              <w:rPr>
                <w:sz w:val="24"/>
              </w:rPr>
              <w:t>声环境</w:t>
            </w:r>
          </w:p>
        </w:tc>
        <w:tc>
          <w:tcPr>
            <w:tcW w:w="1755" w:type="dxa"/>
            <w:vAlign w:val="center"/>
          </w:tcPr>
          <w:p>
            <w:pPr>
              <w:adjustRightInd w:val="0"/>
              <w:snapToGrid w:val="0"/>
              <w:jc w:val="center"/>
              <w:rPr>
                <w:sz w:val="24"/>
              </w:rPr>
            </w:pPr>
            <w:r>
              <w:rPr>
                <w:sz w:val="24"/>
              </w:rPr>
              <w:t>生产设备</w:t>
            </w:r>
          </w:p>
        </w:tc>
        <w:tc>
          <w:tcPr>
            <w:tcW w:w="1548" w:type="dxa"/>
            <w:vAlign w:val="center"/>
          </w:tcPr>
          <w:p>
            <w:pPr>
              <w:jc w:val="center"/>
              <w:rPr>
                <w:sz w:val="24"/>
              </w:rPr>
            </w:pPr>
            <w:r>
              <w:rPr>
                <w:sz w:val="24"/>
              </w:rPr>
              <w:t>等效A声级</w:t>
            </w:r>
          </w:p>
        </w:tc>
        <w:tc>
          <w:tcPr>
            <w:tcW w:w="1962" w:type="dxa"/>
            <w:vAlign w:val="center"/>
          </w:tcPr>
          <w:p>
            <w:pPr>
              <w:jc w:val="center"/>
              <w:rPr>
                <w:sz w:val="24"/>
              </w:rPr>
            </w:pPr>
            <w:r>
              <w:rPr>
                <w:sz w:val="24"/>
              </w:rPr>
              <w:t>建筑隔声、消声、减震、吸声、合理布局</w:t>
            </w:r>
          </w:p>
        </w:tc>
        <w:tc>
          <w:tcPr>
            <w:tcW w:w="2565" w:type="dxa"/>
            <w:vAlign w:val="center"/>
          </w:tcPr>
          <w:p>
            <w:pPr>
              <w:jc w:val="center"/>
              <w:rPr>
                <w:sz w:val="24"/>
              </w:rPr>
            </w:pPr>
            <w:r>
              <w:rPr>
                <w:sz w:val="24"/>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Merge w:val="restart"/>
            <w:vAlign w:val="center"/>
          </w:tcPr>
          <w:p>
            <w:pPr>
              <w:adjustRightInd w:val="0"/>
              <w:snapToGrid w:val="0"/>
              <w:jc w:val="center"/>
              <w:rPr>
                <w:sz w:val="24"/>
              </w:rPr>
            </w:pPr>
            <w:r>
              <w:rPr>
                <w:sz w:val="24"/>
              </w:rPr>
              <w:t>固体废物</w:t>
            </w:r>
          </w:p>
        </w:tc>
        <w:tc>
          <w:tcPr>
            <w:tcW w:w="1755" w:type="dxa"/>
            <w:vMerge w:val="restart"/>
            <w:vAlign w:val="center"/>
          </w:tcPr>
          <w:p>
            <w:pPr>
              <w:jc w:val="center"/>
              <w:rPr>
                <w:sz w:val="24"/>
              </w:rPr>
            </w:pPr>
            <w:r>
              <w:rPr>
                <w:sz w:val="24"/>
              </w:rPr>
              <w:t>生产</w:t>
            </w:r>
          </w:p>
        </w:tc>
        <w:tc>
          <w:tcPr>
            <w:tcW w:w="1548" w:type="dxa"/>
            <w:vAlign w:val="center"/>
          </w:tcPr>
          <w:p>
            <w:pPr>
              <w:jc w:val="center"/>
              <w:rPr>
                <w:color w:val="FF0000"/>
                <w:sz w:val="24"/>
              </w:rPr>
            </w:pPr>
            <w:r>
              <w:rPr>
                <w:rFonts w:hint="eastAsia"/>
                <w:spacing w:val="4"/>
                <w:kern w:val="21"/>
                <w:sz w:val="24"/>
              </w:rPr>
              <w:t>钢带边角料、焊接废料、残次品、布袋除尘灰</w:t>
            </w:r>
          </w:p>
        </w:tc>
        <w:tc>
          <w:tcPr>
            <w:tcW w:w="1962" w:type="dxa"/>
            <w:vAlign w:val="center"/>
          </w:tcPr>
          <w:p>
            <w:pPr>
              <w:jc w:val="center"/>
              <w:rPr>
                <w:bCs/>
                <w:sz w:val="24"/>
              </w:rPr>
            </w:pPr>
            <w:r>
              <w:rPr>
                <w:spacing w:val="4"/>
                <w:kern w:val="21"/>
                <w:sz w:val="24"/>
              </w:rPr>
              <w:t>设置</w:t>
            </w:r>
            <w:r>
              <w:rPr>
                <w:rFonts w:hint="eastAsia"/>
                <w:color w:val="FF0000"/>
                <w:spacing w:val="4"/>
                <w:kern w:val="21"/>
                <w:sz w:val="24"/>
              </w:rPr>
              <w:t>1间</w:t>
            </w:r>
            <w:r>
              <w:rPr>
                <w:color w:val="FF0000"/>
                <w:spacing w:val="4"/>
                <w:kern w:val="21"/>
                <w:sz w:val="24"/>
              </w:rPr>
              <w:t>一般固废暂存间暂存</w:t>
            </w:r>
            <w:r>
              <w:rPr>
                <w:rFonts w:hint="eastAsia"/>
                <w:color w:val="FF0000"/>
                <w:spacing w:val="4"/>
                <w:kern w:val="21"/>
                <w:sz w:val="24"/>
              </w:rPr>
              <w:t>间</w:t>
            </w:r>
            <w:r>
              <w:rPr>
                <w:color w:val="FF0000"/>
                <w:spacing w:val="4"/>
                <w:kern w:val="21"/>
                <w:sz w:val="24"/>
              </w:rPr>
              <w:t>（</w:t>
            </w:r>
            <w:r>
              <w:rPr>
                <w:color w:val="FF00FF"/>
                <w:spacing w:val="4"/>
                <w:kern w:val="21"/>
                <w:sz w:val="24"/>
              </w:rPr>
              <w:t>10m</w:t>
            </w:r>
            <w:r>
              <w:rPr>
                <w:color w:val="FF00FF"/>
                <w:spacing w:val="4"/>
                <w:kern w:val="21"/>
                <w:sz w:val="24"/>
                <w:vertAlign w:val="superscript"/>
              </w:rPr>
              <w:t>2</w:t>
            </w:r>
            <w:r>
              <w:rPr>
                <w:color w:val="FF0000"/>
                <w:spacing w:val="4"/>
                <w:kern w:val="21"/>
                <w:sz w:val="24"/>
              </w:rPr>
              <w:t>）</w:t>
            </w:r>
            <w:r>
              <w:rPr>
                <w:spacing w:val="4"/>
                <w:kern w:val="21"/>
                <w:sz w:val="24"/>
              </w:rPr>
              <w:t>，</w:t>
            </w:r>
            <w:r>
              <w:rPr>
                <w:rFonts w:hint="eastAsia"/>
                <w:spacing w:val="4"/>
                <w:kern w:val="21"/>
                <w:sz w:val="24"/>
              </w:rPr>
              <w:t>钢带边角料、焊接废料、残次品、布袋除尘灰</w:t>
            </w:r>
            <w:r>
              <w:rPr>
                <w:sz w:val="24"/>
              </w:rPr>
              <w:t>等均可外售处理</w:t>
            </w:r>
          </w:p>
        </w:tc>
        <w:tc>
          <w:tcPr>
            <w:tcW w:w="2565" w:type="dxa"/>
            <w:vMerge w:val="restart"/>
            <w:vAlign w:val="center"/>
          </w:tcPr>
          <w:p>
            <w:pPr>
              <w:jc w:val="center"/>
              <w:rPr>
                <w:sz w:val="24"/>
              </w:rPr>
            </w:pPr>
            <w:r>
              <w:rPr>
                <w:sz w:val="24"/>
              </w:rPr>
              <w:t>资源化、无害化、零排放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Merge w:val="continue"/>
            <w:vAlign w:val="center"/>
          </w:tcPr>
          <w:p>
            <w:pPr>
              <w:adjustRightInd w:val="0"/>
              <w:snapToGrid w:val="0"/>
              <w:jc w:val="center"/>
              <w:rPr>
                <w:sz w:val="24"/>
              </w:rPr>
            </w:pPr>
          </w:p>
        </w:tc>
        <w:tc>
          <w:tcPr>
            <w:tcW w:w="1755" w:type="dxa"/>
            <w:vMerge w:val="continue"/>
            <w:tcBorders>
              <w:bottom w:val="single" w:color="auto" w:sz="4" w:space="0"/>
            </w:tcBorders>
            <w:vAlign w:val="center"/>
          </w:tcPr>
          <w:p>
            <w:pPr>
              <w:jc w:val="center"/>
              <w:rPr>
                <w:snapToGrid w:val="0"/>
                <w:sz w:val="24"/>
              </w:rPr>
            </w:pPr>
          </w:p>
        </w:tc>
        <w:tc>
          <w:tcPr>
            <w:tcW w:w="1548" w:type="dxa"/>
            <w:tcBorders>
              <w:bottom w:val="single" w:color="auto" w:sz="4" w:space="0"/>
            </w:tcBorders>
            <w:vAlign w:val="center"/>
          </w:tcPr>
          <w:p>
            <w:pPr>
              <w:jc w:val="center"/>
              <w:rPr>
                <w:sz w:val="24"/>
              </w:rPr>
            </w:pPr>
            <w:r>
              <w:rPr>
                <w:sz w:val="24"/>
              </w:rPr>
              <w:t>废</w:t>
            </w:r>
            <w:r>
              <w:rPr>
                <w:rFonts w:hint="eastAsia"/>
                <w:sz w:val="24"/>
              </w:rPr>
              <w:t>切削液</w:t>
            </w:r>
          </w:p>
        </w:tc>
        <w:tc>
          <w:tcPr>
            <w:tcW w:w="1962" w:type="dxa"/>
            <w:vAlign w:val="center"/>
          </w:tcPr>
          <w:p>
            <w:pPr>
              <w:ind w:right="-94" w:rightChars="-45"/>
              <w:jc w:val="center"/>
              <w:rPr>
                <w:spacing w:val="4"/>
                <w:kern w:val="21"/>
                <w:sz w:val="24"/>
              </w:rPr>
            </w:pPr>
            <w:r>
              <w:rPr>
                <w:spacing w:val="4"/>
                <w:kern w:val="21"/>
                <w:sz w:val="24"/>
              </w:rPr>
              <w:t>设置</w:t>
            </w:r>
            <w:r>
              <w:rPr>
                <w:rFonts w:hint="eastAsia"/>
                <w:color w:val="FF0000"/>
                <w:spacing w:val="4"/>
                <w:kern w:val="21"/>
                <w:sz w:val="24"/>
              </w:rPr>
              <w:t>1间</w:t>
            </w:r>
            <w:r>
              <w:rPr>
                <w:color w:val="FF0000"/>
                <w:spacing w:val="4"/>
                <w:kern w:val="21"/>
                <w:sz w:val="24"/>
              </w:rPr>
              <w:t>危险废物暂存间</w:t>
            </w:r>
            <w:r>
              <w:rPr>
                <w:color w:val="FF00FF"/>
                <w:spacing w:val="4"/>
                <w:kern w:val="21"/>
                <w:sz w:val="24"/>
              </w:rPr>
              <w:t>（5m</w:t>
            </w:r>
            <w:r>
              <w:rPr>
                <w:color w:val="FF00FF"/>
                <w:spacing w:val="4"/>
                <w:kern w:val="21"/>
                <w:sz w:val="24"/>
                <w:vertAlign w:val="superscript"/>
              </w:rPr>
              <w:t>2</w:t>
            </w:r>
            <w:r>
              <w:rPr>
                <w:color w:val="FF00FF"/>
                <w:spacing w:val="4"/>
                <w:kern w:val="21"/>
                <w:sz w:val="24"/>
              </w:rPr>
              <w:t>）</w:t>
            </w:r>
            <w:r>
              <w:rPr>
                <w:spacing w:val="4"/>
                <w:kern w:val="21"/>
                <w:sz w:val="24"/>
              </w:rPr>
              <w:t>，委托有危废资质的单位处置</w:t>
            </w:r>
          </w:p>
        </w:tc>
        <w:tc>
          <w:tcPr>
            <w:tcW w:w="2565" w:type="dxa"/>
            <w:vMerge w:val="continue"/>
            <w:vAlign w:val="center"/>
          </w:tcPr>
          <w:p>
            <w:pPr>
              <w:jc w:val="center"/>
              <w:rPr>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6" w:type="dxa"/>
            <w:vMerge w:val="continue"/>
            <w:vAlign w:val="center"/>
          </w:tcPr>
          <w:p>
            <w:pPr>
              <w:adjustRightInd w:val="0"/>
              <w:snapToGrid w:val="0"/>
              <w:jc w:val="center"/>
              <w:rPr>
                <w:sz w:val="24"/>
              </w:rPr>
            </w:pPr>
          </w:p>
        </w:tc>
        <w:tc>
          <w:tcPr>
            <w:tcW w:w="1755" w:type="dxa"/>
            <w:tcBorders>
              <w:bottom w:val="single" w:color="auto" w:sz="4" w:space="0"/>
            </w:tcBorders>
            <w:vAlign w:val="center"/>
          </w:tcPr>
          <w:p>
            <w:pPr>
              <w:jc w:val="center"/>
              <w:rPr>
                <w:snapToGrid w:val="0"/>
                <w:sz w:val="24"/>
              </w:rPr>
            </w:pPr>
            <w:r>
              <w:rPr>
                <w:sz w:val="24"/>
              </w:rPr>
              <w:t>办公生活</w:t>
            </w:r>
          </w:p>
        </w:tc>
        <w:tc>
          <w:tcPr>
            <w:tcW w:w="1548" w:type="dxa"/>
            <w:tcBorders>
              <w:bottom w:val="single" w:color="auto" w:sz="4" w:space="0"/>
            </w:tcBorders>
            <w:vAlign w:val="center"/>
          </w:tcPr>
          <w:p>
            <w:pPr>
              <w:ind w:right="-94" w:rightChars="-45"/>
              <w:jc w:val="center"/>
              <w:rPr>
                <w:snapToGrid w:val="0"/>
                <w:sz w:val="24"/>
              </w:rPr>
            </w:pPr>
            <w:r>
              <w:rPr>
                <w:sz w:val="24"/>
              </w:rPr>
              <w:t>生活垃圾</w:t>
            </w:r>
          </w:p>
        </w:tc>
        <w:tc>
          <w:tcPr>
            <w:tcW w:w="1962" w:type="dxa"/>
            <w:tcBorders>
              <w:bottom w:val="single" w:color="auto" w:sz="4" w:space="0"/>
            </w:tcBorders>
            <w:vAlign w:val="center"/>
          </w:tcPr>
          <w:p>
            <w:pPr>
              <w:jc w:val="center"/>
              <w:rPr>
                <w:snapToGrid w:val="0"/>
                <w:sz w:val="24"/>
              </w:rPr>
            </w:pPr>
            <w:r>
              <w:rPr>
                <w:spacing w:val="4"/>
                <w:kern w:val="21"/>
                <w:sz w:val="24"/>
              </w:rPr>
              <w:t>经垃圾桶定点收集，委托环卫部门清运</w:t>
            </w:r>
          </w:p>
        </w:tc>
        <w:tc>
          <w:tcPr>
            <w:tcW w:w="2565" w:type="dxa"/>
            <w:vMerge w:val="continue"/>
            <w:vAlign w:val="center"/>
          </w:tcPr>
          <w:p>
            <w:pPr>
              <w:jc w:val="center"/>
              <w:rPr>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2366" w:type="dxa"/>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7830" w:type="dxa"/>
            <w:gridSpan w:val="4"/>
            <w:vAlign w:val="center"/>
          </w:tcPr>
          <w:p>
            <w:pPr>
              <w:adjustRightInd w:val="0"/>
              <w:snapToGrid w:val="0"/>
              <w:jc w:val="center"/>
              <w:rPr>
                <w:sz w:val="24"/>
              </w:rPr>
            </w:pPr>
            <w:r>
              <w:rPr>
                <w:sz w:val="24"/>
              </w:rPr>
              <w:t>项目在建设阶段，应充分做好建筑和管道的防渗处理，杜绝污水渗漏，确保管道、污水收集处理系统衔接良好，严格用水管理，防止污水“跑、冒、滴、漏”现象的发生；营运期落实好防渗、防污措施。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366" w:type="dxa"/>
            <w:vAlign w:val="center"/>
          </w:tcPr>
          <w:p>
            <w:pPr>
              <w:adjustRightInd w:val="0"/>
              <w:snapToGrid w:val="0"/>
              <w:jc w:val="center"/>
              <w:rPr>
                <w:spacing w:val="-8"/>
                <w:sz w:val="24"/>
              </w:rPr>
            </w:pPr>
            <w:r>
              <w:rPr>
                <w:spacing w:val="-8"/>
                <w:sz w:val="24"/>
              </w:rPr>
              <w:t>环境风险</w:t>
            </w:r>
          </w:p>
          <w:p>
            <w:pPr>
              <w:adjustRightInd w:val="0"/>
              <w:snapToGrid w:val="0"/>
              <w:jc w:val="center"/>
              <w:rPr>
                <w:spacing w:val="-8"/>
                <w:sz w:val="24"/>
              </w:rPr>
            </w:pPr>
            <w:r>
              <w:rPr>
                <w:spacing w:val="-8"/>
                <w:sz w:val="24"/>
              </w:rPr>
              <w:t>防范措施</w:t>
            </w:r>
          </w:p>
        </w:tc>
        <w:tc>
          <w:tcPr>
            <w:tcW w:w="7830" w:type="dxa"/>
            <w:gridSpan w:val="4"/>
            <w:vAlign w:val="center"/>
          </w:tcPr>
          <w:p>
            <w:pPr>
              <w:adjustRightInd w:val="0"/>
              <w:snapToGrid w:val="0"/>
              <w:jc w:val="center"/>
              <w:rPr>
                <w:sz w:val="24"/>
              </w:rPr>
            </w:pPr>
            <w:r>
              <w:rPr>
                <w:sz w:val="24"/>
              </w:rPr>
              <w:t>建构筑物和工艺装置区均配置消防灭火设施。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366" w:type="dxa"/>
            <w:vAlign w:val="center"/>
          </w:tcPr>
          <w:p>
            <w:pPr>
              <w:adjustRightInd w:val="0"/>
              <w:snapToGrid w:val="0"/>
              <w:jc w:val="center"/>
              <w:rPr>
                <w:spacing w:val="-8"/>
                <w:sz w:val="24"/>
              </w:rPr>
            </w:pPr>
            <w:r>
              <w:rPr>
                <w:spacing w:val="-8"/>
                <w:sz w:val="24"/>
              </w:rPr>
              <w:t>其他环境</w:t>
            </w:r>
          </w:p>
          <w:p>
            <w:pPr>
              <w:adjustRightInd w:val="0"/>
              <w:snapToGrid w:val="0"/>
              <w:jc w:val="center"/>
              <w:rPr>
                <w:spacing w:val="-8"/>
                <w:sz w:val="24"/>
              </w:rPr>
            </w:pPr>
            <w:r>
              <w:rPr>
                <w:spacing w:val="-8"/>
                <w:sz w:val="24"/>
              </w:rPr>
              <w:t>管理要求</w:t>
            </w:r>
          </w:p>
        </w:tc>
        <w:tc>
          <w:tcPr>
            <w:tcW w:w="7830" w:type="dxa"/>
            <w:gridSpan w:val="4"/>
            <w:vAlign w:val="center"/>
          </w:tcPr>
          <w:p>
            <w:pPr>
              <w:adjustRightInd w:val="0"/>
              <w:snapToGrid w:val="0"/>
              <w:spacing w:line="360" w:lineRule="auto"/>
              <w:jc w:val="center"/>
              <w:rPr>
                <w:sz w:val="24"/>
              </w:rPr>
            </w:pPr>
            <w:r>
              <w:rPr>
                <w:rFonts w:hint="eastAsia" w:ascii="宋体" w:hAnsi="宋体" w:cs="宋体"/>
                <w:sz w:val="24"/>
              </w:rPr>
              <w:t>①</w:t>
            </w:r>
            <w:r>
              <w:rPr>
                <w:sz w:val="24"/>
              </w:rPr>
              <w:t>加强环保设施的维护和管理，保证设备正常运行，落实环保资金，以实施治污措施，实现污染物达标排放。</w:t>
            </w:r>
          </w:p>
          <w:p>
            <w:pPr>
              <w:adjustRightInd w:val="0"/>
              <w:snapToGrid w:val="0"/>
              <w:spacing w:line="360" w:lineRule="auto"/>
              <w:jc w:val="center"/>
              <w:rPr>
                <w:sz w:val="24"/>
              </w:rPr>
            </w:pPr>
            <w:r>
              <w:rPr>
                <w:rFonts w:hint="eastAsia" w:ascii="宋体" w:hAnsi="宋体" w:cs="宋体"/>
                <w:sz w:val="24"/>
              </w:rPr>
              <w:t>②</w:t>
            </w:r>
            <w:r>
              <w:rPr>
                <w:sz w:val="24"/>
              </w:rPr>
              <w:t>建设单位应严格按环境影响报告表的要求认真落实“三同时”，明确职责，专人管理，切实做好环境管理工作，保证环保设施的正常运行。</w:t>
            </w:r>
          </w:p>
          <w:p>
            <w:pPr>
              <w:adjustRightInd w:val="0"/>
              <w:snapToGrid w:val="0"/>
              <w:spacing w:line="360" w:lineRule="auto"/>
              <w:jc w:val="center"/>
              <w:rPr>
                <w:sz w:val="24"/>
              </w:rPr>
            </w:pPr>
            <w:r>
              <w:rPr>
                <w:rFonts w:hint="eastAsia" w:ascii="宋体" w:hAnsi="宋体" w:cs="宋体"/>
                <w:sz w:val="24"/>
              </w:rPr>
              <w:t>③</w:t>
            </w:r>
            <w:r>
              <w:rPr>
                <w:sz w:val="24"/>
              </w:rPr>
              <w:t>严格按照《排污许可管理条例》及最新的分类管理名录进行排污许可证的申领工作，并严格执行自行监测要求。</w:t>
            </w:r>
          </w:p>
          <w:p>
            <w:pPr>
              <w:adjustRightInd w:val="0"/>
              <w:snapToGrid w:val="0"/>
              <w:spacing w:line="360" w:lineRule="auto"/>
              <w:jc w:val="center"/>
              <w:rPr>
                <w:sz w:val="24"/>
              </w:rPr>
            </w:pPr>
            <w:r>
              <w:rPr>
                <w:rFonts w:hint="eastAsia" w:ascii="宋体" w:hAnsi="宋体" w:cs="宋体"/>
                <w:sz w:val="24"/>
              </w:rPr>
              <w:t>④</w:t>
            </w:r>
            <w:r>
              <w:rPr>
                <w:sz w:val="24"/>
              </w:rPr>
              <w:t>废水排放口、固定噪声源、固体废物贮存和排气筒和危险废物等必须按照国家和江西省的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pPr>
              <w:adjustRightInd w:val="0"/>
              <w:snapToGrid w:val="0"/>
              <w:spacing w:line="360" w:lineRule="auto"/>
              <w:jc w:val="center"/>
              <w:rPr>
                <w:sz w:val="24"/>
              </w:rPr>
            </w:pPr>
            <w:r>
              <w:rPr>
                <w:rFonts w:hint="eastAsia" w:ascii="宋体" w:hAnsi="宋体" w:cs="宋体"/>
                <w:sz w:val="24"/>
              </w:rPr>
              <w:t>④</w:t>
            </w:r>
            <w:r>
              <w:rPr>
                <w:sz w:val="24"/>
              </w:rPr>
              <w:t>建设单位应建立环境管理台账制度，落实环境管理台账记录的责任部门和责任人，明确工作职责，包括台账的记录、整理、维护和管理等，台账记录内容和频次须满足排污许可证环境管理要求，并对台账记录结果的真实性、完整性和规范性负责。</w:t>
            </w:r>
          </w:p>
          <w:p>
            <w:pPr>
              <w:pStyle w:val="134"/>
              <w:numPr>
                <w:ilvl w:val="0"/>
                <w:numId w:val="4"/>
              </w:numPr>
              <w:adjustRightInd w:val="0"/>
              <w:snapToGrid w:val="0"/>
              <w:spacing w:line="360" w:lineRule="auto"/>
              <w:ind w:firstLineChars="0"/>
              <w:jc w:val="center"/>
              <w:rPr>
                <w:sz w:val="24"/>
              </w:rPr>
            </w:pPr>
            <w:r>
              <w:rPr>
                <w:sz w:val="24"/>
                <w:szCs w:val="24"/>
              </w:rPr>
              <w:t>后续做好</w:t>
            </w:r>
            <w:r>
              <w:rPr>
                <w:kern w:val="0"/>
                <w:sz w:val="24"/>
                <w:szCs w:val="24"/>
              </w:rPr>
              <w:t>环境突发事件应急预案制定和备案工作，开展定期演练。</w:t>
            </w:r>
          </w:p>
        </w:tc>
      </w:tr>
    </w:tbl>
    <w:p>
      <w:pPr>
        <w:pStyle w:val="35"/>
        <w:jc w:val="center"/>
        <w:outlineLvl w:val="0"/>
        <w:rPr>
          <w:rFonts w:ascii="Times New Roman" w:hAnsi="Times New Roman"/>
          <w:snapToGrid w:val="0"/>
          <w:sz w:val="30"/>
          <w:szCs w:val="30"/>
        </w:rPr>
      </w:pPr>
      <w:r>
        <w:rPr>
          <w:rFonts w:ascii="Times New Roman" w:hAnsi="Times New Roman"/>
          <w:snapToGrid w:val="0"/>
          <w:sz w:val="30"/>
          <w:szCs w:val="30"/>
        </w:rPr>
        <w:br w:type="page"/>
      </w:r>
      <w:r>
        <w:rPr>
          <w:rFonts w:ascii="Times New Roman" w:hAnsi="Times New Roman"/>
          <w:snapToGrid w:val="0"/>
          <w:sz w:val="30"/>
          <w:szCs w:val="30"/>
        </w:rPr>
        <w:t>六、结论</w:t>
      </w:r>
    </w:p>
    <w:tbl>
      <w:tblPr>
        <w:tblStyle w:val="40"/>
        <w:tblW w:w="10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10196" w:type="dxa"/>
            <w:vAlign w:val="center"/>
          </w:tcPr>
          <w:p>
            <w:pPr>
              <w:pStyle w:val="333"/>
              <w:ind w:firstLine="480"/>
              <w:rPr>
                <w:rFonts w:ascii="Times New Roman" w:hAnsi="Times New Roman" w:eastAsia="宋体" w:cs="Times New Roman"/>
                <w:szCs w:val="24"/>
              </w:rPr>
            </w:pPr>
          </w:p>
          <w:p>
            <w:pPr>
              <w:spacing w:line="360" w:lineRule="auto"/>
              <w:ind w:firstLine="480" w:firstLineChars="200"/>
              <w:rPr>
                <w:sz w:val="24"/>
              </w:rPr>
            </w:pPr>
            <w:r>
              <w:rPr>
                <w:sz w:val="24"/>
              </w:rPr>
              <w:t>综上所述，建设单位只要切实有效的落实好本环评提出的环保措施，严格管理，从环保角度分析，该项目就地建设可行。</w:t>
            </w:r>
          </w:p>
          <w:p>
            <w:pPr>
              <w:spacing w:line="360" w:lineRule="auto"/>
              <w:rPr>
                <w:sz w:val="24"/>
              </w:rPr>
            </w:pPr>
          </w:p>
        </w:tc>
      </w:tr>
    </w:tbl>
    <w:p>
      <w:pPr>
        <w:rPr>
          <w:color w:val="FF0000"/>
        </w:rPr>
        <w:sectPr>
          <w:pgSz w:w="11906" w:h="16838"/>
          <w:pgMar w:top="1701" w:right="1531" w:bottom="1701" w:left="1531" w:header="851" w:footer="851" w:gutter="0"/>
          <w:cols w:space="720" w:num="1"/>
          <w:docGrid w:linePitch="312" w:charSpace="0"/>
        </w:sectPr>
      </w:pPr>
    </w:p>
    <w:p>
      <w:pPr>
        <w:pStyle w:val="35"/>
        <w:adjustRightInd w:val="0"/>
        <w:snapToGrid w:val="0"/>
        <w:spacing w:before="0" w:beforeAutospacing="0" w:after="0" w:afterAutospacing="0"/>
        <w:outlineLvl w:val="0"/>
        <w:rPr>
          <w:rFonts w:ascii="Times New Roman" w:hAnsi="Times New Roman"/>
          <w:snapToGrid w:val="0"/>
          <w:sz w:val="32"/>
          <w:szCs w:val="32"/>
        </w:rPr>
      </w:pPr>
      <w:r>
        <w:rPr>
          <w:rFonts w:ascii="Times New Roman" w:hAnsi="Times New Roman"/>
          <w:snapToGrid w:val="0"/>
          <w:sz w:val="32"/>
          <w:szCs w:val="32"/>
        </w:rPr>
        <w:t>附表</w:t>
      </w:r>
    </w:p>
    <w:p>
      <w:pPr>
        <w:pStyle w:val="35"/>
        <w:adjustRightInd w:val="0"/>
        <w:snapToGrid w:val="0"/>
        <w:spacing w:before="0" w:beforeAutospacing="0" w:after="0" w:afterAutospacing="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  （单位：t/a）</w:t>
      </w:r>
    </w:p>
    <w:tbl>
      <w:tblPr>
        <w:tblStyle w:val="4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559"/>
        <w:gridCol w:w="1978"/>
        <w:gridCol w:w="1276"/>
        <w:gridCol w:w="1701"/>
        <w:gridCol w:w="1559"/>
        <w:gridCol w:w="1761"/>
        <w:gridCol w:w="1789"/>
        <w:gridCol w:w="9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9" w:type="dxa"/>
            <w:tcBorders>
              <w:top w:val="single" w:color="auto" w:sz="8" w:space="0"/>
              <w:bottom w:val="single" w:color="auto" w:sz="8" w:space="0"/>
              <w:tl2br w:val="single" w:color="auto" w:sz="4" w:space="0"/>
            </w:tcBorders>
            <w:tcMar>
              <w:left w:w="28" w:type="dxa"/>
              <w:right w:w="28" w:type="dxa"/>
            </w:tcMar>
            <w:vAlign w:val="center"/>
          </w:tcPr>
          <w:p>
            <w:pPr>
              <w:pStyle w:val="106"/>
              <w:spacing w:beforeLines="0" w:afterLines="0" w:line="240" w:lineRule="auto"/>
              <w:jc w:val="right"/>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项目</w:t>
            </w:r>
          </w:p>
          <w:p>
            <w:pPr>
              <w:pStyle w:val="106"/>
              <w:spacing w:beforeLines="0" w:afterLines="0" w:line="240" w:lineRule="auto"/>
              <w:jc w:val="left"/>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分类</w:t>
            </w:r>
          </w:p>
        </w:tc>
        <w:tc>
          <w:tcPr>
            <w:tcW w:w="1559"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污染物名称</w:t>
            </w:r>
          </w:p>
        </w:tc>
        <w:tc>
          <w:tcPr>
            <w:tcW w:w="1978"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现有工程</w:t>
            </w:r>
          </w:p>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排放量（固体废物产生量）</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宋体" w:cs="Times New Roman"/>
                <w:snapToGrid w:val="0"/>
                <w:spacing w:val="-6"/>
                <w:kern w:val="21"/>
                <w:szCs w:val="21"/>
              </w:rPr>
              <w:fldChar w:fldCharType="end"/>
            </w:r>
          </w:p>
        </w:tc>
        <w:tc>
          <w:tcPr>
            <w:tcW w:w="1276"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现有工程</w:t>
            </w:r>
          </w:p>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许可排放量</w:t>
            </w:r>
          </w:p>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2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napToGrid w:val="0"/>
                <w:spacing w:val="-6"/>
                <w:kern w:val="21"/>
                <w:szCs w:val="21"/>
              </w:rPr>
              <w:t>②</w:t>
            </w:r>
            <w:r>
              <w:rPr>
                <w:rFonts w:ascii="Times New Roman" w:hAnsi="Times New Roman" w:eastAsia="宋体" w:cs="Times New Roman"/>
                <w:snapToGrid w:val="0"/>
                <w:spacing w:val="-6"/>
                <w:kern w:val="21"/>
                <w:szCs w:val="21"/>
              </w:rPr>
              <w:fldChar w:fldCharType="end"/>
            </w:r>
          </w:p>
        </w:tc>
        <w:tc>
          <w:tcPr>
            <w:tcW w:w="1701"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在建工程</w:t>
            </w:r>
          </w:p>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排放量（固体废物产生量）</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3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宋体" w:cs="Times New Roman"/>
                <w:snapToGrid w:val="0"/>
                <w:spacing w:val="-6"/>
                <w:kern w:val="21"/>
                <w:szCs w:val="21"/>
              </w:rPr>
              <w:fldChar w:fldCharType="end"/>
            </w:r>
          </w:p>
        </w:tc>
        <w:tc>
          <w:tcPr>
            <w:tcW w:w="1559"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本项目</w:t>
            </w:r>
          </w:p>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排放量（固体废物产生量）</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4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宋体" w:cs="Times New Roman"/>
                <w:snapToGrid w:val="0"/>
                <w:spacing w:val="-6"/>
                <w:kern w:val="21"/>
                <w:szCs w:val="21"/>
              </w:rPr>
              <w:fldChar w:fldCharType="end"/>
            </w:r>
          </w:p>
        </w:tc>
        <w:tc>
          <w:tcPr>
            <w:tcW w:w="1761"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以新带老削减量</w:t>
            </w:r>
          </w:p>
          <w:p>
            <w:pPr>
              <w:pStyle w:val="106"/>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（新建项目不填）</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5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宋体" w:cs="Times New Roman"/>
                <w:snapToGrid w:val="0"/>
                <w:spacing w:val="-16"/>
                <w:kern w:val="21"/>
                <w:szCs w:val="21"/>
              </w:rPr>
              <w:fldChar w:fldCharType="end"/>
            </w:r>
          </w:p>
        </w:tc>
        <w:tc>
          <w:tcPr>
            <w:tcW w:w="1789"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本项目建成后</w:t>
            </w:r>
          </w:p>
          <w:p>
            <w:pPr>
              <w:pStyle w:val="106"/>
              <w:spacing w:beforeLines="0" w:afterLines="0" w:line="240" w:lineRule="auto"/>
              <w:rPr>
                <w:rFonts w:ascii="Times New Roman" w:hAnsi="Times New Roman" w:eastAsia="宋体" w:cs="Times New Roman"/>
                <w:snapToGrid w:val="0"/>
                <w:spacing w:val="-16"/>
                <w:kern w:val="21"/>
                <w:szCs w:val="21"/>
              </w:rPr>
            </w:pPr>
            <w:r>
              <w:rPr>
                <w:rFonts w:ascii="Times New Roman" w:hAnsi="Times New Roman" w:eastAsia="宋体" w:cs="Times New Roman"/>
                <w:snapToGrid w:val="0"/>
                <w:spacing w:val="-16"/>
                <w:kern w:val="21"/>
                <w:szCs w:val="21"/>
              </w:rPr>
              <w:t>全厂排放量（固体废物产生量）</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宋体" w:cs="Times New Roman"/>
                <w:snapToGrid w:val="0"/>
                <w:spacing w:val="-16"/>
                <w:kern w:val="21"/>
                <w:szCs w:val="21"/>
              </w:rPr>
              <w:fldChar w:fldCharType="end"/>
            </w:r>
          </w:p>
        </w:tc>
        <w:tc>
          <w:tcPr>
            <w:tcW w:w="996" w:type="dxa"/>
            <w:tcBorders>
              <w:top w:val="single" w:color="auto" w:sz="8" w:space="0"/>
              <w:bottom w:val="single" w:color="auto" w:sz="8" w:space="0"/>
            </w:tcBorders>
            <w:tcMar>
              <w:left w:w="28" w:type="dxa"/>
              <w:right w:w="28" w:type="dxa"/>
            </w:tcMar>
            <w:vAlign w:val="center"/>
          </w:tcPr>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t>变化量</w:t>
            </w:r>
          </w:p>
          <w:p>
            <w:pPr>
              <w:pStyle w:val="106"/>
              <w:spacing w:beforeLines="0" w:afterLines="0" w:line="240" w:lineRule="auto"/>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7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宋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69" w:type="dxa"/>
            <w:vMerge w:val="restart"/>
            <w:tcBorders>
              <w:top w:val="single" w:color="auto" w:sz="8" w:space="0"/>
            </w:tcBorders>
            <w:vAlign w:val="center"/>
          </w:tcPr>
          <w:p>
            <w:pPr>
              <w:pStyle w:val="106"/>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废气</w:t>
            </w:r>
          </w:p>
        </w:tc>
        <w:tc>
          <w:tcPr>
            <w:tcW w:w="1559" w:type="dxa"/>
            <w:tcBorders>
              <w:top w:val="single" w:color="auto" w:sz="8" w:space="0"/>
              <w:bottom w:val="single" w:color="auto" w:sz="8" w:space="0"/>
            </w:tcBorders>
            <w:vAlign w:val="center"/>
          </w:tcPr>
          <w:p>
            <w:pPr>
              <w:adjustRightInd w:val="0"/>
              <w:snapToGrid w:val="0"/>
              <w:jc w:val="center"/>
              <w:rPr>
                <w:szCs w:val="21"/>
              </w:rPr>
            </w:pPr>
            <w:r>
              <w:rPr>
                <w:szCs w:val="21"/>
              </w:rPr>
              <w:t>颗粒物</w:t>
            </w:r>
            <w:r>
              <w:rPr>
                <w:rFonts w:hint="eastAsia"/>
                <w:szCs w:val="21"/>
              </w:rPr>
              <w:t>（有组织）</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bCs/>
                <w:color w:val="FF0000"/>
                <w:szCs w:val="21"/>
              </w:rPr>
            </w:pPr>
            <w:r>
              <w:rPr>
                <w:rFonts w:hint="eastAsia"/>
                <w:bCs/>
                <w:color w:val="FF0000"/>
                <w:szCs w:val="21"/>
              </w:rPr>
              <w:t>0.0028</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bCs/>
                <w:color w:val="FF0000"/>
                <w:szCs w:val="21"/>
              </w:rPr>
            </w:pPr>
            <w:r>
              <w:rPr>
                <w:rFonts w:hint="eastAsia"/>
                <w:bCs/>
                <w:color w:val="FF0000"/>
                <w:szCs w:val="21"/>
              </w:rPr>
              <w:t>0.0028</w:t>
            </w:r>
          </w:p>
        </w:tc>
        <w:tc>
          <w:tcPr>
            <w:tcW w:w="996" w:type="dxa"/>
            <w:tcBorders>
              <w:top w:val="single" w:color="auto" w:sz="8" w:space="0"/>
              <w:bottom w:val="single" w:color="auto" w:sz="8" w:space="0"/>
            </w:tcBorders>
            <w:vAlign w:val="center"/>
          </w:tcPr>
          <w:p>
            <w:pPr>
              <w:adjustRightInd w:val="0"/>
              <w:snapToGrid w:val="0"/>
              <w:jc w:val="center"/>
              <w:rPr>
                <w:bCs/>
                <w:color w:val="FF0000"/>
                <w:szCs w:val="21"/>
              </w:rPr>
            </w:pPr>
            <w:r>
              <w:rPr>
                <w:rFonts w:hint="eastAsia"/>
                <w:bCs/>
                <w:color w:val="FF0000"/>
                <w:szCs w:val="21"/>
              </w:rPr>
              <w:t>+0.0028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69" w:type="dxa"/>
            <w:vMerge w:val="continue"/>
            <w:vAlign w:val="center"/>
          </w:tcPr>
          <w:p>
            <w:pPr>
              <w:pStyle w:val="106"/>
              <w:spacing w:beforeLines="0" w:afterLines="0" w:line="240" w:lineRule="auto"/>
              <w:rPr>
                <w:rFonts w:ascii="Times New Roman" w:hAnsi="Times New Roman" w:eastAsia="宋体" w:cs="Times New Roman"/>
                <w:snapToGrid w:val="0"/>
                <w:kern w:val="21"/>
                <w:szCs w:val="21"/>
              </w:rPr>
            </w:pPr>
          </w:p>
        </w:tc>
        <w:tc>
          <w:tcPr>
            <w:tcW w:w="1559" w:type="dxa"/>
            <w:tcBorders>
              <w:top w:val="single" w:color="auto" w:sz="8" w:space="0"/>
              <w:bottom w:val="single" w:color="auto" w:sz="8" w:space="0"/>
            </w:tcBorders>
            <w:vAlign w:val="center"/>
          </w:tcPr>
          <w:p>
            <w:pPr>
              <w:adjustRightInd w:val="0"/>
              <w:snapToGrid w:val="0"/>
              <w:jc w:val="center"/>
              <w:rPr>
                <w:szCs w:val="21"/>
              </w:rPr>
            </w:pPr>
            <w:r>
              <w:rPr>
                <w:rFonts w:hint="eastAsia"/>
                <w:szCs w:val="21"/>
              </w:rPr>
              <w:t>颗粒物</w:t>
            </w:r>
            <w:r>
              <w:rPr>
                <w:szCs w:val="21"/>
              </w:rPr>
              <w:t>（</w:t>
            </w:r>
            <w:r>
              <w:rPr>
                <w:rFonts w:hint="eastAsia"/>
                <w:szCs w:val="21"/>
              </w:rPr>
              <w:t>无组织</w:t>
            </w:r>
            <w:r>
              <w:rPr>
                <w:szCs w:val="21"/>
              </w:rPr>
              <w:t>）</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bCs/>
                <w:color w:val="FF0000"/>
                <w:szCs w:val="21"/>
              </w:rPr>
            </w:pPr>
            <w:r>
              <w:rPr>
                <w:rFonts w:hint="eastAsia"/>
                <w:bCs/>
                <w:color w:val="FF0000"/>
                <w:szCs w:val="21"/>
              </w:rPr>
              <w:t>0.0310</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bCs/>
                <w:szCs w:val="21"/>
              </w:rPr>
            </w:pPr>
            <w:r>
              <w:rPr>
                <w:rFonts w:hint="eastAsia"/>
                <w:bCs/>
                <w:color w:val="FF0000"/>
                <w:szCs w:val="21"/>
              </w:rPr>
              <w:t>0.0310</w:t>
            </w:r>
          </w:p>
        </w:tc>
        <w:tc>
          <w:tcPr>
            <w:tcW w:w="996" w:type="dxa"/>
            <w:tcBorders>
              <w:top w:val="single" w:color="auto" w:sz="8" w:space="0"/>
              <w:bottom w:val="single" w:color="auto" w:sz="8" w:space="0"/>
            </w:tcBorders>
            <w:vAlign w:val="center"/>
          </w:tcPr>
          <w:p>
            <w:pPr>
              <w:adjustRightInd w:val="0"/>
              <w:snapToGrid w:val="0"/>
              <w:jc w:val="center"/>
              <w:rPr>
                <w:bCs/>
                <w:szCs w:val="21"/>
              </w:rPr>
            </w:pPr>
            <w:r>
              <w:rPr>
                <w:bCs/>
                <w:color w:val="FF0000"/>
                <w:szCs w:val="21"/>
              </w:rPr>
              <w:t>+</w:t>
            </w:r>
            <w:r>
              <w:rPr>
                <w:rFonts w:hint="eastAsia"/>
                <w:bCs/>
                <w:color w:val="FF0000"/>
                <w:szCs w:val="21"/>
              </w:rPr>
              <w:t>0.0310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69" w:type="dxa"/>
            <w:vMerge w:val="restart"/>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废水</w:t>
            </w:r>
          </w:p>
        </w:tc>
        <w:tc>
          <w:tcPr>
            <w:tcW w:w="1559" w:type="dxa"/>
            <w:tcBorders>
              <w:top w:val="single" w:color="auto" w:sz="8" w:space="0"/>
              <w:bottom w:val="single" w:color="auto" w:sz="8" w:space="0"/>
            </w:tcBorders>
            <w:vAlign w:val="center"/>
          </w:tcPr>
          <w:p>
            <w:pPr>
              <w:widowControl/>
              <w:jc w:val="center"/>
              <w:rPr>
                <w:kern w:val="0"/>
                <w:szCs w:val="21"/>
              </w:rPr>
            </w:pPr>
            <w:r>
              <w:rPr>
                <w:kern w:val="0"/>
                <w:szCs w:val="21"/>
              </w:rPr>
              <w:t>COD</w:t>
            </w:r>
            <w:r>
              <w:rPr>
                <w:kern w:val="0"/>
                <w:szCs w:val="21"/>
                <w:vertAlign w:val="subscript"/>
              </w:rPr>
              <w:t>cr</w:t>
            </w:r>
          </w:p>
        </w:tc>
        <w:tc>
          <w:tcPr>
            <w:tcW w:w="1978" w:type="dxa"/>
            <w:tcBorders>
              <w:top w:val="single" w:color="auto" w:sz="8" w:space="0"/>
              <w:bottom w:val="single" w:color="auto" w:sz="8" w:space="0"/>
            </w:tcBorders>
            <w:vAlign w:val="center"/>
          </w:tcPr>
          <w:p>
            <w:pPr>
              <w:widowControl/>
              <w:jc w:val="center"/>
              <w:rPr>
                <w:color w:val="FF0000"/>
                <w:kern w:val="0"/>
                <w:szCs w:val="21"/>
              </w:rPr>
            </w:pPr>
          </w:p>
        </w:tc>
        <w:tc>
          <w:tcPr>
            <w:tcW w:w="1276" w:type="dxa"/>
            <w:tcBorders>
              <w:top w:val="single" w:color="auto" w:sz="8" w:space="0"/>
              <w:bottom w:val="single" w:color="auto" w:sz="8" w:space="0"/>
            </w:tcBorders>
            <w:vAlign w:val="center"/>
          </w:tcPr>
          <w:p>
            <w:pPr>
              <w:widowControl/>
              <w:jc w:val="center"/>
              <w:rPr>
                <w:color w:val="FF0000"/>
                <w:kern w:val="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vAlign w:val="center"/>
          </w:tcPr>
          <w:p>
            <w:pPr>
              <w:widowControl/>
              <w:snapToGrid w:val="0"/>
              <w:jc w:val="center"/>
              <w:textAlignment w:val="top"/>
              <w:rPr>
                <w:bCs/>
                <w:color w:val="FF0000"/>
                <w:szCs w:val="21"/>
              </w:rPr>
            </w:pPr>
            <w:r>
              <w:rPr>
                <w:rFonts w:hint="eastAsia"/>
                <w:color w:val="000000"/>
                <w:szCs w:val="21"/>
              </w:rPr>
              <w:t>0.464</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0.464</w:t>
            </w:r>
          </w:p>
        </w:tc>
        <w:tc>
          <w:tcPr>
            <w:tcW w:w="996"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+0.464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kern w:val="21"/>
                <w:szCs w:val="21"/>
              </w:rPr>
            </w:pPr>
          </w:p>
        </w:tc>
        <w:tc>
          <w:tcPr>
            <w:tcW w:w="1559" w:type="dxa"/>
            <w:tcBorders>
              <w:top w:val="single" w:color="auto" w:sz="8" w:space="0"/>
              <w:bottom w:val="single" w:color="auto" w:sz="8" w:space="0"/>
            </w:tcBorders>
            <w:vAlign w:val="center"/>
          </w:tcPr>
          <w:p>
            <w:pPr>
              <w:widowControl/>
              <w:jc w:val="center"/>
              <w:rPr>
                <w:kern w:val="0"/>
                <w:szCs w:val="21"/>
              </w:rPr>
            </w:pPr>
            <w:r>
              <w:rPr>
                <w:kern w:val="0"/>
                <w:szCs w:val="21"/>
              </w:rPr>
              <w:t>BOD</w:t>
            </w:r>
            <w:r>
              <w:rPr>
                <w:kern w:val="0"/>
                <w:szCs w:val="21"/>
                <w:vertAlign w:val="subscript"/>
              </w:rPr>
              <w:t>5</w:t>
            </w:r>
          </w:p>
        </w:tc>
        <w:tc>
          <w:tcPr>
            <w:tcW w:w="1978" w:type="dxa"/>
            <w:tcBorders>
              <w:top w:val="single" w:color="auto" w:sz="8" w:space="0"/>
              <w:bottom w:val="single" w:color="auto" w:sz="8" w:space="0"/>
            </w:tcBorders>
            <w:vAlign w:val="center"/>
          </w:tcPr>
          <w:p>
            <w:pPr>
              <w:widowControl/>
              <w:jc w:val="center"/>
              <w:rPr>
                <w:color w:val="FF0000"/>
                <w:kern w:val="0"/>
                <w:szCs w:val="21"/>
              </w:rPr>
            </w:pPr>
          </w:p>
        </w:tc>
        <w:tc>
          <w:tcPr>
            <w:tcW w:w="1276" w:type="dxa"/>
            <w:tcBorders>
              <w:top w:val="single" w:color="auto" w:sz="8" w:space="0"/>
              <w:bottom w:val="single" w:color="auto" w:sz="8" w:space="0"/>
            </w:tcBorders>
            <w:vAlign w:val="center"/>
          </w:tcPr>
          <w:p>
            <w:pPr>
              <w:widowControl/>
              <w:jc w:val="center"/>
              <w:rPr>
                <w:color w:val="FF0000"/>
                <w:kern w:val="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vAlign w:val="center"/>
          </w:tcPr>
          <w:p>
            <w:pPr>
              <w:widowControl/>
              <w:snapToGrid w:val="0"/>
              <w:jc w:val="center"/>
              <w:textAlignment w:val="top"/>
              <w:rPr>
                <w:bCs/>
                <w:color w:val="FF0000"/>
                <w:szCs w:val="21"/>
              </w:rPr>
            </w:pPr>
            <w:r>
              <w:rPr>
                <w:rFonts w:hint="eastAsia"/>
                <w:color w:val="000000"/>
                <w:szCs w:val="21"/>
              </w:rPr>
              <w:t>0.252</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0.252</w:t>
            </w:r>
          </w:p>
        </w:tc>
        <w:tc>
          <w:tcPr>
            <w:tcW w:w="996"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+0.252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kern w:val="21"/>
                <w:szCs w:val="21"/>
              </w:rPr>
            </w:pPr>
          </w:p>
        </w:tc>
        <w:tc>
          <w:tcPr>
            <w:tcW w:w="1559" w:type="dxa"/>
            <w:tcBorders>
              <w:top w:val="single" w:color="auto" w:sz="8" w:space="0"/>
              <w:bottom w:val="single" w:color="auto" w:sz="8" w:space="0"/>
            </w:tcBorders>
            <w:vAlign w:val="center"/>
          </w:tcPr>
          <w:p>
            <w:pPr>
              <w:widowControl/>
              <w:jc w:val="center"/>
              <w:rPr>
                <w:kern w:val="0"/>
                <w:szCs w:val="21"/>
              </w:rPr>
            </w:pPr>
            <w:r>
              <w:rPr>
                <w:kern w:val="0"/>
                <w:szCs w:val="21"/>
              </w:rPr>
              <w:t>SS</w:t>
            </w:r>
          </w:p>
        </w:tc>
        <w:tc>
          <w:tcPr>
            <w:tcW w:w="1978" w:type="dxa"/>
            <w:tcBorders>
              <w:top w:val="single" w:color="auto" w:sz="8" w:space="0"/>
              <w:bottom w:val="single" w:color="auto" w:sz="8" w:space="0"/>
            </w:tcBorders>
            <w:vAlign w:val="center"/>
          </w:tcPr>
          <w:p>
            <w:pPr>
              <w:widowControl/>
              <w:jc w:val="center"/>
              <w:rPr>
                <w:color w:val="FF0000"/>
                <w:kern w:val="0"/>
                <w:szCs w:val="21"/>
              </w:rPr>
            </w:pPr>
          </w:p>
        </w:tc>
        <w:tc>
          <w:tcPr>
            <w:tcW w:w="1276" w:type="dxa"/>
            <w:tcBorders>
              <w:top w:val="single" w:color="auto" w:sz="8" w:space="0"/>
              <w:bottom w:val="single" w:color="auto" w:sz="8" w:space="0"/>
            </w:tcBorders>
            <w:vAlign w:val="center"/>
          </w:tcPr>
          <w:p>
            <w:pPr>
              <w:widowControl/>
              <w:jc w:val="center"/>
              <w:rPr>
                <w:color w:val="FF0000"/>
                <w:kern w:val="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vAlign w:val="center"/>
          </w:tcPr>
          <w:p>
            <w:pPr>
              <w:widowControl/>
              <w:snapToGrid w:val="0"/>
              <w:jc w:val="center"/>
              <w:textAlignment w:val="top"/>
              <w:rPr>
                <w:bCs/>
                <w:color w:val="FF0000"/>
                <w:szCs w:val="21"/>
              </w:rPr>
            </w:pPr>
            <w:r>
              <w:rPr>
                <w:rFonts w:hint="eastAsia"/>
                <w:color w:val="000000"/>
                <w:szCs w:val="21"/>
              </w:rPr>
              <w:t>0.292</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0.292</w:t>
            </w:r>
          </w:p>
        </w:tc>
        <w:tc>
          <w:tcPr>
            <w:tcW w:w="996"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kern w:val="21"/>
                <w:szCs w:val="21"/>
              </w:rPr>
            </w:pPr>
          </w:p>
        </w:tc>
        <w:tc>
          <w:tcPr>
            <w:tcW w:w="1559" w:type="dxa"/>
            <w:tcBorders>
              <w:top w:val="single" w:color="auto" w:sz="8" w:space="0"/>
              <w:bottom w:val="single" w:color="auto" w:sz="8" w:space="0"/>
            </w:tcBorders>
            <w:vAlign w:val="center"/>
          </w:tcPr>
          <w:p>
            <w:pPr>
              <w:widowControl/>
              <w:jc w:val="center"/>
              <w:rPr>
                <w:kern w:val="0"/>
                <w:szCs w:val="21"/>
              </w:rPr>
            </w:pPr>
            <w:r>
              <w:rPr>
                <w:kern w:val="0"/>
                <w:szCs w:val="21"/>
              </w:rPr>
              <w:t>氨氮</w:t>
            </w:r>
          </w:p>
        </w:tc>
        <w:tc>
          <w:tcPr>
            <w:tcW w:w="1978" w:type="dxa"/>
            <w:tcBorders>
              <w:top w:val="single" w:color="auto" w:sz="8" w:space="0"/>
              <w:bottom w:val="single" w:color="auto" w:sz="8" w:space="0"/>
            </w:tcBorders>
            <w:vAlign w:val="center"/>
          </w:tcPr>
          <w:p>
            <w:pPr>
              <w:widowControl/>
              <w:jc w:val="center"/>
              <w:rPr>
                <w:color w:val="FF0000"/>
                <w:kern w:val="0"/>
                <w:szCs w:val="21"/>
              </w:rPr>
            </w:pPr>
          </w:p>
        </w:tc>
        <w:tc>
          <w:tcPr>
            <w:tcW w:w="1276" w:type="dxa"/>
            <w:tcBorders>
              <w:top w:val="single" w:color="auto" w:sz="8" w:space="0"/>
              <w:bottom w:val="single" w:color="auto" w:sz="8" w:space="0"/>
            </w:tcBorders>
            <w:vAlign w:val="center"/>
          </w:tcPr>
          <w:p>
            <w:pPr>
              <w:widowControl/>
              <w:jc w:val="center"/>
              <w:rPr>
                <w:color w:val="FF0000"/>
                <w:kern w:val="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vAlign w:val="center"/>
          </w:tcPr>
          <w:p>
            <w:pPr>
              <w:widowControl/>
              <w:snapToGrid w:val="0"/>
              <w:jc w:val="center"/>
              <w:textAlignment w:val="top"/>
              <w:rPr>
                <w:bCs/>
                <w:color w:val="FF0000"/>
                <w:szCs w:val="21"/>
              </w:rPr>
            </w:pPr>
            <w:r>
              <w:rPr>
                <w:rFonts w:hint="eastAsia"/>
                <w:color w:val="000000"/>
                <w:szCs w:val="21"/>
              </w:rPr>
              <w:t>0.044</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0.044</w:t>
            </w:r>
          </w:p>
        </w:tc>
        <w:tc>
          <w:tcPr>
            <w:tcW w:w="996" w:type="dxa"/>
            <w:tcBorders>
              <w:top w:val="single" w:color="auto" w:sz="8" w:space="0"/>
              <w:bottom w:val="single" w:color="auto" w:sz="8" w:space="0"/>
            </w:tcBorders>
            <w:vAlign w:val="center"/>
          </w:tcPr>
          <w:p>
            <w:pPr>
              <w:widowControl/>
              <w:snapToGrid w:val="0"/>
              <w:jc w:val="center"/>
              <w:textAlignment w:val="top"/>
              <w:rPr>
                <w:bCs/>
                <w:color w:val="FF0000"/>
                <w:szCs w:val="21"/>
              </w:rPr>
            </w:pPr>
            <w:r>
              <w:rPr>
                <w:rFonts w:hint="eastAsia"/>
                <w:color w:val="000000"/>
                <w:szCs w:val="21"/>
              </w:rPr>
              <w:t>+0.044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69" w:type="dxa"/>
            <w:vMerge w:val="restart"/>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固体废物</w:t>
            </w:r>
          </w:p>
        </w:tc>
        <w:tc>
          <w:tcPr>
            <w:tcW w:w="1559" w:type="dxa"/>
            <w:tcBorders>
              <w:top w:val="single" w:color="auto" w:sz="8" w:space="0"/>
              <w:bottom w:val="single" w:color="auto" w:sz="8" w:space="0"/>
            </w:tcBorders>
            <w:vAlign w:val="center"/>
          </w:tcPr>
          <w:p>
            <w:pPr>
              <w:adjustRightInd w:val="0"/>
              <w:snapToGrid w:val="0"/>
              <w:jc w:val="center"/>
              <w:rPr>
                <w:bCs/>
                <w:szCs w:val="21"/>
              </w:rPr>
            </w:pPr>
            <w:r>
              <w:rPr>
                <w:szCs w:val="21"/>
              </w:rPr>
              <w:t>生活垃圾</w:t>
            </w:r>
          </w:p>
        </w:tc>
        <w:tc>
          <w:tcPr>
            <w:tcW w:w="1978" w:type="dxa"/>
            <w:tcBorders>
              <w:top w:val="single" w:color="auto" w:sz="8" w:space="0"/>
              <w:bottom w:val="single" w:color="auto" w:sz="8" w:space="0"/>
            </w:tcBorders>
            <w:vAlign w:val="center"/>
          </w:tcPr>
          <w:p>
            <w:pPr>
              <w:widowControl/>
              <w:jc w:val="center"/>
              <w:rPr>
                <w:color w:val="FF0000"/>
                <w:kern w:val="0"/>
                <w:szCs w:val="21"/>
              </w:rPr>
            </w:pPr>
          </w:p>
        </w:tc>
        <w:tc>
          <w:tcPr>
            <w:tcW w:w="1276" w:type="dxa"/>
            <w:tcBorders>
              <w:top w:val="single" w:color="auto" w:sz="8" w:space="0"/>
              <w:bottom w:val="single" w:color="auto" w:sz="8" w:space="0"/>
            </w:tcBorders>
            <w:vAlign w:val="center"/>
          </w:tcPr>
          <w:p>
            <w:pPr>
              <w:widowControl/>
              <w:jc w:val="center"/>
              <w:rPr>
                <w:color w:val="FF0000"/>
                <w:kern w:val="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pStyle w:val="25"/>
              <w:jc w:val="center"/>
              <w:rPr>
                <w:bCs/>
                <w:color w:val="FF0000"/>
                <w:sz w:val="21"/>
                <w:szCs w:val="21"/>
              </w:rPr>
            </w:pPr>
            <w:r>
              <w:rPr>
                <w:rStyle w:val="47"/>
                <w:rFonts w:hint="eastAsia"/>
                <w:szCs w:val="21"/>
              </w:rPr>
              <w:t>12</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pStyle w:val="25"/>
              <w:jc w:val="center"/>
              <w:rPr>
                <w:bCs/>
                <w:color w:val="FF0000"/>
                <w:sz w:val="21"/>
                <w:szCs w:val="21"/>
              </w:rPr>
            </w:pPr>
            <w:r>
              <w:rPr>
                <w:rStyle w:val="47"/>
                <w:rFonts w:hint="eastAsia"/>
                <w:szCs w:val="21"/>
              </w:rPr>
              <w:t>12</w:t>
            </w:r>
          </w:p>
        </w:tc>
        <w:tc>
          <w:tcPr>
            <w:tcW w:w="996" w:type="dxa"/>
            <w:tcBorders>
              <w:top w:val="single" w:color="auto" w:sz="8" w:space="0"/>
              <w:bottom w:val="single" w:color="auto" w:sz="8" w:space="0"/>
            </w:tcBorders>
            <w:vAlign w:val="center"/>
          </w:tcPr>
          <w:p>
            <w:pPr>
              <w:pStyle w:val="25"/>
              <w:jc w:val="center"/>
              <w:rPr>
                <w:bCs/>
                <w:color w:val="FF0000"/>
                <w:sz w:val="21"/>
                <w:szCs w:val="21"/>
              </w:rPr>
            </w:pPr>
            <w:r>
              <w:rPr>
                <w:rStyle w:val="47"/>
                <w:rFonts w:hint="eastAsia"/>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钢带</w:t>
            </w:r>
            <w:r>
              <w:rPr>
                <w:szCs w:val="21"/>
              </w:rPr>
              <w:t>边角料</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szCs w:val="21"/>
              </w:rPr>
              <w:t>5</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color w:val="FF0000"/>
                <w:szCs w:val="21"/>
              </w:rPr>
            </w:pPr>
            <w:r>
              <w:rPr>
                <w:szCs w:val="21"/>
              </w:rPr>
              <w:t>5</w:t>
            </w:r>
          </w:p>
        </w:tc>
        <w:tc>
          <w:tcPr>
            <w:tcW w:w="996"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w:t>
            </w:r>
            <w:r>
              <w:rPr>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szCs w:val="21"/>
              </w:rPr>
              <w:t>焊接废料</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0.23</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0.23</w:t>
            </w:r>
          </w:p>
        </w:tc>
        <w:tc>
          <w:tcPr>
            <w:tcW w:w="996"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残次品</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2.2</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2.2</w:t>
            </w:r>
          </w:p>
        </w:tc>
        <w:tc>
          <w:tcPr>
            <w:tcW w:w="996"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布袋除尘灰</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0.196</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0.196</w:t>
            </w:r>
          </w:p>
        </w:tc>
        <w:tc>
          <w:tcPr>
            <w:tcW w:w="996"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+0.196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69" w:type="dxa"/>
            <w:vMerge w:val="continue"/>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废切削液</w:t>
            </w:r>
          </w:p>
        </w:tc>
        <w:tc>
          <w:tcPr>
            <w:tcW w:w="1978" w:type="dxa"/>
            <w:tcBorders>
              <w:top w:val="single" w:color="auto" w:sz="8" w:space="0"/>
              <w:bottom w:val="single" w:color="auto" w:sz="8" w:space="0"/>
            </w:tcBorders>
            <w:vAlign w:val="center"/>
          </w:tcPr>
          <w:p>
            <w:pPr>
              <w:jc w:val="center"/>
              <w:rPr>
                <w:color w:val="FF0000"/>
                <w:szCs w:val="21"/>
              </w:rPr>
            </w:pPr>
          </w:p>
        </w:tc>
        <w:tc>
          <w:tcPr>
            <w:tcW w:w="1276" w:type="dxa"/>
            <w:tcBorders>
              <w:top w:val="single" w:color="auto" w:sz="8" w:space="0"/>
              <w:bottom w:val="single" w:color="auto" w:sz="8" w:space="0"/>
            </w:tcBorders>
            <w:vAlign w:val="center"/>
          </w:tcPr>
          <w:p>
            <w:pPr>
              <w:jc w:val="center"/>
              <w:rPr>
                <w:color w:val="FF0000"/>
                <w:szCs w:val="21"/>
              </w:rPr>
            </w:pPr>
          </w:p>
        </w:tc>
        <w:tc>
          <w:tcPr>
            <w:tcW w:w="1701" w:type="dxa"/>
            <w:tcBorders>
              <w:top w:val="single" w:color="auto" w:sz="8" w:space="0"/>
              <w:bottom w:val="single" w:color="auto" w:sz="8" w:space="0"/>
            </w:tcBorders>
            <w:vAlign w:val="center"/>
          </w:tcPr>
          <w:p>
            <w:pPr>
              <w:pStyle w:val="106"/>
              <w:spacing w:beforeLines="0" w:afterLines="0" w:line="240" w:lineRule="auto"/>
              <w:rPr>
                <w:rFonts w:ascii="Times New Roman" w:hAnsi="Times New Roman" w:eastAsia="宋体" w:cs="Times New Roman"/>
                <w:snapToGrid w:val="0"/>
                <w:color w:val="FF0000"/>
                <w:kern w:val="21"/>
                <w:szCs w:val="21"/>
              </w:rPr>
            </w:pPr>
          </w:p>
        </w:tc>
        <w:tc>
          <w:tcPr>
            <w:tcW w:w="155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6</w:t>
            </w:r>
          </w:p>
        </w:tc>
        <w:tc>
          <w:tcPr>
            <w:tcW w:w="1761" w:type="dxa"/>
            <w:tcBorders>
              <w:top w:val="single" w:color="auto" w:sz="8" w:space="0"/>
              <w:bottom w:val="single" w:color="auto" w:sz="8" w:space="0"/>
            </w:tcBorders>
            <w:vAlign w:val="center"/>
          </w:tcPr>
          <w:p>
            <w:pPr>
              <w:jc w:val="center"/>
              <w:rPr>
                <w:color w:val="FF0000"/>
                <w:szCs w:val="21"/>
              </w:rPr>
            </w:pPr>
          </w:p>
        </w:tc>
        <w:tc>
          <w:tcPr>
            <w:tcW w:w="1789"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6</w:t>
            </w:r>
          </w:p>
        </w:tc>
        <w:tc>
          <w:tcPr>
            <w:tcW w:w="996" w:type="dxa"/>
            <w:tcBorders>
              <w:top w:val="single" w:color="auto" w:sz="8" w:space="0"/>
              <w:bottom w:val="single" w:color="auto" w:sz="8" w:space="0"/>
            </w:tcBorders>
            <w:vAlign w:val="center"/>
          </w:tcPr>
          <w:p>
            <w:pPr>
              <w:adjustRightInd w:val="0"/>
              <w:snapToGrid w:val="0"/>
              <w:jc w:val="center"/>
              <w:rPr>
                <w:color w:val="FF0000"/>
                <w:szCs w:val="21"/>
              </w:rPr>
            </w:pPr>
            <w:r>
              <w:rPr>
                <w:rFonts w:hint="eastAsia"/>
                <w:szCs w:val="21"/>
              </w:rPr>
              <w:t>+6</w:t>
            </w:r>
          </w:p>
        </w:tc>
      </w:tr>
    </w:tbl>
    <w:p>
      <w:pPr>
        <w:pStyle w:val="106"/>
        <w:spacing w:before="192" w:beforeLines="80" w:after="24"/>
        <w:jc w:val="left"/>
        <w:rPr>
          <w:rFonts w:ascii="Times New Roman" w:hAnsi="Times New Roman" w:eastAsia="宋体" w:cs="Times New Roman"/>
        </w:rPr>
      </w:pPr>
      <w:r>
        <w:rPr>
          <w:rFonts w:ascii="Times New Roman" w:hAnsi="Times New Roman" w:eastAsia="宋体" w:cs="Times New Roman"/>
          <w:snapToGrid w:val="0"/>
          <w:kern w:val="21"/>
          <w:szCs w:val="21"/>
        </w:rPr>
        <w:t>注：</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宋体" w:cs="Times New Roman"/>
          <w:snapToGrid w:val="0"/>
          <w:spacing w:val="-16"/>
          <w:kern w:val="21"/>
          <w:szCs w:val="21"/>
        </w:rPr>
        <w:fldChar w:fldCharType="end"/>
      </w:r>
      <w:r>
        <w:rPr>
          <w:rFonts w:ascii="Times New Roman" w:hAnsi="Times New Roman" w:eastAsia="宋体" w:cs="Times New Roman"/>
          <w:snapToGrid w:val="0"/>
          <w:spacing w:val="-1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3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4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5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宋体" w:cs="Times New Roman"/>
          <w:snapToGrid w:val="0"/>
          <w:spacing w:val="-16"/>
          <w:kern w:val="21"/>
          <w:szCs w:val="21"/>
        </w:rPr>
        <w:fldChar w:fldCharType="end"/>
      </w:r>
      <w:r>
        <w:rPr>
          <w:rFonts w:ascii="Times New Roman" w:hAnsi="Times New Roman" w:eastAsia="宋体" w:cs="Times New Roman"/>
          <w:snapToGrid w:val="0"/>
          <w:spacing w:val="-1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7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宋体" w:cs="Times New Roman"/>
          <w:snapToGrid w:val="0"/>
          <w:spacing w:val="-6"/>
          <w:kern w:val="21"/>
          <w:szCs w:val="21"/>
        </w:rPr>
        <w:fldChar w:fldCharType="end"/>
      </w:r>
      <w:r>
        <w:rPr>
          <w:rFonts w:ascii="Times New Roman" w:hAnsi="Times New Roman" w:eastAsia="宋体" w:cs="Times New Roman"/>
          <w:snapToGrid w:val="0"/>
          <w:spacing w:val="-6"/>
          <w:kern w:val="21"/>
          <w:szCs w:val="21"/>
        </w:rPr>
        <w:t>=</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宋体" w:cs="Times New Roman"/>
          <w:snapToGrid w:val="0"/>
          <w:spacing w:val="-16"/>
          <w:kern w:val="21"/>
          <w:szCs w:val="21"/>
        </w:rPr>
        <w:fldChar w:fldCharType="end"/>
      </w:r>
      <w:r>
        <w:rPr>
          <w:rFonts w:ascii="Times New Roman" w:hAnsi="Times New Roman" w:eastAsia="宋体" w:cs="Times New Roman"/>
          <w:snapToGrid w:val="0"/>
          <w:spacing w:val="-16"/>
          <w:kern w:val="21"/>
          <w:szCs w:val="21"/>
        </w:rPr>
        <w:t>-</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宋体" w:cs="Times New Roman"/>
          <w:snapToGrid w:val="0"/>
          <w:spacing w:val="-6"/>
          <w:kern w:val="21"/>
          <w:szCs w:val="21"/>
        </w:rPr>
        <w:fldChar w:fldCharType="end"/>
      </w:r>
    </w:p>
    <w:p>
      <w:pPr>
        <w:rPr>
          <w:color w:val="FF0000"/>
        </w:rPr>
      </w:pPr>
    </w:p>
    <w:sectPr>
      <w:footerReference r:id="rId8" w:type="default"/>
      <w:pgSz w:w="16838" w:h="11906" w:orient="landscape"/>
      <w:pgMar w:top="1531" w:right="1701" w:bottom="1531" w:left="1701" w:header="851" w:footer="851"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倾城璿" w:date="2021-11-12T11:55:00Z" w:initials="">
    <w:p w14:paraId="3E891BED">
      <w:pPr>
        <w:pStyle w:val="2"/>
        <w:spacing w:line="560" w:lineRule="exact"/>
        <w:ind w:firstLine="560" w:firstLineChars="200"/>
        <w:rPr>
          <w:rFonts w:ascii="仿宋" w:hAnsi="仿宋" w:eastAsia="仿宋" w:cs="Times New Roman"/>
          <w:color w:val="auto"/>
          <w:sz w:val="28"/>
          <w:szCs w:val="28"/>
        </w:rPr>
      </w:pPr>
      <w:r>
        <w:rPr>
          <w:rFonts w:hint="eastAsia" w:ascii="仿宋" w:hAnsi="仿宋" w:eastAsia="仿宋" w:cs="Times New Roman"/>
          <w:color w:val="auto"/>
          <w:sz w:val="28"/>
          <w:szCs w:val="28"/>
        </w:rPr>
        <w:t>1P6 第五行“重点发展重点发展”文字重复；核实西通用化验制样设备有限公司现有化粪池预处理的说法。</w:t>
      </w:r>
    </w:p>
    <w:p w14:paraId="66FD696F">
      <w:r>
        <w:rPr>
          <w:rFonts w:hint="eastAsia"/>
          <w:color w:val="FF0000"/>
        </w:rPr>
        <w:t>均已修改</w:t>
      </w:r>
    </w:p>
  </w:comment>
  <w:comment w:id="1" w:author="倾城璿" w:date="2021-11-11T12:03:00Z" w:initials="">
    <w:p w14:paraId="18881045">
      <w:pPr>
        <w:spacing w:line="360" w:lineRule="auto"/>
        <w:ind w:right="170" w:firstLine="420" w:firstLineChars="200"/>
        <w:rPr>
          <w:b/>
          <w:sz w:val="24"/>
          <w:highlight w:val="red"/>
        </w:rPr>
      </w:pPr>
      <w:r>
        <w:rPr>
          <w:rFonts w:hint="eastAsia"/>
          <w:highlight w:val="red"/>
        </w:rPr>
        <w:t>删除</w:t>
      </w:r>
      <w:r>
        <w:rPr>
          <w:sz w:val="24"/>
        </w:rPr>
        <w:t>“一城五园”</w:t>
      </w:r>
      <w:r>
        <w:rPr>
          <w:rFonts w:hint="eastAsia"/>
          <w:sz w:val="24"/>
        </w:rPr>
        <w:t>修改内容</w:t>
      </w:r>
    </w:p>
    <w:p w14:paraId="362E759E">
      <w:pPr>
        <w:pStyle w:val="16"/>
      </w:pPr>
      <w:r>
        <w:rPr>
          <w:rFonts w:hint="eastAsia"/>
          <w:color w:val="FF0000"/>
        </w:rPr>
        <w:t>已删除</w:t>
      </w:r>
    </w:p>
  </w:comment>
  <w:comment w:id="2" w:author="hp" w:date="2021-11-12T13:51:00Z" w:initials="hp">
    <w:p w14:paraId="015300B9">
      <w:pPr>
        <w:pStyle w:val="16"/>
      </w:pPr>
    </w:p>
  </w:comment>
  <w:comment w:id="3" w:author="倾城璿" w:date="2021-11-11T19:18:00Z" w:initials="">
    <w:p w14:paraId="5EDD1005">
      <w:pPr>
        <w:pStyle w:val="16"/>
      </w:pPr>
      <w:r>
        <w:rPr>
          <w:rFonts w:hint="eastAsia"/>
        </w:rPr>
        <w:t>根据排污许可证技术规范 汽车制造，核实频次</w:t>
      </w:r>
    </w:p>
    <w:p w14:paraId="566F3C38">
      <w:pPr>
        <w:pStyle w:val="16"/>
      </w:pPr>
      <w:r>
        <w:rPr>
          <w:rFonts w:hint="eastAsia"/>
          <w:color w:val="FF0000"/>
        </w:rPr>
        <w:t>已核实修改</w:t>
      </w:r>
    </w:p>
  </w:comment>
  <w:comment w:id="4" w:author="倾城璿" w:date="2021-11-12T14:02:00Z" w:initials="">
    <w:p w14:paraId="24580127">
      <w:pPr>
        <w:pStyle w:val="16"/>
      </w:pPr>
      <w:r>
        <w:rPr>
          <w:rFonts w:hint="eastAsia"/>
        </w:rPr>
        <w:t>汽车行业自行监测废水因子有固定的要求</w:t>
      </w:r>
    </w:p>
    <w:p w14:paraId="3C32626A">
      <w:pPr>
        <w:pStyle w:val="16"/>
      </w:pPr>
      <w:r>
        <w:rPr>
          <w:rFonts w:hint="eastAsia"/>
          <w:color w:val="FF0000"/>
        </w:rPr>
        <w:t>已核实修改</w:t>
      </w:r>
    </w:p>
  </w:comment>
  <w:comment w:id="5" w:author="倾城璿" w:date="2021-11-12T14:05:00Z" w:initials="">
    <w:p w14:paraId="4946120F">
      <w:pPr>
        <w:pStyle w:val="16"/>
      </w:pPr>
      <w:r>
        <w:rPr>
          <w:rFonts w:hint="eastAsia"/>
        </w:rPr>
        <w:t>剪板机、折弯机、铆接机、冷轧机、空压机?</w:t>
      </w:r>
    </w:p>
    <w:p w14:paraId="632811E6">
      <w:pPr>
        <w:pStyle w:val="16"/>
      </w:pPr>
      <w:r>
        <w:rPr>
          <w:rFonts w:hint="eastAsia"/>
          <w:color w:val="FF0000"/>
        </w:rPr>
        <w:t>已修改</w:t>
      </w:r>
    </w:p>
  </w:comment>
  <w:comment w:id="6" w:author="倾城璿" w:date="2021-11-11T19:52:00Z" w:initials="">
    <w:p w14:paraId="20304C2D">
      <w:pPr>
        <w:pStyle w:val="16"/>
      </w:pPr>
      <w:r>
        <w:rPr>
          <w:rFonts w:hint="eastAsia"/>
        </w:rPr>
        <w:t>噪声源强错误</w:t>
      </w:r>
    </w:p>
    <w:p w14:paraId="3CB646A6">
      <w:pPr>
        <w:pStyle w:val="16"/>
      </w:pPr>
      <w:r>
        <w:rPr>
          <w:rFonts w:hint="eastAsia"/>
          <w:color w:val="FF0000"/>
        </w:rPr>
        <w:t>已修改</w:t>
      </w:r>
    </w:p>
  </w:comment>
  <w:comment w:id="7" w:author="倾城璿" w:date="2021-11-11T20:00:00Z" w:initials="">
    <w:p w14:paraId="05406B60">
      <w:pPr>
        <w:pStyle w:val="16"/>
      </w:pPr>
      <w:r>
        <w:rPr>
          <w:rFonts w:hint="eastAsia"/>
        </w:rPr>
        <w:t>按编制指南要求写</w:t>
      </w:r>
    </w:p>
    <w:p w14:paraId="62FD7CB7">
      <w:pPr>
        <w:pStyle w:val="16"/>
      </w:pPr>
      <w:r>
        <w:rPr>
          <w:rFonts w:hint="eastAsia"/>
          <w:color w:val="FF0000"/>
        </w:rPr>
        <w:t>已修改</w:t>
      </w:r>
    </w:p>
  </w:comment>
  <w:comment w:id="8" w:author="倾城璿" w:date="2021-11-11T20:02:00Z" w:initials="">
    <w:p w14:paraId="25483654">
      <w:pPr>
        <w:pStyle w:val="16"/>
      </w:pPr>
      <w:r>
        <w:rPr>
          <w:rFonts w:hint="eastAsia"/>
        </w:rPr>
        <w:t>核实是否有机油？</w:t>
      </w:r>
    </w:p>
    <w:p w14:paraId="38016B35">
      <w:pPr>
        <w:pStyle w:val="16"/>
      </w:pPr>
      <w:r>
        <w:rPr>
          <w:rFonts w:hint="eastAsia"/>
          <w:color w:val="FF0000"/>
        </w:rPr>
        <w:t>已核实修改</w:t>
      </w:r>
    </w:p>
  </w:comment>
  <w:comment w:id="9" w:author="倾城璿" w:date="2021-11-11T20:04:00Z" w:initials="">
    <w:p w14:paraId="3605310E">
      <w:pPr>
        <w:pStyle w:val="16"/>
      </w:pPr>
      <w:r>
        <w:rPr>
          <w:rFonts w:hint="eastAsia"/>
        </w:rPr>
        <w:t>核实临界量依据</w:t>
      </w:r>
    </w:p>
    <w:p w14:paraId="000B6B77">
      <w:pPr>
        <w:pStyle w:val="16"/>
      </w:pPr>
      <w:r>
        <w:rPr>
          <w:rFonts w:hint="eastAsia"/>
          <w:color w:val="FF0000"/>
        </w:rPr>
        <w:t>已核实修改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6FD696F" w15:done="0"/>
  <w15:commentEx w15:paraId="362E759E" w15:done="0"/>
  <w15:commentEx w15:paraId="015300B9" w15:done="0"/>
  <w15:commentEx w15:paraId="566F3C38" w15:done="0"/>
  <w15:commentEx w15:paraId="3C32626A" w15:done="0"/>
  <w15:commentEx w15:paraId="632811E6" w15:done="0"/>
  <w15:commentEx w15:paraId="3CB646A6" w15:done="0"/>
  <w15:commentEx w15:paraId="62FD7CB7" w15:done="0"/>
  <w15:commentEx w15:paraId="38016B35" w15:done="0"/>
  <w15:commentEx w15:paraId="000B6B7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roman"/>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幼圆">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6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altName w:val="仿宋"/>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end"/>
    </w:r>
  </w:p>
  <w:p>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outside" w:y="1"/>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10</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pPr>
      <w:pStyle w:val="2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outside" w:y="1"/>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44</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pPr>
      <w:pStyle w:val="2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AC4AD"/>
    <w:multiLevelType w:val="singleLevel"/>
    <w:tmpl w:val="830AC4AD"/>
    <w:lvl w:ilvl="0" w:tentative="0">
      <w:start w:val="1"/>
      <w:numFmt w:val="decimal"/>
      <w:suff w:val="nothing"/>
      <w:lvlText w:val="（%1）"/>
      <w:lvlJc w:val="left"/>
    </w:lvl>
  </w:abstractNum>
  <w:abstractNum w:abstractNumId="1">
    <w:nsid w:val="02C91099"/>
    <w:multiLevelType w:val="multilevel"/>
    <w:tmpl w:val="02C91099"/>
    <w:lvl w:ilvl="0" w:tentative="0">
      <w:start w:val="1"/>
      <w:numFmt w:val="decimal"/>
      <w:lvlText w:val="表3-%1"/>
      <w:lvlJc w:val="left"/>
      <w:pPr>
        <w:ind w:left="420" w:hanging="42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B3E0B22"/>
    <w:multiLevelType w:val="multilevel"/>
    <w:tmpl w:val="0B3E0B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4D45E07"/>
    <w:multiLevelType w:val="multilevel"/>
    <w:tmpl w:val="34D45E0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C6876CE"/>
    <w:multiLevelType w:val="multilevel"/>
    <w:tmpl w:val="4C6876CE"/>
    <w:lvl w:ilvl="0" w:tentative="0">
      <w:start w:val="1"/>
      <w:numFmt w:val="decimal"/>
      <w:lvlText w:val="表4-%1"/>
      <w:lvlJc w:val="left"/>
      <w:pPr>
        <w:ind w:left="420" w:hanging="420"/>
      </w:pPr>
      <w:rPr>
        <w:rFonts w:hint="eastAsia"/>
        <w:b/>
        <w:sz w:val="24"/>
        <w:szCs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364"/>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5603F057"/>
    <w:multiLevelType w:val="singleLevel"/>
    <w:tmpl w:val="5603F057"/>
    <w:lvl w:ilvl="0" w:tentative="0">
      <w:start w:val="4"/>
      <w:numFmt w:val="decimal"/>
      <w:suff w:val="nothing"/>
      <w:lvlText w:val="（%1）"/>
      <w:lvlJc w:val="left"/>
    </w:lvl>
  </w:abstractNum>
  <w:abstractNum w:abstractNumId="7">
    <w:nsid w:val="62B50917"/>
    <w:multiLevelType w:val="multilevel"/>
    <w:tmpl w:val="62B50917"/>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3"/>
  </w:num>
  <w:num w:numId="3">
    <w:abstractNumId w:val="2"/>
  </w:num>
  <w:num w:numId="4">
    <w:abstractNumId w:val="7"/>
  </w:num>
  <w:num w:numId="5">
    <w:abstractNumId w:val="1"/>
  </w:num>
  <w:num w:numId="6">
    <w:abstractNumId w:val="4"/>
  </w:num>
  <w:num w:numId="7">
    <w:abstractNumId w:val="6"/>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倾城璿">
    <w15:presenceInfo w15:providerId="None" w15:userId="倾城璿"/>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9E6"/>
    <w:rsid w:val="00007B68"/>
    <w:rsid w:val="00013A09"/>
    <w:rsid w:val="00020D00"/>
    <w:rsid w:val="000256D2"/>
    <w:rsid w:val="00033911"/>
    <w:rsid w:val="00033D1B"/>
    <w:rsid w:val="00034304"/>
    <w:rsid w:val="0003481D"/>
    <w:rsid w:val="00043B68"/>
    <w:rsid w:val="00046399"/>
    <w:rsid w:val="00050F11"/>
    <w:rsid w:val="000512D0"/>
    <w:rsid w:val="0007068B"/>
    <w:rsid w:val="00071FC4"/>
    <w:rsid w:val="00072579"/>
    <w:rsid w:val="000726DC"/>
    <w:rsid w:val="000773CE"/>
    <w:rsid w:val="0009680C"/>
    <w:rsid w:val="000A09E6"/>
    <w:rsid w:val="000A3268"/>
    <w:rsid w:val="000B48B1"/>
    <w:rsid w:val="000C0001"/>
    <w:rsid w:val="000C23E1"/>
    <w:rsid w:val="000D0BB8"/>
    <w:rsid w:val="000D71C9"/>
    <w:rsid w:val="000E49A3"/>
    <w:rsid w:val="000E5486"/>
    <w:rsid w:val="000E7319"/>
    <w:rsid w:val="000F0374"/>
    <w:rsid w:val="000F2216"/>
    <w:rsid w:val="000F38BD"/>
    <w:rsid w:val="00100428"/>
    <w:rsid w:val="0010159C"/>
    <w:rsid w:val="0010188C"/>
    <w:rsid w:val="001043A1"/>
    <w:rsid w:val="00111723"/>
    <w:rsid w:val="0011426A"/>
    <w:rsid w:val="001155FF"/>
    <w:rsid w:val="00122BAC"/>
    <w:rsid w:val="00124DB9"/>
    <w:rsid w:val="00127B14"/>
    <w:rsid w:val="001352E4"/>
    <w:rsid w:val="00140591"/>
    <w:rsid w:val="001437C2"/>
    <w:rsid w:val="0014718F"/>
    <w:rsid w:val="0015310D"/>
    <w:rsid w:val="00155524"/>
    <w:rsid w:val="00161116"/>
    <w:rsid w:val="00162338"/>
    <w:rsid w:val="00164D46"/>
    <w:rsid w:val="001857A1"/>
    <w:rsid w:val="00191D66"/>
    <w:rsid w:val="001951BD"/>
    <w:rsid w:val="001A64E8"/>
    <w:rsid w:val="001B0E22"/>
    <w:rsid w:val="001B111C"/>
    <w:rsid w:val="001B2139"/>
    <w:rsid w:val="001B2801"/>
    <w:rsid w:val="001B7C43"/>
    <w:rsid w:val="001C0BF4"/>
    <w:rsid w:val="001C127A"/>
    <w:rsid w:val="001C7335"/>
    <w:rsid w:val="001D0471"/>
    <w:rsid w:val="001D0626"/>
    <w:rsid w:val="001D0CB1"/>
    <w:rsid w:val="001D1013"/>
    <w:rsid w:val="001D239F"/>
    <w:rsid w:val="001D5B88"/>
    <w:rsid w:val="001D6D4D"/>
    <w:rsid w:val="001E1B94"/>
    <w:rsid w:val="001F21C3"/>
    <w:rsid w:val="001F224D"/>
    <w:rsid w:val="00207A7E"/>
    <w:rsid w:val="002104E3"/>
    <w:rsid w:val="00210A45"/>
    <w:rsid w:val="00212052"/>
    <w:rsid w:val="002202FA"/>
    <w:rsid w:val="00225494"/>
    <w:rsid w:val="00226BFB"/>
    <w:rsid w:val="00230880"/>
    <w:rsid w:val="00230EC7"/>
    <w:rsid w:val="002347B8"/>
    <w:rsid w:val="00241C13"/>
    <w:rsid w:val="002425E9"/>
    <w:rsid w:val="0024342D"/>
    <w:rsid w:val="0024694F"/>
    <w:rsid w:val="00257C51"/>
    <w:rsid w:val="00260058"/>
    <w:rsid w:val="00263FFC"/>
    <w:rsid w:val="0027088E"/>
    <w:rsid w:val="00271B68"/>
    <w:rsid w:val="002771F6"/>
    <w:rsid w:val="00277BB7"/>
    <w:rsid w:val="00280CD3"/>
    <w:rsid w:val="00285C3D"/>
    <w:rsid w:val="0028781B"/>
    <w:rsid w:val="00292546"/>
    <w:rsid w:val="00294C73"/>
    <w:rsid w:val="002A65BD"/>
    <w:rsid w:val="002B0A28"/>
    <w:rsid w:val="002B2D8D"/>
    <w:rsid w:val="002B4696"/>
    <w:rsid w:val="002B5C32"/>
    <w:rsid w:val="002B69F0"/>
    <w:rsid w:val="002B7B82"/>
    <w:rsid w:val="002C0554"/>
    <w:rsid w:val="002C1E3D"/>
    <w:rsid w:val="002C4A20"/>
    <w:rsid w:val="002C60E8"/>
    <w:rsid w:val="002D291F"/>
    <w:rsid w:val="002D33B2"/>
    <w:rsid w:val="002D663D"/>
    <w:rsid w:val="002E1806"/>
    <w:rsid w:val="002F258E"/>
    <w:rsid w:val="002F2CAD"/>
    <w:rsid w:val="002F33E5"/>
    <w:rsid w:val="00302171"/>
    <w:rsid w:val="00303016"/>
    <w:rsid w:val="003044D3"/>
    <w:rsid w:val="00305873"/>
    <w:rsid w:val="00313701"/>
    <w:rsid w:val="003309A1"/>
    <w:rsid w:val="00350AAB"/>
    <w:rsid w:val="00354814"/>
    <w:rsid w:val="00355506"/>
    <w:rsid w:val="00355DD1"/>
    <w:rsid w:val="00364DB4"/>
    <w:rsid w:val="00374B1D"/>
    <w:rsid w:val="003819EA"/>
    <w:rsid w:val="00382DC3"/>
    <w:rsid w:val="00397D7A"/>
    <w:rsid w:val="003A17E8"/>
    <w:rsid w:val="003A2034"/>
    <w:rsid w:val="003B51D0"/>
    <w:rsid w:val="003B52EF"/>
    <w:rsid w:val="003B795D"/>
    <w:rsid w:val="003C1D7C"/>
    <w:rsid w:val="003C549F"/>
    <w:rsid w:val="003C7042"/>
    <w:rsid w:val="003D3169"/>
    <w:rsid w:val="003E0B67"/>
    <w:rsid w:val="003E18EF"/>
    <w:rsid w:val="003E4CF0"/>
    <w:rsid w:val="003E6FF0"/>
    <w:rsid w:val="003F16CD"/>
    <w:rsid w:val="003F231C"/>
    <w:rsid w:val="003F5449"/>
    <w:rsid w:val="003F66FA"/>
    <w:rsid w:val="003F76D2"/>
    <w:rsid w:val="003F787D"/>
    <w:rsid w:val="003F7BFA"/>
    <w:rsid w:val="00400B45"/>
    <w:rsid w:val="004234ED"/>
    <w:rsid w:val="00430C8B"/>
    <w:rsid w:val="00433C97"/>
    <w:rsid w:val="00435C3B"/>
    <w:rsid w:val="004364E1"/>
    <w:rsid w:val="004376D2"/>
    <w:rsid w:val="00443C62"/>
    <w:rsid w:val="004465C6"/>
    <w:rsid w:val="00463137"/>
    <w:rsid w:val="00463982"/>
    <w:rsid w:val="00476580"/>
    <w:rsid w:val="00482E80"/>
    <w:rsid w:val="00487CC8"/>
    <w:rsid w:val="004930E5"/>
    <w:rsid w:val="00494B8E"/>
    <w:rsid w:val="00495941"/>
    <w:rsid w:val="00495AD1"/>
    <w:rsid w:val="0049663A"/>
    <w:rsid w:val="004A71D8"/>
    <w:rsid w:val="004C5348"/>
    <w:rsid w:val="004C7025"/>
    <w:rsid w:val="004D11E9"/>
    <w:rsid w:val="004D699A"/>
    <w:rsid w:val="004E5766"/>
    <w:rsid w:val="004E5ADF"/>
    <w:rsid w:val="004E77F6"/>
    <w:rsid w:val="004E7EBB"/>
    <w:rsid w:val="004F15FB"/>
    <w:rsid w:val="004F33B9"/>
    <w:rsid w:val="004F5A7B"/>
    <w:rsid w:val="00500306"/>
    <w:rsid w:val="00502AEB"/>
    <w:rsid w:val="00502E3E"/>
    <w:rsid w:val="00510B2C"/>
    <w:rsid w:val="00512E6A"/>
    <w:rsid w:val="00513594"/>
    <w:rsid w:val="00515E94"/>
    <w:rsid w:val="00524D89"/>
    <w:rsid w:val="00532DCE"/>
    <w:rsid w:val="00534B04"/>
    <w:rsid w:val="00535378"/>
    <w:rsid w:val="005436BA"/>
    <w:rsid w:val="005455CB"/>
    <w:rsid w:val="0055585E"/>
    <w:rsid w:val="005563C1"/>
    <w:rsid w:val="00557827"/>
    <w:rsid w:val="005579E7"/>
    <w:rsid w:val="005605A0"/>
    <w:rsid w:val="005612E7"/>
    <w:rsid w:val="005646E2"/>
    <w:rsid w:val="00566699"/>
    <w:rsid w:val="00570021"/>
    <w:rsid w:val="005A32F6"/>
    <w:rsid w:val="005A45EC"/>
    <w:rsid w:val="005B198D"/>
    <w:rsid w:val="005B2C3B"/>
    <w:rsid w:val="005C1846"/>
    <w:rsid w:val="005C4816"/>
    <w:rsid w:val="005D01FE"/>
    <w:rsid w:val="005E3EA8"/>
    <w:rsid w:val="005E5B29"/>
    <w:rsid w:val="005F3A1F"/>
    <w:rsid w:val="005F574E"/>
    <w:rsid w:val="005F70B1"/>
    <w:rsid w:val="005F73F7"/>
    <w:rsid w:val="00617340"/>
    <w:rsid w:val="00624E7F"/>
    <w:rsid w:val="00637534"/>
    <w:rsid w:val="00643CC4"/>
    <w:rsid w:val="006443A2"/>
    <w:rsid w:val="0064547E"/>
    <w:rsid w:val="00646BF2"/>
    <w:rsid w:val="006533D3"/>
    <w:rsid w:val="0065392A"/>
    <w:rsid w:val="00656325"/>
    <w:rsid w:val="00660B2E"/>
    <w:rsid w:val="00664771"/>
    <w:rsid w:val="006658F7"/>
    <w:rsid w:val="00672773"/>
    <w:rsid w:val="00673B11"/>
    <w:rsid w:val="00680DA6"/>
    <w:rsid w:val="00693FCD"/>
    <w:rsid w:val="00695920"/>
    <w:rsid w:val="00697812"/>
    <w:rsid w:val="006A0188"/>
    <w:rsid w:val="006B036B"/>
    <w:rsid w:val="006B3C22"/>
    <w:rsid w:val="006B44DE"/>
    <w:rsid w:val="006B7C84"/>
    <w:rsid w:val="006C161F"/>
    <w:rsid w:val="006D16C7"/>
    <w:rsid w:val="006D195F"/>
    <w:rsid w:val="006D6819"/>
    <w:rsid w:val="006D73B1"/>
    <w:rsid w:val="006E2481"/>
    <w:rsid w:val="006E6275"/>
    <w:rsid w:val="006E70D2"/>
    <w:rsid w:val="006E7163"/>
    <w:rsid w:val="006F0BFF"/>
    <w:rsid w:val="006F7B41"/>
    <w:rsid w:val="006F7C5F"/>
    <w:rsid w:val="007035D9"/>
    <w:rsid w:val="00704060"/>
    <w:rsid w:val="00706EB5"/>
    <w:rsid w:val="00710388"/>
    <w:rsid w:val="0071383E"/>
    <w:rsid w:val="0071523A"/>
    <w:rsid w:val="00717ADB"/>
    <w:rsid w:val="00726518"/>
    <w:rsid w:val="00731519"/>
    <w:rsid w:val="00731B5C"/>
    <w:rsid w:val="007349BD"/>
    <w:rsid w:val="00736030"/>
    <w:rsid w:val="0073746C"/>
    <w:rsid w:val="00740E95"/>
    <w:rsid w:val="00746648"/>
    <w:rsid w:val="00750601"/>
    <w:rsid w:val="00754600"/>
    <w:rsid w:val="00760B7A"/>
    <w:rsid w:val="00760D09"/>
    <w:rsid w:val="0076333D"/>
    <w:rsid w:val="007663E6"/>
    <w:rsid w:val="007674B6"/>
    <w:rsid w:val="00773000"/>
    <w:rsid w:val="00782A7E"/>
    <w:rsid w:val="00783E46"/>
    <w:rsid w:val="00785F22"/>
    <w:rsid w:val="0078723F"/>
    <w:rsid w:val="00790A1A"/>
    <w:rsid w:val="007935AF"/>
    <w:rsid w:val="00795BF0"/>
    <w:rsid w:val="007B5B51"/>
    <w:rsid w:val="007C08A9"/>
    <w:rsid w:val="007C2B7F"/>
    <w:rsid w:val="007C2C22"/>
    <w:rsid w:val="007C6987"/>
    <w:rsid w:val="007D16C0"/>
    <w:rsid w:val="007D24F5"/>
    <w:rsid w:val="007D3339"/>
    <w:rsid w:val="007D3C97"/>
    <w:rsid w:val="007E353F"/>
    <w:rsid w:val="007E4269"/>
    <w:rsid w:val="007E5204"/>
    <w:rsid w:val="007E59E6"/>
    <w:rsid w:val="007F1365"/>
    <w:rsid w:val="00807E78"/>
    <w:rsid w:val="008129A1"/>
    <w:rsid w:val="00814BA6"/>
    <w:rsid w:val="0081711F"/>
    <w:rsid w:val="00821A4C"/>
    <w:rsid w:val="00821AAD"/>
    <w:rsid w:val="008246F6"/>
    <w:rsid w:val="00824F63"/>
    <w:rsid w:val="00835C3C"/>
    <w:rsid w:val="00840093"/>
    <w:rsid w:val="00841553"/>
    <w:rsid w:val="00841C11"/>
    <w:rsid w:val="00841C21"/>
    <w:rsid w:val="00843E89"/>
    <w:rsid w:val="008470A1"/>
    <w:rsid w:val="00852BD0"/>
    <w:rsid w:val="0085490A"/>
    <w:rsid w:val="008718D4"/>
    <w:rsid w:val="00876BD2"/>
    <w:rsid w:val="00882D2F"/>
    <w:rsid w:val="00887ABC"/>
    <w:rsid w:val="008920AC"/>
    <w:rsid w:val="008A4BB0"/>
    <w:rsid w:val="008A6938"/>
    <w:rsid w:val="008B0633"/>
    <w:rsid w:val="008B1FB4"/>
    <w:rsid w:val="008B2D9E"/>
    <w:rsid w:val="008B4497"/>
    <w:rsid w:val="008B4D53"/>
    <w:rsid w:val="008C046A"/>
    <w:rsid w:val="008C23B5"/>
    <w:rsid w:val="008D01E3"/>
    <w:rsid w:val="008D0297"/>
    <w:rsid w:val="008D3A7D"/>
    <w:rsid w:val="008D603C"/>
    <w:rsid w:val="008D6981"/>
    <w:rsid w:val="008D7B44"/>
    <w:rsid w:val="008E3DFD"/>
    <w:rsid w:val="008F06A5"/>
    <w:rsid w:val="008F0A4E"/>
    <w:rsid w:val="008F1FE3"/>
    <w:rsid w:val="008F5800"/>
    <w:rsid w:val="008F69DA"/>
    <w:rsid w:val="00901BD2"/>
    <w:rsid w:val="00912A3D"/>
    <w:rsid w:val="00912B34"/>
    <w:rsid w:val="00912C14"/>
    <w:rsid w:val="00912F24"/>
    <w:rsid w:val="00922502"/>
    <w:rsid w:val="009321A8"/>
    <w:rsid w:val="0093455D"/>
    <w:rsid w:val="00937DC0"/>
    <w:rsid w:val="009441CC"/>
    <w:rsid w:val="00945825"/>
    <w:rsid w:val="0094795D"/>
    <w:rsid w:val="00951030"/>
    <w:rsid w:val="00951919"/>
    <w:rsid w:val="009564EA"/>
    <w:rsid w:val="009572F4"/>
    <w:rsid w:val="0096280F"/>
    <w:rsid w:val="00970480"/>
    <w:rsid w:val="00975BDD"/>
    <w:rsid w:val="00975E47"/>
    <w:rsid w:val="00976FC0"/>
    <w:rsid w:val="00982E9D"/>
    <w:rsid w:val="00985C8A"/>
    <w:rsid w:val="00986016"/>
    <w:rsid w:val="009A1FC5"/>
    <w:rsid w:val="009A6013"/>
    <w:rsid w:val="009B338F"/>
    <w:rsid w:val="009C0152"/>
    <w:rsid w:val="009C3080"/>
    <w:rsid w:val="009D0BAB"/>
    <w:rsid w:val="009D4CE0"/>
    <w:rsid w:val="009D532D"/>
    <w:rsid w:val="009E02FD"/>
    <w:rsid w:val="009E4B38"/>
    <w:rsid w:val="009F0A85"/>
    <w:rsid w:val="009F5394"/>
    <w:rsid w:val="009F5A89"/>
    <w:rsid w:val="00A111EC"/>
    <w:rsid w:val="00A1605F"/>
    <w:rsid w:val="00A31315"/>
    <w:rsid w:val="00A344B0"/>
    <w:rsid w:val="00A407ED"/>
    <w:rsid w:val="00A4361A"/>
    <w:rsid w:val="00A44A8C"/>
    <w:rsid w:val="00A50B08"/>
    <w:rsid w:val="00A57C82"/>
    <w:rsid w:val="00A6690D"/>
    <w:rsid w:val="00A72937"/>
    <w:rsid w:val="00A732AD"/>
    <w:rsid w:val="00A776D1"/>
    <w:rsid w:val="00A84B14"/>
    <w:rsid w:val="00A852EF"/>
    <w:rsid w:val="00A85A3E"/>
    <w:rsid w:val="00A92416"/>
    <w:rsid w:val="00AA2314"/>
    <w:rsid w:val="00AB3725"/>
    <w:rsid w:val="00AB456C"/>
    <w:rsid w:val="00AB6DC1"/>
    <w:rsid w:val="00AB7525"/>
    <w:rsid w:val="00AC00FA"/>
    <w:rsid w:val="00AC7679"/>
    <w:rsid w:val="00AD0F32"/>
    <w:rsid w:val="00AD3283"/>
    <w:rsid w:val="00AD35D1"/>
    <w:rsid w:val="00AD41CF"/>
    <w:rsid w:val="00AD4322"/>
    <w:rsid w:val="00AE0C0E"/>
    <w:rsid w:val="00AE3996"/>
    <w:rsid w:val="00AE621E"/>
    <w:rsid w:val="00B02391"/>
    <w:rsid w:val="00B05606"/>
    <w:rsid w:val="00B05A58"/>
    <w:rsid w:val="00B117BE"/>
    <w:rsid w:val="00B1494A"/>
    <w:rsid w:val="00B16FFB"/>
    <w:rsid w:val="00B26E16"/>
    <w:rsid w:val="00B30320"/>
    <w:rsid w:val="00B3104B"/>
    <w:rsid w:val="00B338E4"/>
    <w:rsid w:val="00B34B95"/>
    <w:rsid w:val="00B356BA"/>
    <w:rsid w:val="00B45F14"/>
    <w:rsid w:val="00B52134"/>
    <w:rsid w:val="00B522E3"/>
    <w:rsid w:val="00B53465"/>
    <w:rsid w:val="00B619CC"/>
    <w:rsid w:val="00B71B59"/>
    <w:rsid w:val="00B80F1C"/>
    <w:rsid w:val="00B849AE"/>
    <w:rsid w:val="00B87112"/>
    <w:rsid w:val="00B909A5"/>
    <w:rsid w:val="00B91805"/>
    <w:rsid w:val="00B92FC4"/>
    <w:rsid w:val="00B969CC"/>
    <w:rsid w:val="00BA003F"/>
    <w:rsid w:val="00BA06D8"/>
    <w:rsid w:val="00BA0CB0"/>
    <w:rsid w:val="00BA2FC2"/>
    <w:rsid w:val="00BA47D8"/>
    <w:rsid w:val="00BB50D7"/>
    <w:rsid w:val="00BB5678"/>
    <w:rsid w:val="00BC0BC9"/>
    <w:rsid w:val="00BC2853"/>
    <w:rsid w:val="00BD1E9A"/>
    <w:rsid w:val="00BD4718"/>
    <w:rsid w:val="00BD65AD"/>
    <w:rsid w:val="00BE5E3D"/>
    <w:rsid w:val="00BE7B67"/>
    <w:rsid w:val="00BE7D17"/>
    <w:rsid w:val="00BF2F56"/>
    <w:rsid w:val="00BF55A9"/>
    <w:rsid w:val="00C05FA9"/>
    <w:rsid w:val="00C068C1"/>
    <w:rsid w:val="00C06908"/>
    <w:rsid w:val="00C127ED"/>
    <w:rsid w:val="00C142E7"/>
    <w:rsid w:val="00C162A2"/>
    <w:rsid w:val="00C231B4"/>
    <w:rsid w:val="00C23340"/>
    <w:rsid w:val="00C246DA"/>
    <w:rsid w:val="00C266C5"/>
    <w:rsid w:val="00C26E44"/>
    <w:rsid w:val="00C330BC"/>
    <w:rsid w:val="00C348E7"/>
    <w:rsid w:val="00C35BC2"/>
    <w:rsid w:val="00C36EA8"/>
    <w:rsid w:val="00C41B21"/>
    <w:rsid w:val="00C45D33"/>
    <w:rsid w:val="00C5287F"/>
    <w:rsid w:val="00C55E40"/>
    <w:rsid w:val="00C60D09"/>
    <w:rsid w:val="00C649B2"/>
    <w:rsid w:val="00C65697"/>
    <w:rsid w:val="00C66D81"/>
    <w:rsid w:val="00C71117"/>
    <w:rsid w:val="00C80C60"/>
    <w:rsid w:val="00C868BA"/>
    <w:rsid w:val="00C90CC5"/>
    <w:rsid w:val="00C90E8C"/>
    <w:rsid w:val="00C97D3F"/>
    <w:rsid w:val="00CB0ABD"/>
    <w:rsid w:val="00CB5D9B"/>
    <w:rsid w:val="00CB6574"/>
    <w:rsid w:val="00CC7E8C"/>
    <w:rsid w:val="00CD0419"/>
    <w:rsid w:val="00CE054F"/>
    <w:rsid w:val="00CE6B0F"/>
    <w:rsid w:val="00CF123D"/>
    <w:rsid w:val="00D03680"/>
    <w:rsid w:val="00D062C8"/>
    <w:rsid w:val="00D12520"/>
    <w:rsid w:val="00D12557"/>
    <w:rsid w:val="00D13F3E"/>
    <w:rsid w:val="00D143B3"/>
    <w:rsid w:val="00D20124"/>
    <w:rsid w:val="00D20A7D"/>
    <w:rsid w:val="00D23AC6"/>
    <w:rsid w:val="00D37042"/>
    <w:rsid w:val="00D42AC6"/>
    <w:rsid w:val="00D43DC7"/>
    <w:rsid w:val="00D50CCD"/>
    <w:rsid w:val="00D61374"/>
    <w:rsid w:val="00D63526"/>
    <w:rsid w:val="00D6547E"/>
    <w:rsid w:val="00D67013"/>
    <w:rsid w:val="00D725C9"/>
    <w:rsid w:val="00D72D1C"/>
    <w:rsid w:val="00D75874"/>
    <w:rsid w:val="00D809F0"/>
    <w:rsid w:val="00D82BD9"/>
    <w:rsid w:val="00D90CF9"/>
    <w:rsid w:val="00D93222"/>
    <w:rsid w:val="00D960A4"/>
    <w:rsid w:val="00D97267"/>
    <w:rsid w:val="00DA11C6"/>
    <w:rsid w:val="00DA28AF"/>
    <w:rsid w:val="00DA5CB8"/>
    <w:rsid w:val="00DB09C5"/>
    <w:rsid w:val="00DB20AB"/>
    <w:rsid w:val="00DB6939"/>
    <w:rsid w:val="00DC1C0F"/>
    <w:rsid w:val="00DC3839"/>
    <w:rsid w:val="00DC541F"/>
    <w:rsid w:val="00DC6099"/>
    <w:rsid w:val="00DC78F3"/>
    <w:rsid w:val="00DD16E4"/>
    <w:rsid w:val="00DD47FB"/>
    <w:rsid w:val="00DE1398"/>
    <w:rsid w:val="00DE437C"/>
    <w:rsid w:val="00DF06B5"/>
    <w:rsid w:val="00DF12F5"/>
    <w:rsid w:val="00DF189D"/>
    <w:rsid w:val="00DF1BD0"/>
    <w:rsid w:val="00DF1DE9"/>
    <w:rsid w:val="00E04E87"/>
    <w:rsid w:val="00E140B8"/>
    <w:rsid w:val="00E149BF"/>
    <w:rsid w:val="00E15476"/>
    <w:rsid w:val="00E16EEC"/>
    <w:rsid w:val="00E17C15"/>
    <w:rsid w:val="00E17E75"/>
    <w:rsid w:val="00E2024C"/>
    <w:rsid w:val="00E20423"/>
    <w:rsid w:val="00E20C1A"/>
    <w:rsid w:val="00E20CF3"/>
    <w:rsid w:val="00E21682"/>
    <w:rsid w:val="00E257A7"/>
    <w:rsid w:val="00E26BF3"/>
    <w:rsid w:val="00E414BD"/>
    <w:rsid w:val="00E41FE8"/>
    <w:rsid w:val="00E4394F"/>
    <w:rsid w:val="00E507B1"/>
    <w:rsid w:val="00E50BAB"/>
    <w:rsid w:val="00E545C9"/>
    <w:rsid w:val="00E56BFF"/>
    <w:rsid w:val="00E60600"/>
    <w:rsid w:val="00E64FEC"/>
    <w:rsid w:val="00E67B9C"/>
    <w:rsid w:val="00E724A9"/>
    <w:rsid w:val="00E762B7"/>
    <w:rsid w:val="00E76633"/>
    <w:rsid w:val="00E8105A"/>
    <w:rsid w:val="00E84CC6"/>
    <w:rsid w:val="00E85CFA"/>
    <w:rsid w:val="00E86077"/>
    <w:rsid w:val="00EB7108"/>
    <w:rsid w:val="00EE3BD4"/>
    <w:rsid w:val="00EE78C2"/>
    <w:rsid w:val="00EE7F88"/>
    <w:rsid w:val="00EF1DCD"/>
    <w:rsid w:val="00EF4D13"/>
    <w:rsid w:val="00EF723D"/>
    <w:rsid w:val="00EF7899"/>
    <w:rsid w:val="00F01E01"/>
    <w:rsid w:val="00F029F0"/>
    <w:rsid w:val="00F040F0"/>
    <w:rsid w:val="00F04C9F"/>
    <w:rsid w:val="00F2212C"/>
    <w:rsid w:val="00F2410A"/>
    <w:rsid w:val="00F25A53"/>
    <w:rsid w:val="00F276E6"/>
    <w:rsid w:val="00F30AC1"/>
    <w:rsid w:val="00F347CD"/>
    <w:rsid w:val="00F45D55"/>
    <w:rsid w:val="00F52F06"/>
    <w:rsid w:val="00F559EB"/>
    <w:rsid w:val="00F577E1"/>
    <w:rsid w:val="00F615BC"/>
    <w:rsid w:val="00F642C3"/>
    <w:rsid w:val="00F91EE2"/>
    <w:rsid w:val="00F954EB"/>
    <w:rsid w:val="00F970CC"/>
    <w:rsid w:val="00FA265F"/>
    <w:rsid w:val="00FA2D7E"/>
    <w:rsid w:val="00FB0330"/>
    <w:rsid w:val="00FB471B"/>
    <w:rsid w:val="00FD44EE"/>
    <w:rsid w:val="00FD4596"/>
    <w:rsid w:val="00FD5B3B"/>
    <w:rsid w:val="00FD6C34"/>
    <w:rsid w:val="00FE2DD1"/>
    <w:rsid w:val="00FF291E"/>
    <w:rsid w:val="01545161"/>
    <w:rsid w:val="02F00802"/>
    <w:rsid w:val="030119EC"/>
    <w:rsid w:val="03443FB7"/>
    <w:rsid w:val="03952F68"/>
    <w:rsid w:val="03A046E8"/>
    <w:rsid w:val="04642CB0"/>
    <w:rsid w:val="04EF777F"/>
    <w:rsid w:val="05F91591"/>
    <w:rsid w:val="063C297E"/>
    <w:rsid w:val="072B3929"/>
    <w:rsid w:val="074166E8"/>
    <w:rsid w:val="080C4DDA"/>
    <w:rsid w:val="082D500F"/>
    <w:rsid w:val="08F85670"/>
    <w:rsid w:val="099509FA"/>
    <w:rsid w:val="0AB84348"/>
    <w:rsid w:val="0ACD2D58"/>
    <w:rsid w:val="0B5D3E07"/>
    <w:rsid w:val="0B8969B8"/>
    <w:rsid w:val="0BE9668B"/>
    <w:rsid w:val="0CB64E8F"/>
    <w:rsid w:val="0DCF155A"/>
    <w:rsid w:val="0DE92B98"/>
    <w:rsid w:val="0E492846"/>
    <w:rsid w:val="0E7341B1"/>
    <w:rsid w:val="0EC22F25"/>
    <w:rsid w:val="0EFB742C"/>
    <w:rsid w:val="0F4829F5"/>
    <w:rsid w:val="102A4E1A"/>
    <w:rsid w:val="10327C7C"/>
    <w:rsid w:val="1173286D"/>
    <w:rsid w:val="12F136B3"/>
    <w:rsid w:val="132844FE"/>
    <w:rsid w:val="13400C2F"/>
    <w:rsid w:val="136F4C00"/>
    <w:rsid w:val="14043E95"/>
    <w:rsid w:val="15146C09"/>
    <w:rsid w:val="17342B7F"/>
    <w:rsid w:val="1739054F"/>
    <w:rsid w:val="17CF56DE"/>
    <w:rsid w:val="185C461C"/>
    <w:rsid w:val="18AF275D"/>
    <w:rsid w:val="193A1CC9"/>
    <w:rsid w:val="1A0916E6"/>
    <w:rsid w:val="1A5C7169"/>
    <w:rsid w:val="1B513C26"/>
    <w:rsid w:val="1CA40C0C"/>
    <w:rsid w:val="1D274B55"/>
    <w:rsid w:val="1D540287"/>
    <w:rsid w:val="1DA139ED"/>
    <w:rsid w:val="1DE3613B"/>
    <w:rsid w:val="1E4C5A99"/>
    <w:rsid w:val="204E212C"/>
    <w:rsid w:val="20A54965"/>
    <w:rsid w:val="21237610"/>
    <w:rsid w:val="22606873"/>
    <w:rsid w:val="226077DD"/>
    <w:rsid w:val="23351FEF"/>
    <w:rsid w:val="23700F1A"/>
    <w:rsid w:val="240055F7"/>
    <w:rsid w:val="243E4FDA"/>
    <w:rsid w:val="255F0AFE"/>
    <w:rsid w:val="25D81168"/>
    <w:rsid w:val="25FF7039"/>
    <w:rsid w:val="272C6EE6"/>
    <w:rsid w:val="27861F2E"/>
    <w:rsid w:val="28056EDC"/>
    <w:rsid w:val="287A3A7B"/>
    <w:rsid w:val="29247FDC"/>
    <w:rsid w:val="29331F2F"/>
    <w:rsid w:val="296C487B"/>
    <w:rsid w:val="29F36F3D"/>
    <w:rsid w:val="2A36408A"/>
    <w:rsid w:val="2A8B0C75"/>
    <w:rsid w:val="2B45072A"/>
    <w:rsid w:val="2B6C740D"/>
    <w:rsid w:val="2BB20BBF"/>
    <w:rsid w:val="2DE36310"/>
    <w:rsid w:val="2F5C3C86"/>
    <w:rsid w:val="2FC1125E"/>
    <w:rsid w:val="30D014D4"/>
    <w:rsid w:val="30DE14BD"/>
    <w:rsid w:val="30F56FD2"/>
    <w:rsid w:val="31D74DCE"/>
    <w:rsid w:val="31DB00B4"/>
    <w:rsid w:val="32311604"/>
    <w:rsid w:val="336C7617"/>
    <w:rsid w:val="33EC1C3B"/>
    <w:rsid w:val="340B3105"/>
    <w:rsid w:val="344420DD"/>
    <w:rsid w:val="34F83D3D"/>
    <w:rsid w:val="35581831"/>
    <w:rsid w:val="36B90A28"/>
    <w:rsid w:val="371F080D"/>
    <w:rsid w:val="372921C7"/>
    <w:rsid w:val="373D491F"/>
    <w:rsid w:val="377D0B41"/>
    <w:rsid w:val="38424109"/>
    <w:rsid w:val="39F1575F"/>
    <w:rsid w:val="3A2754E1"/>
    <w:rsid w:val="3B352D99"/>
    <w:rsid w:val="3B4203B0"/>
    <w:rsid w:val="3B6755C1"/>
    <w:rsid w:val="3B6D11E0"/>
    <w:rsid w:val="3C8471CD"/>
    <w:rsid w:val="3C892CC9"/>
    <w:rsid w:val="3CA56B60"/>
    <w:rsid w:val="3D445650"/>
    <w:rsid w:val="3D506700"/>
    <w:rsid w:val="3F762811"/>
    <w:rsid w:val="403D3A1E"/>
    <w:rsid w:val="40DC3B31"/>
    <w:rsid w:val="412B2E15"/>
    <w:rsid w:val="418873B6"/>
    <w:rsid w:val="41D06C12"/>
    <w:rsid w:val="42E07B4D"/>
    <w:rsid w:val="440B1A03"/>
    <w:rsid w:val="44CC5DE9"/>
    <w:rsid w:val="45230D32"/>
    <w:rsid w:val="4549548A"/>
    <w:rsid w:val="457B5965"/>
    <w:rsid w:val="466D722E"/>
    <w:rsid w:val="46D06452"/>
    <w:rsid w:val="475D61AA"/>
    <w:rsid w:val="47E908ED"/>
    <w:rsid w:val="480272E2"/>
    <w:rsid w:val="48A80250"/>
    <w:rsid w:val="490D6B38"/>
    <w:rsid w:val="4A2741B7"/>
    <w:rsid w:val="4A3D5897"/>
    <w:rsid w:val="4A674851"/>
    <w:rsid w:val="4A6C6C30"/>
    <w:rsid w:val="4B337B37"/>
    <w:rsid w:val="4B4826F2"/>
    <w:rsid w:val="4D80363C"/>
    <w:rsid w:val="4D965971"/>
    <w:rsid w:val="4DB13777"/>
    <w:rsid w:val="4F10002F"/>
    <w:rsid w:val="4F9472F5"/>
    <w:rsid w:val="50ED6FBD"/>
    <w:rsid w:val="51213482"/>
    <w:rsid w:val="51634B5F"/>
    <w:rsid w:val="52937368"/>
    <w:rsid w:val="52EA17B6"/>
    <w:rsid w:val="53093E80"/>
    <w:rsid w:val="53E83831"/>
    <w:rsid w:val="551C76D1"/>
    <w:rsid w:val="556E355D"/>
    <w:rsid w:val="5666153E"/>
    <w:rsid w:val="578620AC"/>
    <w:rsid w:val="57F1529A"/>
    <w:rsid w:val="58A70766"/>
    <w:rsid w:val="58CB2F51"/>
    <w:rsid w:val="593B0F50"/>
    <w:rsid w:val="597F7085"/>
    <w:rsid w:val="5A5E69BD"/>
    <w:rsid w:val="5AE661A3"/>
    <w:rsid w:val="5BF941F5"/>
    <w:rsid w:val="5D606AAD"/>
    <w:rsid w:val="5D615AAC"/>
    <w:rsid w:val="5DD6214D"/>
    <w:rsid w:val="5ECC2704"/>
    <w:rsid w:val="5F40083F"/>
    <w:rsid w:val="604E15F5"/>
    <w:rsid w:val="649E2054"/>
    <w:rsid w:val="64C15B5F"/>
    <w:rsid w:val="64F76E0E"/>
    <w:rsid w:val="65307F0B"/>
    <w:rsid w:val="66FF395B"/>
    <w:rsid w:val="67F75249"/>
    <w:rsid w:val="68A122F3"/>
    <w:rsid w:val="68A41649"/>
    <w:rsid w:val="68E65EBD"/>
    <w:rsid w:val="6A5F1F88"/>
    <w:rsid w:val="6BE51683"/>
    <w:rsid w:val="6C0A6E4A"/>
    <w:rsid w:val="6C2F0285"/>
    <w:rsid w:val="6C950FFC"/>
    <w:rsid w:val="6CE213ED"/>
    <w:rsid w:val="6D9B63AB"/>
    <w:rsid w:val="6FE96150"/>
    <w:rsid w:val="725D6611"/>
    <w:rsid w:val="72D4387A"/>
    <w:rsid w:val="73F83957"/>
    <w:rsid w:val="741B770A"/>
    <w:rsid w:val="74427E58"/>
    <w:rsid w:val="7493059F"/>
    <w:rsid w:val="74A91C19"/>
    <w:rsid w:val="75283ACA"/>
    <w:rsid w:val="75770D74"/>
    <w:rsid w:val="763E6318"/>
    <w:rsid w:val="77814306"/>
    <w:rsid w:val="792F7672"/>
    <w:rsid w:val="7ABA3FDA"/>
    <w:rsid w:val="7B870A41"/>
    <w:rsid w:val="7B972C15"/>
    <w:rsid w:val="7BB403BE"/>
    <w:rsid w:val="7DC82D2B"/>
    <w:rsid w:val="7DDB5C4A"/>
    <w:rsid w:val="7E67052E"/>
    <w:rsid w:val="7EFA2E85"/>
    <w:rsid w:val="7FF46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9"/>
    <w:qFormat/>
    <w:uiPriority w:val="0"/>
    <w:pPr>
      <w:keepNext/>
      <w:keepLines/>
      <w:adjustRightInd w:val="0"/>
      <w:spacing w:line="360" w:lineRule="auto"/>
      <w:textAlignment w:val="baseline"/>
      <w:outlineLvl w:val="1"/>
    </w:pPr>
    <w:rPr>
      <w:rFonts w:ascii="宋体"/>
      <w:b/>
      <w:sz w:val="24"/>
      <w:szCs w:val="20"/>
    </w:rPr>
  </w:style>
  <w:style w:type="paragraph" w:styleId="5">
    <w:name w:val="heading 3"/>
    <w:basedOn w:val="1"/>
    <w:next w:val="1"/>
    <w:link w:val="50"/>
    <w:qFormat/>
    <w:uiPriority w:val="0"/>
    <w:pPr>
      <w:keepNext/>
      <w:keepLines/>
      <w:adjustRightInd w:val="0"/>
      <w:spacing w:line="360" w:lineRule="auto"/>
      <w:ind w:left="397"/>
      <w:textAlignment w:val="baseline"/>
      <w:outlineLvl w:val="2"/>
    </w:pPr>
    <w:rPr>
      <w:rFonts w:ascii="宋体" w:hAnsi="Arial"/>
      <w:b/>
      <w:szCs w:val="20"/>
    </w:rPr>
  </w:style>
  <w:style w:type="paragraph" w:styleId="6">
    <w:name w:val="heading 4"/>
    <w:basedOn w:val="1"/>
    <w:next w:val="1"/>
    <w:link w:val="51"/>
    <w:qFormat/>
    <w:uiPriority w:val="0"/>
    <w:pPr>
      <w:keepNext/>
      <w:keepLines/>
      <w:adjustRightInd w:val="0"/>
      <w:spacing w:before="280" w:after="290" w:line="376" w:lineRule="atLeast"/>
      <w:ind w:left="397"/>
      <w:textAlignment w:val="baseline"/>
      <w:outlineLvl w:val="3"/>
    </w:pPr>
    <w:rPr>
      <w:rFonts w:ascii="Arial" w:hAnsi="Arial" w:eastAsia="黑体"/>
      <w:b/>
      <w:sz w:val="24"/>
      <w:szCs w:val="20"/>
    </w:rPr>
  </w:style>
  <w:style w:type="paragraph" w:styleId="7">
    <w:name w:val="heading 5"/>
    <w:basedOn w:val="1"/>
    <w:next w:val="1"/>
    <w:link w:val="52"/>
    <w:qFormat/>
    <w:uiPriority w:val="0"/>
    <w:pPr>
      <w:keepNext/>
      <w:keepLines/>
      <w:adjustRightInd w:val="0"/>
      <w:spacing w:before="280" w:after="290" w:line="376" w:lineRule="atLeast"/>
      <w:ind w:left="397"/>
      <w:textAlignment w:val="baseline"/>
      <w:outlineLvl w:val="4"/>
    </w:pPr>
    <w:rPr>
      <w:rFonts w:ascii="宋体" w:hAnsi="Arial"/>
      <w:b/>
      <w:sz w:val="24"/>
      <w:szCs w:val="20"/>
    </w:rPr>
  </w:style>
  <w:style w:type="paragraph" w:styleId="8">
    <w:name w:val="heading 6"/>
    <w:basedOn w:val="1"/>
    <w:next w:val="1"/>
    <w:link w:val="53"/>
    <w:qFormat/>
    <w:uiPriority w:val="0"/>
    <w:pPr>
      <w:keepNext/>
      <w:keepLines/>
      <w:adjustRightInd w:val="0"/>
      <w:spacing w:before="240" w:after="64" w:line="320" w:lineRule="atLeast"/>
      <w:ind w:left="397"/>
      <w:textAlignment w:val="baseline"/>
      <w:outlineLvl w:val="5"/>
    </w:pPr>
    <w:rPr>
      <w:rFonts w:ascii="Arial" w:hAnsi="Arial" w:eastAsia="黑体"/>
      <w:b/>
      <w:sz w:val="24"/>
      <w:szCs w:val="20"/>
    </w:rPr>
  </w:style>
  <w:style w:type="paragraph" w:styleId="9">
    <w:name w:val="heading 7"/>
    <w:basedOn w:val="1"/>
    <w:next w:val="1"/>
    <w:link w:val="54"/>
    <w:qFormat/>
    <w:uiPriority w:val="0"/>
    <w:pPr>
      <w:keepNext/>
      <w:keepLines/>
      <w:adjustRightInd w:val="0"/>
      <w:spacing w:before="240" w:after="64" w:line="320" w:lineRule="atLeast"/>
      <w:ind w:left="397"/>
      <w:textAlignment w:val="baseline"/>
      <w:outlineLvl w:val="6"/>
    </w:pPr>
    <w:rPr>
      <w:rFonts w:ascii="宋体" w:hAnsi="Arial"/>
      <w:b/>
      <w:sz w:val="24"/>
      <w:szCs w:val="20"/>
    </w:rPr>
  </w:style>
  <w:style w:type="paragraph" w:styleId="10">
    <w:name w:val="heading 8"/>
    <w:basedOn w:val="1"/>
    <w:next w:val="1"/>
    <w:link w:val="55"/>
    <w:qFormat/>
    <w:uiPriority w:val="0"/>
    <w:pPr>
      <w:keepNext/>
      <w:keepLines/>
      <w:adjustRightInd w:val="0"/>
      <w:spacing w:before="240" w:after="64" w:line="320" w:lineRule="atLeast"/>
      <w:ind w:left="397"/>
      <w:textAlignment w:val="baseline"/>
      <w:outlineLvl w:val="7"/>
    </w:pPr>
    <w:rPr>
      <w:rFonts w:ascii="Arial" w:hAnsi="Arial" w:eastAsia="黑体"/>
      <w:sz w:val="24"/>
      <w:szCs w:val="20"/>
    </w:rPr>
  </w:style>
  <w:style w:type="paragraph" w:styleId="11">
    <w:name w:val="heading 9"/>
    <w:basedOn w:val="1"/>
    <w:next w:val="1"/>
    <w:link w:val="56"/>
    <w:qFormat/>
    <w:uiPriority w:val="0"/>
    <w:pPr>
      <w:keepNext/>
      <w:keepLines/>
      <w:adjustRightInd w:val="0"/>
      <w:spacing w:before="240" w:after="64" w:line="320" w:lineRule="atLeast"/>
      <w:ind w:left="397"/>
      <w:textAlignment w:val="baseline"/>
      <w:outlineLvl w:val="8"/>
    </w:pPr>
    <w:rPr>
      <w:rFonts w:ascii="Arial" w:hAnsi="Arial" w:eastAsia="黑体"/>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2">
    <w:name w:val="Note Heading"/>
    <w:basedOn w:val="1"/>
    <w:next w:val="1"/>
    <w:link w:val="57"/>
    <w:qFormat/>
    <w:uiPriority w:val="0"/>
    <w:pPr>
      <w:jc w:val="center"/>
    </w:pPr>
  </w:style>
  <w:style w:type="paragraph" w:styleId="13">
    <w:name w:val="Normal Indent"/>
    <w:basedOn w:val="1"/>
    <w:link w:val="58"/>
    <w:qFormat/>
    <w:uiPriority w:val="0"/>
    <w:pPr>
      <w:ind w:firstLine="420"/>
    </w:pPr>
    <w:rPr>
      <w:rFonts w:ascii="等线" w:hAnsi="等线" w:eastAsia="等线"/>
      <w:szCs w:val="22"/>
    </w:rPr>
  </w:style>
  <w:style w:type="paragraph" w:styleId="14">
    <w:name w:val="caption"/>
    <w:basedOn w:val="1"/>
    <w:next w:val="1"/>
    <w:link w:val="59"/>
    <w:qFormat/>
    <w:uiPriority w:val="35"/>
    <w:rPr>
      <w:rFonts w:ascii="Arial" w:hAnsi="Arial" w:eastAsia="黑体"/>
      <w:sz w:val="20"/>
      <w:szCs w:val="20"/>
    </w:rPr>
  </w:style>
  <w:style w:type="paragraph" w:styleId="15">
    <w:name w:val="Document Map"/>
    <w:basedOn w:val="1"/>
    <w:link w:val="60"/>
    <w:unhideWhenUsed/>
    <w:qFormat/>
    <w:uiPriority w:val="99"/>
    <w:rPr>
      <w:rFonts w:ascii="宋体"/>
      <w:sz w:val="18"/>
      <w:szCs w:val="18"/>
    </w:rPr>
  </w:style>
  <w:style w:type="paragraph" w:styleId="16">
    <w:name w:val="annotation text"/>
    <w:basedOn w:val="1"/>
    <w:link w:val="61"/>
    <w:qFormat/>
    <w:uiPriority w:val="0"/>
    <w:pPr>
      <w:jc w:val="left"/>
    </w:pPr>
    <w:rPr>
      <w:kern w:val="0"/>
      <w:sz w:val="24"/>
      <w:szCs w:val="20"/>
    </w:rPr>
  </w:style>
  <w:style w:type="paragraph" w:styleId="17">
    <w:name w:val="Body Text"/>
    <w:basedOn w:val="1"/>
    <w:link w:val="62"/>
    <w:qFormat/>
    <w:uiPriority w:val="0"/>
    <w:pPr>
      <w:widowControl/>
      <w:snapToGrid w:val="0"/>
      <w:spacing w:before="60" w:after="160" w:line="259" w:lineRule="auto"/>
      <w:ind w:right="113"/>
    </w:pPr>
    <w:rPr>
      <w:kern w:val="0"/>
      <w:sz w:val="18"/>
      <w:szCs w:val="20"/>
    </w:rPr>
  </w:style>
  <w:style w:type="paragraph" w:styleId="18">
    <w:name w:val="Body Text Indent"/>
    <w:basedOn w:val="1"/>
    <w:link w:val="63"/>
    <w:qFormat/>
    <w:uiPriority w:val="0"/>
    <w:pPr>
      <w:spacing w:after="120"/>
      <w:ind w:left="420" w:leftChars="200"/>
    </w:pPr>
    <w:rPr>
      <w:kern w:val="0"/>
      <w:sz w:val="24"/>
      <w:szCs w:val="20"/>
    </w:rPr>
  </w:style>
  <w:style w:type="paragraph" w:styleId="19">
    <w:name w:val="Block Text"/>
    <w:basedOn w:val="1"/>
    <w:qFormat/>
    <w:uiPriority w:val="0"/>
    <w:pPr>
      <w:autoSpaceDE w:val="0"/>
      <w:autoSpaceDN w:val="0"/>
      <w:adjustRightInd w:val="0"/>
      <w:spacing w:before="1" w:line="537" w:lineRule="exact"/>
      <w:ind w:left="88" w:right="6"/>
    </w:pPr>
    <w:rPr>
      <w:kern w:val="0"/>
      <w:sz w:val="28"/>
      <w:szCs w:val="28"/>
    </w:rPr>
  </w:style>
  <w:style w:type="paragraph" w:styleId="20">
    <w:name w:val="toc 3"/>
    <w:basedOn w:val="1"/>
    <w:next w:val="1"/>
    <w:qFormat/>
    <w:uiPriority w:val="39"/>
    <w:pPr>
      <w:ind w:left="840" w:leftChars="400"/>
    </w:pPr>
    <w:rPr>
      <w:szCs w:val="20"/>
    </w:rPr>
  </w:style>
  <w:style w:type="paragraph" w:styleId="21">
    <w:name w:val="Plain Text"/>
    <w:basedOn w:val="1"/>
    <w:link w:val="64"/>
    <w:qFormat/>
    <w:uiPriority w:val="0"/>
    <w:rPr>
      <w:rFonts w:ascii="宋体" w:hAnsi="Courier New" w:eastAsia="等线"/>
      <w:szCs w:val="22"/>
    </w:rPr>
  </w:style>
  <w:style w:type="paragraph" w:styleId="22">
    <w:name w:val="Date"/>
    <w:basedOn w:val="1"/>
    <w:next w:val="1"/>
    <w:link w:val="65"/>
    <w:qFormat/>
    <w:uiPriority w:val="0"/>
    <w:pPr>
      <w:ind w:left="100" w:leftChars="2500"/>
    </w:pPr>
    <w:rPr>
      <w:kern w:val="0"/>
      <w:sz w:val="24"/>
      <w:szCs w:val="20"/>
    </w:rPr>
  </w:style>
  <w:style w:type="paragraph" w:styleId="23">
    <w:name w:val="Body Text Indent 2"/>
    <w:basedOn w:val="1"/>
    <w:link w:val="66"/>
    <w:qFormat/>
    <w:uiPriority w:val="0"/>
    <w:pPr>
      <w:spacing w:after="120" w:line="480" w:lineRule="auto"/>
      <w:ind w:left="420" w:leftChars="200"/>
    </w:pPr>
    <w:rPr>
      <w:rFonts w:ascii="等线" w:hAnsi="等线" w:eastAsia="等线"/>
      <w:szCs w:val="22"/>
    </w:rPr>
  </w:style>
  <w:style w:type="paragraph" w:styleId="24">
    <w:name w:val="Balloon Text"/>
    <w:basedOn w:val="1"/>
    <w:link w:val="67"/>
    <w:qFormat/>
    <w:uiPriority w:val="0"/>
    <w:rPr>
      <w:kern w:val="0"/>
      <w:sz w:val="18"/>
      <w:szCs w:val="20"/>
    </w:rPr>
  </w:style>
  <w:style w:type="paragraph" w:styleId="25">
    <w:name w:val="footer"/>
    <w:basedOn w:val="1"/>
    <w:link w:val="68"/>
    <w:qFormat/>
    <w:uiPriority w:val="99"/>
    <w:pPr>
      <w:tabs>
        <w:tab w:val="center" w:pos="4153"/>
        <w:tab w:val="right" w:pos="8306"/>
      </w:tabs>
      <w:snapToGrid w:val="0"/>
      <w:jc w:val="left"/>
    </w:pPr>
    <w:rPr>
      <w:kern w:val="0"/>
      <w:sz w:val="18"/>
      <w:szCs w:val="20"/>
    </w:rPr>
  </w:style>
  <w:style w:type="paragraph" w:styleId="26">
    <w:name w:val="header"/>
    <w:basedOn w:val="1"/>
    <w:link w:val="69"/>
    <w:qFormat/>
    <w:uiPriority w:val="0"/>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qFormat/>
    <w:uiPriority w:val="39"/>
    <w:rPr>
      <w:szCs w:val="20"/>
    </w:rPr>
  </w:style>
  <w:style w:type="paragraph" w:styleId="28">
    <w:name w:val="toc 4"/>
    <w:basedOn w:val="1"/>
    <w:next w:val="1"/>
    <w:qFormat/>
    <w:uiPriority w:val="0"/>
    <w:pPr>
      <w:ind w:left="630"/>
    </w:pPr>
    <w:rPr>
      <w:sz w:val="18"/>
      <w:szCs w:val="20"/>
    </w:rPr>
  </w:style>
  <w:style w:type="paragraph" w:styleId="29">
    <w:name w:val="List"/>
    <w:basedOn w:val="1"/>
    <w:qFormat/>
    <w:uiPriority w:val="0"/>
    <w:pPr>
      <w:ind w:left="200" w:hanging="200" w:hangingChars="200"/>
    </w:pPr>
  </w:style>
  <w:style w:type="paragraph" w:styleId="30">
    <w:name w:val="Body Text Indent 3"/>
    <w:basedOn w:val="1"/>
    <w:link w:val="70"/>
    <w:qFormat/>
    <w:uiPriority w:val="0"/>
    <w:pPr>
      <w:spacing w:after="120"/>
      <w:ind w:left="420" w:leftChars="200"/>
    </w:pPr>
    <w:rPr>
      <w:rFonts w:ascii="等线" w:hAnsi="等线" w:eastAsia="等线"/>
      <w:sz w:val="16"/>
      <w:szCs w:val="22"/>
    </w:rPr>
  </w:style>
  <w:style w:type="paragraph" w:styleId="31">
    <w:name w:val="table of figures"/>
    <w:basedOn w:val="1"/>
    <w:next w:val="1"/>
    <w:qFormat/>
    <w:uiPriority w:val="0"/>
    <w:pPr>
      <w:ind w:left="200" w:leftChars="200" w:hanging="200" w:hangingChars="200"/>
    </w:pPr>
    <w:rPr>
      <w:szCs w:val="20"/>
    </w:rPr>
  </w:style>
  <w:style w:type="paragraph" w:styleId="32">
    <w:name w:val="toc 2"/>
    <w:basedOn w:val="1"/>
    <w:next w:val="1"/>
    <w:qFormat/>
    <w:uiPriority w:val="0"/>
    <w:pPr>
      <w:ind w:left="420" w:leftChars="200"/>
    </w:pPr>
    <w:rPr>
      <w:szCs w:val="20"/>
    </w:rPr>
  </w:style>
  <w:style w:type="paragraph" w:styleId="33">
    <w:name w:val="Body Text 2"/>
    <w:basedOn w:val="1"/>
    <w:link w:val="71"/>
    <w:qFormat/>
    <w:uiPriority w:val="0"/>
    <w:pPr>
      <w:spacing w:after="120" w:line="480" w:lineRule="auto"/>
    </w:pPr>
    <w:rPr>
      <w:rFonts w:ascii="等线" w:hAnsi="等线" w:eastAsia="等线"/>
      <w:szCs w:val="22"/>
    </w:rPr>
  </w:style>
  <w:style w:type="paragraph" w:styleId="34">
    <w:name w:val="HTML Preformatted"/>
    <w:basedOn w:val="1"/>
    <w:link w:val="72"/>
    <w:semiHidden/>
    <w:unhideWhenUsed/>
    <w:qFormat/>
    <w:uiPriority w:val="99"/>
    <w:rPr>
      <w:rFonts w:ascii="Courier New" w:hAnsi="Courier New" w:cs="Courier New"/>
      <w:sz w:val="20"/>
      <w:szCs w:val="20"/>
    </w:rPr>
  </w:style>
  <w:style w:type="paragraph" w:styleId="35">
    <w:name w:val="Normal (Web)"/>
    <w:basedOn w:val="1"/>
    <w:link w:val="73"/>
    <w:qFormat/>
    <w:uiPriority w:val="0"/>
    <w:pPr>
      <w:widowControl/>
      <w:spacing w:before="100" w:beforeAutospacing="1" w:after="100" w:afterAutospacing="1"/>
      <w:jc w:val="left"/>
    </w:pPr>
    <w:rPr>
      <w:rFonts w:ascii="宋体" w:hAnsi="宋体"/>
      <w:kern w:val="0"/>
      <w:sz w:val="24"/>
      <w:szCs w:val="20"/>
    </w:rPr>
  </w:style>
  <w:style w:type="paragraph" w:styleId="36">
    <w:name w:val="Title"/>
    <w:basedOn w:val="1"/>
    <w:next w:val="1"/>
    <w:link w:val="74"/>
    <w:qFormat/>
    <w:uiPriority w:val="0"/>
    <w:pPr>
      <w:spacing w:before="240" w:after="60"/>
      <w:jc w:val="center"/>
      <w:outlineLvl w:val="0"/>
    </w:pPr>
    <w:rPr>
      <w:rFonts w:ascii="Calibri Light" w:hAnsi="Calibri Light" w:eastAsia="等线"/>
      <w:b/>
      <w:bCs/>
      <w:sz w:val="32"/>
      <w:szCs w:val="32"/>
    </w:rPr>
  </w:style>
  <w:style w:type="paragraph" w:styleId="37">
    <w:name w:val="annotation subject"/>
    <w:basedOn w:val="16"/>
    <w:next w:val="16"/>
    <w:link w:val="75"/>
    <w:qFormat/>
    <w:uiPriority w:val="0"/>
    <w:rPr>
      <w:b/>
      <w:kern w:val="2"/>
    </w:rPr>
  </w:style>
  <w:style w:type="paragraph" w:styleId="38">
    <w:name w:val="Body Text First Indent"/>
    <w:basedOn w:val="17"/>
    <w:link w:val="76"/>
    <w:qFormat/>
    <w:uiPriority w:val="0"/>
    <w:pPr>
      <w:widowControl w:val="0"/>
      <w:snapToGrid/>
      <w:spacing w:before="0" w:after="120" w:line="240" w:lineRule="auto"/>
      <w:ind w:right="0" w:firstLine="420" w:firstLineChars="100"/>
    </w:pPr>
    <w:rPr>
      <w:rFonts w:ascii="等线" w:hAnsi="等线" w:eastAsia="等线"/>
      <w:kern w:val="2"/>
      <w:sz w:val="21"/>
      <w:szCs w:val="22"/>
    </w:rPr>
  </w:style>
  <w:style w:type="paragraph" w:styleId="39">
    <w:name w:val="Body Text First Indent 2"/>
    <w:basedOn w:val="1"/>
    <w:next w:val="1"/>
    <w:link w:val="77"/>
    <w:qFormat/>
    <w:uiPriority w:val="0"/>
    <w:pPr>
      <w:spacing w:after="120"/>
      <w:ind w:left="420" w:leftChars="200" w:firstLine="420" w:firstLineChars="200"/>
    </w:pPr>
    <w:rPr>
      <w:rFonts w:ascii="等线" w:hAnsi="等线" w:eastAsia="等线"/>
    </w:rPr>
  </w:style>
  <w:style w:type="table" w:styleId="41">
    <w:name w:val="Table Grid"/>
    <w:basedOn w:val="4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rPr>
  </w:style>
  <w:style w:type="character" w:styleId="44">
    <w:name w:val="page number"/>
    <w:qFormat/>
    <w:uiPriority w:val="0"/>
  </w:style>
  <w:style w:type="character" w:styleId="45">
    <w:name w:val="Emphasis"/>
    <w:qFormat/>
    <w:uiPriority w:val="20"/>
    <w:rPr>
      <w:color w:val="CC0033"/>
    </w:rPr>
  </w:style>
  <w:style w:type="character" w:styleId="46">
    <w:name w:val="Hyperlink"/>
    <w:qFormat/>
    <w:uiPriority w:val="0"/>
    <w:rPr>
      <w:color w:val="136EC2"/>
      <w:u w:val="single"/>
    </w:rPr>
  </w:style>
  <w:style w:type="character" w:styleId="47">
    <w:name w:val="annotation reference"/>
    <w:qFormat/>
    <w:uiPriority w:val="0"/>
    <w:rPr>
      <w:sz w:val="21"/>
    </w:rPr>
  </w:style>
  <w:style w:type="character" w:customStyle="1" w:styleId="48">
    <w:name w:val="标题 1 字符1"/>
    <w:link w:val="3"/>
    <w:qFormat/>
    <w:uiPriority w:val="99"/>
    <w:rPr>
      <w:rFonts w:ascii="Times New Roman" w:hAnsi="Times New Roman" w:eastAsia="黑体" w:cs="Times New Roman"/>
      <w:b/>
      <w:bCs/>
      <w:color w:val="000000"/>
      <w:kern w:val="44"/>
      <w:sz w:val="30"/>
      <w:szCs w:val="30"/>
    </w:rPr>
  </w:style>
  <w:style w:type="character" w:customStyle="1" w:styleId="49">
    <w:name w:val="标题 2 字符1"/>
    <w:link w:val="4"/>
    <w:qFormat/>
    <w:uiPriority w:val="0"/>
    <w:rPr>
      <w:rFonts w:ascii="宋体" w:hAnsi="Times New Roman" w:eastAsia="宋体" w:cs="Times New Roman"/>
      <w:b/>
      <w:sz w:val="24"/>
      <w:szCs w:val="20"/>
    </w:rPr>
  </w:style>
  <w:style w:type="character" w:customStyle="1" w:styleId="50">
    <w:name w:val="标题 3 字符1"/>
    <w:link w:val="5"/>
    <w:qFormat/>
    <w:uiPriority w:val="0"/>
    <w:rPr>
      <w:rFonts w:ascii="宋体" w:hAnsi="Arial" w:eastAsia="宋体" w:cs="Times New Roman"/>
      <w:b/>
      <w:szCs w:val="20"/>
    </w:rPr>
  </w:style>
  <w:style w:type="character" w:customStyle="1" w:styleId="51">
    <w:name w:val="标题 4 字符1"/>
    <w:link w:val="6"/>
    <w:qFormat/>
    <w:uiPriority w:val="0"/>
    <w:rPr>
      <w:rFonts w:ascii="Arial" w:hAnsi="Arial" w:eastAsia="黑体" w:cs="Times New Roman"/>
      <w:b/>
      <w:sz w:val="24"/>
      <w:szCs w:val="20"/>
    </w:rPr>
  </w:style>
  <w:style w:type="character" w:customStyle="1" w:styleId="52">
    <w:name w:val="标题 5 字符1"/>
    <w:link w:val="7"/>
    <w:qFormat/>
    <w:uiPriority w:val="0"/>
    <w:rPr>
      <w:rFonts w:ascii="宋体" w:hAnsi="Arial" w:eastAsia="宋体" w:cs="Times New Roman"/>
      <w:b/>
      <w:sz w:val="24"/>
      <w:szCs w:val="20"/>
    </w:rPr>
  </w:style>
  <w:style w:type="character" w:customStyle="1" w:styleId="53">
    <w:name w:val="标题 6 字符1"/>
    <w:link w:val="8"/>
    <w:qFormat/>
    <w:uiPriority w:val="0"/>
    <w:rPr>
      <w:rFonts w:ascii="Arial" w:hAnsi="Arial" w:eastAsia="黑体" w:cs="Times New Roman"/>
      <w:b/>
      <w:sz w:val="24"/>
      <w:szCs w:val="20"/>
    </w:rPr>
  </w:style>
  <w:style w:type="character" w:customStyle="1" w:styleId="54">
    <w:name w:val="标题 7 字符1"/>
    <w:link w:val="9"/>
    <w:qFormat/>
    <w:uiPriority w:val="0"/>
    <w:rPr>
      <w:rFonts w:ascii="宋体" w:hAnsi="Arial" w:eastAsia="宋体" w:cs="Times New Roman"/>
      <w:b/>
      <w:sz w:val="24"/>
      <w:szCs w:val="20"/>
    </w:rPr>
  </w:style>
  <w:style w:type="character" w:customStyle="1" w:styleId="55">
    <w:name w:val="标题 8 字符1"/>
    <w:link w:val="10"/>
    <w:qFormat/>
    <w:uiPriority w:val="0"/>
    <w:rPr>
      <w:rFonts w:ascii="Arial" w:hAnsi="Arial" w:eastAsia="黑体" w:cs="Times New Roman"/>
      <w:sz w:val="24"/>
      <w:szCs w:val="20"/>
    </w:rPr>
  </w:style>
  <w:style w:type="character" w:customStyle="1" w:styleId="56">
    <w:name w:val="标题 9 字符1"/>
    <w:link w:val="11"/>
    <w:qFormat/>
    <w:uiPriority w:val="0"/>
    <w:rPr>
      <w:rFonts w:ascii="Arial" w:hAnsi="Arial" w:eastAsia="黑体" w:cs="Times New Roman"/>
      <w:szCs w:val="20"/>
    </w:rPr>
  </w:style>
  <w:style w:type="character" w:customStyle="1" w:styleId="57">
    <w:name w:val="注释标题 字符1"/>
    <w:link w:val="12"/>
    <w:qFormat/>
    <w:uiPriority w:val="0"/>
    <w:rPr>
      <w:rFonts w:ascii="Times New Roman" w:hAnsi="Times New Roman" w:eastAsia="宋体" w:cs="Times New Roman"/>
      <w:szCs w:val="24"/>
    </w:rPr>
  </w:style>
  <w:style w:type="character" w:customStyle="1" w:styleId="58">
    <w:name w:val="正文缩进 字符"/>
    <w:link w:val="13"/>
    <w:qFormat/>
    <w:uiPriority w:val="0"/>
    <w:rPr>
      <w:rFonts w:ascii="等线" w:hAnsi="等线" w:eastAsia="等线" w:cs="Times New Roman"/>
    </w:rPr>
  </w:style>
  <w:style w:type="character" w:customStyle="1" w:styleId="59">
    <w:name w:val="题注 字符"/>
    <w:link w:val="14"/>
    <w:qFormat/>
    <w:uiPriority w:val="35"/>
    <w:rPr>
      <w:rFonts w:ascii="Arial" w:hAnsi="Arial" w:eastAsia="黑体" w:cs="Times New Roman"/>
      <w:sz w:val="20"/>
      <w:szCs w:val="20"/>
    </w:rPr>
  </w:style>
  <w:style w:type="character" w:customStyle="1" w:styleId="60">
    <w:name w:val="文档结构图 字符1"/>
    <w:link w:val="15"/>
    <w:qFormat/>
    <w:uiPriority w:val="99"/>
    <w:rPr>
      <w:rFonts w:ascii="宋体" w:hAnsi="Times New Roman" w:eastAsia="宋体" w:cs="Times New Roman"/>
      <w:sz w:val="18"/>
      <w:szCs w:val="18"/>
    </w:rPr>
  </w:style>
  <w:style w:type="character" w:customStyle="1" w:styleId="61">
    <w:name w:val="批注文字 字符2"/>
    <w:link w:val="16"/>
    <w:qFormat/>
    <w:locked/>
    <w:uiPriority w:val="0"/>
    <w:rPr>
      <w:rFonts w:ascii="Times New Roman" w:hAnsi="Times New Roman" w:eastAsia="宋体" w:cs="Times New Roman"/>
      <w:kern w:val="0"/>
      <w:sz w:val="24"/>
      <w:szCs w:val="20"/>
    </w:rPr>
  </w:style>
  <w:style w:type="character" w:customStyle="1" w:styleId="62">
    <w:name w:val="正文文本 字符2"/>
    <w:link w:val="17"/>
    <w:qFormat/>
    <w:locked/>
    <w:uiPriority w:val="0"/>
    <w:rPr>
      <w:rFonts w:ascii="Times New Roman" w:hAnsi="Times New Roman" w:eastAsia="宋体" w:cs="Times New Roman"/>
      <w:kern w:val="0"/>
      <w:sz w:val="18"/>
      <w:szCs w:val="20"/>
    </w:rPr>
  </w:style>
  <w:style w:type="character" w:customStyle="1" w:styleId="63">
    <w:name w:val="正文文本缩进 字符2"/>
    <w:link w:val="18"/>
    <w:qFormat/>
    <w:locked/>
    <w:uiPriority w:val="0"/>
    <w:rPr>
      <w:rFonts w:ascii="Times New Roman" w:hAnsi="Times New Roman" w:eastAsia="宋体" w:cs="Times New Roman"/>
      <w:kern w:val="0"/>
      <w:sz w:val="24"/>
      <w:szCs w:val="20"/>
    </w:rPr>
  </w:style>
  <w:style w:type="character" w:customStyle="1" w:styleId="64">
    <w:name w:val="纯文本 字符1"/>
    <w:link w:val="21"/>
    <w:qFormat/>
    <w:uiPriority w:val="0"/>
    <w:rPr>
      <w:rFonts w:ascii="宋体" w:hAnsi="Courier New" w:eastAsia="等线" w:cs="Times New Roman"/>
    </w:rPr>
  </w:style>
  <w:style w:type="character" w:customStyle="1" w:styleId="65">
    <w:name w:val="日期 字符1"/>
    <w:link w:val="22"/>
    <w:qFormat/>
    <w:locked/>
    <w:uiPriority w:val="0"/>
    <w:rPr>
      <w:rFonts w:ascii="Times New Roman" w:hAnsi="Times New Roman" w:eastAsia="宋体" w:cs="Times New Roman"/>
      <w:kern w:val="0"/>
      <w:sz w:val="24"/>
      <w:szCs w:val="20"/>
    </w:rPr>
  </w:style>
  <w:style w:type="character" w:customStyle="1" w:styleId="66">
    <w:name w:val="正文文本缩进 2 字符1"/>
    <w:link w:val="23"/>
    <w:qFormat/>
    <w:uiPriority w:val="0"/>
    <w:rPr>
      <w:rFonts w:ascii="等线" w:hAnsi="等线" w:eastAsia="等线" w:cs="Times New Roman"/>
    </w:rPr>
  </w:style>
  <w:style w:type="character" w:customStyle="1" w:styleId="67">
    <w:name w:val="批注框文本 字符2"/>
    <w:link w:val="24"/>
    <w:qFormat/>
    <w:locked/>
    <w:uiPriority w:val="0"/>
    <w:rPr>
      <w:rFonts w:ascii="Times New Roman" w:hAnsi="Times New Roman" w:eastAsia="宋体" w:cs="Times New Roman"/>
      <w:kern w:val="0"/>
      <w:sz w:val="18"/>
      <w:szCs w:val="20"/>
    </w:rPr>
  </w:style>
  <w:style w:type="character" w:customStyle="1" w:styleId="68">
    <w:name w:val="页脚 字符1"/>
    <w:link w:val="25"/>
    <w:qFormat/>
    <w:locked/>
    <w:uiPriority w:val="99"/>
    <w:rPr>
      <w:rFonts w:ascii="Times New Roman" w:hAnsi="Times New Roman" w:eastAsia="宋体" w:cs="Times New Roman"/>
      <w:kern w:val="0"/>
      <w:sz w:val="18"/>
      <w:szCs w:val="20"/>
    </w:rPr>
  </w:style>
  <w:style w:type="character" w:customStyle="1" w:styleId="69">
    <w:name w:val="页眉 字符2"/>
    <w:link w:val="26"/>
    <w:qFormat/>
    <w:locked/>
    <w:uiPriority w:val="0"/>
    <w:rPr>
      <w:rFonts w:ascii="Times New Roman" w:hAnsi="Times New Roman" w:eastAsia="宋体" w:cs="Times New Roman"/>
      <w:kern w:val="0"/>
      <w:sz w:val="18"/>
      <w:szCs w:val="20"/>
    </w:rPr>
  </w:style>
  <w:style w:type="character" w:customStyle="1" w:styleId="70">
    <w:name w:val="正文文本缩进 3 字符1"/>
    <w:link w:val="30"/>
    <w:qFormat/>
    <w:uiPriority w:val="0"/>
    <w:rPr>
      <w:rFonts w:ascii="等线" w:hAnsi="等线" w:eastAsia="等线" w:cs="Times New Roman"/>
      <w:sz w:val="16"/>
    </w:rPr>
  </w:style>
  <w:style w:type="character" w:customStyle="1" w:styleId="71">
    <w:name w:val="正文文本 2 字符1"/>
    <w:link w:val="33"/>
    <w:qFormat/>
    <w:uiPriority w:val="0"/>
    <w:rPr>
      <w:rFonts w:ascii="等线" w:hAnsi="等线" w:eastAsia="等线" w:cs="Times New Roman"/>
    </w:rPr>
  </w:style>
  <w:style w:type="character" w:customStyle="1" w:styleId="72">
    <w:name w:val="HTML 预设格式 字符"/>
    <w:basedOn w:val="42"/>
    <w:link w:val="34"/>
    <w:semiHidden/>
    <w:qFormat/>
    <w:uiPriority w:val="99"/>
    <w:rPr>
      <w:rFonts w:ascii="Courier New" w:hAnsi="Courier New" w:eastAsia="宋体" w:cs="Courier New"/>
      <w:kern w:val="2"/>
    </w:rPr>
  </w:style>
  <w:style w:type="character" w:customStyle="1" w:styleId="73">
    <w:name w:val="普通(网站) 字符"/>
    <w:link w:val="35"/>
    <w:qFormat/>
    <w:locked/>
    <w:uiPriority w:val="0"/>
    <w:rPr>
      <w:rFonts w:ascii="宋体" w:hAnsi="宋体" w:eastAsia="宋体" w:cs="Times New Roman"/>
      <w:kern w:val="0"/>
      <w:sz w:val="24"/>
      <w:szCs w:val="20"/>
    </w:rPr>
  </w:style>
  <w:style w:type="character" w:customStyle="1" w:styleId="74">
    <w:name w:val="标题 字符1"/>
    <w:link w:val="36"/>
    <w:qFormat/>
    <w:uiPriority w:val="0"/>
    <w:rPr>
      <w:rFonts w:ascii="Calibri Light" w:hAnsi="Calibri Light" w:eastAsia="等线" w:cs="Times New Roman"/>
      <w:b/>
      <w:bCs/>
      <w:sz w:val="32"/>
      <w:szCs w:val="32"/>
    </w:rPr>
  </w:style>
  <w:style w:type="character" w:customStyle="1" w:styleId="75">
    <w:name w:val="批注主题 字符2"/>
    <w:link w:val="37"/>
    <w:qFormat/>
    <w:locked/>
    <w:uiPriority w:val="0"/>
    <w:rPr>
      <w:rFonts w:ascii="Times New Roman" w:hAnsi="Times New Roman" w:eastAsia="宋体" w:cs="Times New Roman"/>
      <w:b/>
      <w:sz w:val="24"/>
      <w:szCs w:val="20"/>
    </w:rPr>
  </w:style>
  <w:style w:type="character" w:customStyle="1" w:styleId="76">
    <w:name w:val="正文首行缩进 字符1"/>
    <w:link w:val="38"/>
    <w:qFormat/>
    <w:uiPriority w:val="0"/>
    <w:rPr>
      <w:rFonts w:ascii="等线" w:hAnsi="等线" w:eastAsia="等线" w:cs="Times New Roman"/>
    </w:rPr>
  </w:style>
  <w:style w:type="character" w:customStyle="1" w:styleId="77">
    <w:name w:val="正文首行缩进 2 字符1"/>
    <w:link w:val="39"/>
    <w:qFormat/>
    <w:uiPriority w:val="0"/>
    <w:rPr>
      <w:rFonts w:ascii="等线" w:hAnsi="等线" w:eastAsia="等线" w:cs="Times New Roman"/>
      <w:szCs w:val="24"/>
    </w:rPr>
  </w:style>
  <w:style w:type="character" w:customStyle="1" w:styleId="78">
    <w:name w:val="标题 1 字符"/>
    <w:basedOn w:val="42"/>
    <w:qFormat/>
    <w:uiPriority w:val="9"/>
    <w:rPr>
      <w:rFonts w:ascii="Times New Roman" w:hAnsi="Times New Roman" w:eastAsia="宋体" w:cs="Times New Roman"/>
      <w:b/>
      <w:bCs/>
      <w:kern w:val="44"/>
      <w:sz w:val="44"/>
      <w:szCs w:val="44"/>
    </w:rPr>
  </w:style>
  <w:style w:type="character" w:customStyle="1" w:styleId="79">
    <w:name w:val="标题 2 字符"/>
    <w:basedOn w:val="42"/>
    <w:semiHidden/>
    <w:qFormat/>
    <w:uiPriority w:val="9"/>
    <w:rPr>
      <w:rFonts w:asciiTheme="majorHAnsi" w:hAnsiTheme="majorHAnsi" w:eastAsiaTheme="majorEastAsia" w:cstheme="majorBidi"/>
      <w:b/>
      <w:bCs/>
      <w:sz w:val="32"/>
      <w:szCs w:val="32"/>
    </w:rPr>
  </w:style>
  <w:style w:type="character" w:customStyle="1" w:styleId="80">
    <w:name w:val="标题 3 字符"/>
    <w:basedOn w:val="42"/>
    <w:semiHidden/>
    <w:qFormat/>
    <w:uiPriority w:val="9"/>
    <w:rPr>
      <w:rFonts w:ascii="Times New Roman" w:hAnsi="Times New Roman" w:eastAsia="宋体" w:cs="Times New Roman"/>
      <w:b/>
      <w:bCs/>
      <w:sz w:val="32"/>
      <w:szCs w:val="32"/>
    </w:rPr>
  </w:style>
  <w:style w:type="character" w:customStyle="1" w:styleId="81">
    <w:name w:val="标题 4 字符"/>
    <w:basedOn w:val="42"/>
    <w:semiHidden/>
    <w:qFormat/>
    <w:uiPriority w:val="9"/>
    <w:rPr>
      <w:rFonts w:asciiTheme="majorHAnsi" w:hAnsiTheme="majorHAnsi" w:eastAsiaTheme="majorEastAsia" w:cstheme="majorBidi"/>
      <w:b/>
      <w:bCs/>
      <w:sz w:val="28"/>
      <w:szCs w:val="28"/>
    </w:rPr>
  </w:style>
  <w:style w:type="character" w:customStyle="1" w:styleId="82">
    <w:name w:val="标题 5 字符"/>
    <w:basedOn w:val="42"/>
    <w:semiHidden/>
    <w:qFormat/>
    <w:uiPriority w:val="9"/>
    <w:rPr>
      <w:rFonts w:ascii="Times New Roman" w:hAnsi="Times New Roman" w:eastAsia="宋体" w:cs="Times New Roman"/>
      <w:b/>
      <w:bCs/>
      <w:sz w:val="28"/>
      <w:szCs w:val="28"/>
    </w:rPr>
  </w:style>
  <w:style w:type="character" w:customStyle="1" w:styleId="83">
    <w:name w:val="标题 6 字符"/>
    <w:basedOn w:val="42"/>
    <w:semiHidden/>
    <w:qFormat/>
    <w:uiPriority w:val="9"/>
    <w:rPr>
      <w:rFonts w:asciiTheme="majorHAnsi" w:hAnsiTheme="majorHAnsi" w:eastAsiaTheme="majorEastAsia" w:cstheme="majorBidi"/>
      <w:b/>
      <w:bCs/>
      <w:sz w:val="24"/>
      <w:szCs w:val="24"/>
    </w:rPr>
  </w:style>
  <w:style w:type="character" w:customStyle="1" w:styleId="84">
    <w:name w:val="标题 7 字符"/>
    <w:basedOn w:val="42"/>
    <w:semiHidden/>
    <w:qFormat/>
    <w:uiPriority w:val="9"/>
    <w:rPr>
      <w:rFonts w:ascii="Times New Roman" w:hAnsi="Times New Roman" w:eastAsia="宋体" w:cs="Times New Roman"/>
      <w:b/>
      <w:bCs/>
      <w:sz w:val="24"/>
      <w:szCs w:val="24"/>
    </w:rPr>
  </w:style>
  <w:style w:type="character" w:customStyle="1" w:styleId="85">
    <w:name w:val="标题 8 字符"/>
    <w:basedOn w:val="42"/>
    <w:semiHidden/>
    <w:qFormat/>
    <w:uiPriority w:val="9"/>
    <w:rPr>
      <w:rFonts w:asciiTheme="majorHAnsi" w:hAnsiTheme="majorHAnsi" w:eastAsiaTheme="majorEastAsia" w:cstheme="majorBidi"/>
      <w:sz w:val="24"/>
      <w:szCs w:val="24"/>
    </w:rPr>
  </w:style>
  <w:style w:type="character" w:customStyle="1" w:styleId="86">
    <w:name w:val="标题 9 字符"/>
    <w:basedOn w:val="42"/>
    <w:semiHidden/>
    <w:qFormat/>
    <w:uiPriority w:val="9"/>
    <w:rPr>
      <w:rFonts w:asciiTheme="majorHAnsi" w:hAnsiTheme="majorHAnsi" w:eastAsiaTheme="majorEastAsia" w:cstheme="majorBidi"/>
      <w:szCs w:val="21"/>
    </w:rPr>
  </w:style>
  <w:style w:type="character" w:customStyle="1" w:styleId="87">
    <w:name w:val="注释标题 字符"/>
    <w:basedOn w:val="42"/>
    <w:qFormat/>
    <w:uiPriority w:val="99"/>
    <w:rPr>
      <w:rFonts w:ascii="Times New Roman" w:hAnsi="Times New Roman" w:eastAsia="宋体" w:cs="Times New Roman"/>
      <w:szCs w:val="24"/>
    </w:rPr>
  </w:style>
  <w:style w:type="character" w:customStyle="1" w:styleId="88">
    <w:name w:val="文档结构图 字符"/>
    <w:basedOn w:val="42"/>
    <w:semiHidden/>
    <w:qFormat/>
    <w:uiPriority w:val="99"/>
    <w:rPr>
      <w:rFonts w:ascii="宋体" w:hAnsi="Times New Roman" w:eastAsia="宋体" w:cs="Times New Roman"/>
      <w:sz w:val="18"/>
      <w:szCs w:val="18"/>
    </w:rPr>
  </w:style>
  <w:style w:type="character" w:customStyle="1" w:styleId="89">
    <w:name w:val="批注文字 字符"/>
    <w:basedOn w:val="42"/>
    <w:semiHidden/>
    <w:qFormat/>
    <w:uiPriority w:val="99"/>
    <w:rPr>
      <w:rFonts w:ascii="Times New Roman" w:hAnsi="Times New Roman" w:eastAsia="宋体" w:cs="Times New Roman"/>
      <w:szCs w:val="24"/>
    </w:rPr>
  </w:style>
  <w:style w:type="character" w:customStyle="1" w:styleId="90">
    <w:name w:val="正文文本 字符"/>
    <w:basedOn w:val="42"/>
    <w:semiHidden/>
    <w:qFormat/>
    <w:uiPriority w:val="99"/>
    <w:rPr>
      <w:rFonts w:ascii="Times New Roman" w:hAnsi="Times New Roman" w:eastAsia="宋体" w:cs="Times New Roman"/>
      <w:szCs w:val="24"/>
    </w:rPr>
  </w:style>
  <w:style w:type="character" w:customStyle="1" w:styleId="91">
    <w:name w:val="正文文本缩进 字符"/>
    <w:basedOn w:val="42"/>
    <w:qFormat/>
    <w:uiPriority w:val="0"/>
    <w:rPr>
      <w:rFonts w:ascii="Times New Roman" w:hAnsi="Times New Roman" w:eastAsia="宋体" w:cs="Times New Roman"/>
      <w:szCs w:val="24"/>
    </w:rPr>
  </w:style>
  <w:style w:type="character" w:customStyle="1" w:styleId="92">
    <w:name w:val="纯文本 字符"/>
    <w:basedOn w:val="42"/>
    <w:qFormat/>
    <w:uiPriority w:val="99"/>
    <w:rPr>
      <w:rFonts w:hAnsi="Courier New" w:cs="Courier New" w:asciiTheme="minorEastAsia"/>
      <w:szCs w:val="24"/>
    </w:rPr>
  </w:style>
  <w:style w:type="character" w:customStyle="1" w:styleId="93">
    <w:name w:val="日期 字符"/>
    <w:basedOn w:val="42"/>
    <w:semiHidden/>
    <w:qFormat/>
    <w:uiPriority w:val="0"/>
    <w:rPr>
      <w:rFonts w:ascii="Times New Roman" w:hAnsi="Times New Roman" w:eastAsia="宋体" w:cs="Times New Roman"/>
      <w:szCs w:val="24"/>
    </w:rPr>
  </w:style>
  <w:style w:type="character" w:customStyle="1" w:styleId="94">
    <w:name w:val="正文文本缩进 2 字符"/>
    <w:basedOn w:val="42"/>
    <w:qFormat/>
    <w:uiPriority w:val="99"/>
    <w:rPr>
      <w:rFonts w:ascii="Times New Roman" w:hAnsi="Times New Roman" w:eastAsia="宋体" w:cs="Times New Roman"/>
      <w:szCs w:val="24"/>
    </w:rPr>
  </w:style>
  <w:style w:type="character" w:customStyle="1" w:styleId="95">
    <w:name w:val="批注框文本 字符"/>
    <w:basedOn w:val="42"/>
    <w:semiHidden/>
    <w:qFormat/>
    <w:uiPriority w:val="99"/>
    <w:rPr>
      <w:rFonts w:ascii="Times New Roman" w:hAnsi="Times New Roman" w:eastAsia="宋体" w:cs="Times New Roman"/>
      <w:sz w:val="18"/>
      <w:szCs w:val="18"/>
    </w:rPr>
  </w:style>
  <w:style w:type="character" w:customStyle="1" w:styleId="96">
    <w:name w:val="页脚 字符"/>
    <w:basedOn w:val="42"/>
    <w:qFormat/>
    <w:uiPriority w:val="99"/>
    <w:rPr>
      <w:rFonts w:ascii="Times New Roman" w:hAnsi="Times New Roman" w:eastAsia="宋体" w:cs="Times New Roman"/>
      <w:sz w:val="18"/>
      <w:szCs w:val="18"/>
    </w:rPr>
  </w:style>
  <w:style w:type="character" w:customStyle="1" w:styleId="97">
    <w:name w:val="页眉 字符"/>
    <w:basedOn w:val="42"/>
    <w:semiHidden/>
    <w:qFormat/>
    <w:uiPriority w:val="99"/>
    <w:rPr>
      <w:rFonts w:ascii="Times New Roman" w:hAnsi="Times New Roman" w:eastAsia="宋体" w:cs="Times New Roman"/>
      <w:sz w:val="18"/>
      <w:szCs w:val="18"/>
    </w:rPr>
  </w:style>
  <w:style w:type="character" w:customStyle="1" w:styleId="98">
    <w:name w:val="正文文本缩进 3 字符"/>
    <w:basedOn w:val="42"/>
    <w:qFormat/>
    <w:uiPriority w:val="99"/>
    <w:rPr>
      <w:rFonts w:ascii="Times New Roman" w:hAnsi="Times New Roman" w:eastAsia="宋体" w:cs="Times New Roman"/>
      <w:sz w:val="16"/>
      <w:szCs w:val="16"/>
    </w:rPr>
  </w:style>
  <w:style w:type="character" w:customStyle="1" w:styleId="99">
    <w:name w:val="正文文本 2 字符"/>
    <w:basedOn w:val="42"/>
    <w:qFormat/>
    <w:uiPriority w:val="99"/>
    <w:rPr>
      <w:rFonts w:ascii="Times New Roman" w:hAnsi="Times New Roman" w:eastAsia="宋体" w:cs="Times New Roman"/>
      <w:szCs w:val="24"/>
    </w:rPr>
  </w:style>
  <w:style w:type="character" w:customStyle="1" w:styleId="100">
    <w:name w:val="标题 字符"/>
    <w:basedOn w:val="42"/>
    <w:qFormat/>
    <w:uiPriority w:val="10"/>
    <w:rPr>
      <w:rFonts w:asciiTheme="majorHAnsi" w:hAnsiTheme="majorHAnsi" w:eastAsiaTheme="majorEastAsia" w:cstheme="majorBidi"/>
      <w:b/>
      <w:bCs/>
      <w:sz w:val="32"/>
      <w:szCs w:val="32"/>
    </w:rPr>
  </w:style>
  <w:style w:type="character" w:customStyle="1" w:styleId="101">
    <w:name w:val="批注主题 字符"/>
    <w:basedOn w:val="89"/>
    <w:semiHidden/>
    <w:qFormat/>
    <w:uiPriority w:val="99"/>
    <w:rPr>
      <w:rFonts w:ascii="Times New Roman" w:hAnsi="Times New Roman" w:eastAsia="宋体" w:cs="Times New Roman"/>
      <w:b/>
      <w:bCs/>
      <w:szCs w:val="24"/>
    </w:rPr>
  </w:style>
  <w:style w:type="character" w:customStyle="1" w:styleId="102">
    <w:name w:val="正文首行缩进 字符"/>
    <w:basedOn w:val="90"/>
    <w:qFormat/>
    <w:uiPriority w:val="99"/>
    <w:rPr>
      <w:rFonts w:ascii="Times New Roman" w:hAnsi="Times New Roman" w:eastAsia="宋体" w:cs="Times New Roman"/>
      <w:szCs w:val="24"/>
    </w:rPr>
  </w:style>
  <w:style w:type="character" w:customStyle="1" w:styleId="103">
    <w:name w:val="正文首行缩进 2 字符"/>
    <w:basedOn w:val="91"/>
    <w:qFormat/>
    <w:uiPriority w:val="99"/>
    <w:rPr>
      <w:rFonts w:ascii="Times New Roman" w:hAnsi="Times New Roman" w:eastAsia="宋体" w:cs="Times New Roman"/>
      <w:szCs w:val="24"/>
    </w:rPr>
  </w:style>
  <w:style w:type="character" w:customStyle="1" w:styleId="104">
    <w:name w:val="正文文本 字符1"/>
    <w:qFormat/>
    <w:uiPriority w:val="0"/>
    <w:rPr>
      <w:rFonts w:ascii="Times New Roman" w:hAnsi="Times New Roman" w:eastAsia="宋体"/>
      <w:sz w:val="24"/>
    </w:rPr>
  </w:style>
  <w:style w:type="character" w:customStyle="1" w:styleId="105">
    <w:name w:val="表格 Char"/>
    <w:link w:val="106"/>
    <w:qFormat/>
    <w:locked/>
    <w:uiPriority w:val="0"/>
    <w:rPr>
      <w:rFonts w:ascii="宋体"/>
    </w:rPr>
  </w:style>
  <w:style w:type="paragraph" w:customStyle="1" w:styleId="106">
    <w:name w:val="表格"/>
    <w:basedOn w:val="1"/>
    <w:next w:val="1"/>
    <w:link w:val="105"/>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107">
    <w:name w:val="批注文字 字符1"/>
    <w:qFormat/>
    <w:uiPriority w:val="0"/>
    <w:rPr>
      <w:rFonts w:ascii="Times New Roman" w:hAnsi="Times New Roman" w:eastAsia="宋体"/>
      <w:sz w:val="24"/>
    </w:rPr>
  </w:style>
  <w:style w:type="paragraph" w:customStyle="1" w:styleId="10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110">
    <w:name w:val="段落 Char Char Char"/>
    <w:link w:val="111"/>
    <w:qFormat/>
    <w:uiPriority w:val="0"/>
    <w:rPr>
      <w:sz w:val="24"/>
    </w:rPr>
  </w:style>
  <w:style w:type="paragraph" w:customStyle="1" w:styleId="111">
    <w:name w:val="段落 Char"/>
    <w:basedOn w:val="1"/>
    <w:link w:val="110"/>
    <w:qFormat/>
    <w:uiPriority w:val="0"/>
    <w:pPr>
      <w:topLinePunct/>
      <w:snapToGrid w:val="0"/>
      <w:spacing w:line="360" w:lineRule="auto"/>
      <w:ind w:firstLine="200" w:firstLineChars="200"/>
    </w:pPr>
    <w:rPr>
      <w:rFonts w:asciiTheme="minorHAnsi" w:hAnsiTheme="minorHAnsi" w:eastAsiaTheme="minorEastAsia" w:cstheme="minorBidi"/>
      <w:sz w:val="24"/>
      <w:szCs w:val="22"/>
    </w:rPr>
  </w:style>
  <w:style w:type="table" w:customStyle="1" w:styleId="112">
    <w:name w:val="网格型1"/>
    <w:basedOn w:val="4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3">
    <w:name w:val="正文缩进 Char2"/>
    <w:qFormat/>
    <w:uiPriority w:val="0"/>
    <w:rPr>
      <w:rFonts w:eastAsia="宋体"/>
      <w:kern w:val="2"/>
      <w:sz w:val="21"/>
      <w:lang w:val="en-US" w:eastAsia="zh-CN"/>
    </w:rPr>
  </w:style>
  <w:style w:type="character" w:customStyle="1" w:styleId="114">
    <w:name w:val="我的样式4正文 Char Char Char"/>
    <w:qFormat/>
    <w:uiPriority w:val="0"/>
    <w:rPr>
      <w:rFonts w:ascii="宋体" w:hAnsi="宋体" w:eastAsia="宋体"/>
      <w:kern w:val="2"/>
      <w:sz w:val="24"/>
      <w:lang w:val="en-US" w:eastAsia="zh-CN"/>
    </w:rPr>
  </w:style>
  <w:style w:type="character" w:customStyle="1" w:styleId="115">
    <w:name w:val="纯文本 Char1"/>
    <w:qFormat/>
    <w:uiPriority w:val="0"/>
    <w:rPr>
      <w:rFonts w:ascii="宋体" w:hAnsi="Courier New" w:eastAsia="宋体"/>
      <w:kern w:val="2"/>
      <w:sz w:val="21"/>
      <w:lang w:val="en-US" w:eastAsia="zh-CN"/>
    </w:rPr>
  </w:style>
  <w:style w:type="character" w:customStyle="1" w:styleId="116">
    <w:name w:val="批注框文本 字符1"/>
    <w:qFormat/>
    <w:uiPriority w:val="0"/>
    <w:rPr>
      <w:rFonts w:ascii="Times New Roman" w:hAnsi="Times New Roman" w:eastAsia="宋体"/>
      <w:sz w:val="18"/>
    </w:rPr>
  </w:style>
  <w:style w:type="character" w:customStyle="1" w:styleId="117">
    <w:name w:val="标题 Char1"/>
    <w:qFormat/>
    <w:uiPriority w:val="10"/>
    <w:rPr>
      <w:rFonts w:ascii="Cambria" w:hAnsi="Cambria" w:cs="Times New Roman"/>
      <w:b/>
      <w:bCs/>
      <w:kern w:val="2"/>
      <w:sz w:val="32"/>
      <w:szCs w:val="32"/>
    </w:rPr>
  </w:style>
  <w:style w:type="character" w:customStyle="1" w:styleId="118">
    <w:name w:val="标题 3 Char Char Char"/>
    <w:qFormat/>
    <w:uiPriority w:val="0"/>
    <w:rPr>
      <w:rFonts w:eastAsia="幼圆"/>
      <w:b/>
      <w:kern w:val="2"/>
      <w:sz w:val="28"/>
      <w:lang w:val="en-US" w:eastAsia="zh-CN"/>
    </w:rPr>
  </w:style>
  <w:style w:type="character" w:customStyle="1" w:styleId="119">
    <w:name w:val="不明显强调1"/>
    <w:qFormat/>
    <w:uiPriority w:val="19"/>
    <w:rPr>
      <w:i/>
      <w:iCs/>
      <w:color w:val="404040"/>
    </w:rPr>
  </w:style>
  <w:style w:type="character" w:customStyle="1" w:styleId="120">
    <w:name w:val="环评正文 Char"/>
    <w:link w:val="121"/>
    <w:qFormat/>
    <w:uiPriority w:val="0"/>
    <w:rPr>
      <w:bCs/>
      <w:sz w:val="24"/>
      <w:szCs w:val="24"/>
    </w:rPr>
  </w:style>
  <w:style w:type="paragraph" w:customStyle="1" w:styleId="121">
    <w:name w:val="环评正文"/>
    <w:basedOn w:val="1"/>
    <w:link w:val="120"/>
    <w:qFormat/>
    <w:uiPriority w:val="0"/>
    <w:pPr>
      <w:framePr w:wrap="around" w:vAnchor="text" w:hAnchor="text" w:y="1"/>
      <w:spacing w:line="360" w:lineRule="auto"/>
      <w:ind w:firstLine="200" w:firstLineChars="200"/>
    </w:pPr>
    <w:rPr>
      <w:rFonts w:asciiTheme="minorHAnsi" w:hAnsiTheme="minorHAnsi" w:eastAsiaTheme="minorEastAsia" w:cstheme="minorBidi"/>
      <w:bCs/>
      <w:sz w:val="24"/>
    </w:rPr>
  </w:style>
  <w:style w:type="character" w:customStyle="1" w:styleId="122">
    <w:name w:val="我的样式4正文 Char Char"/>
    <w:link w:val="123"/>
    <w:qFormat/>
    <w:uiPriority w:val="0"/>
    <w:rPr>
      <w:rFonts w:ascii="宋体" w:hAnsi="宋体"/>
      <w:sz w:val="24"/>
    </w:rPr>
  </w:style>
  <w:style w:type="paragraph" w:customStyle="1" w:styleId="123">
    <w:name w:val="我的样式4正文"/>
    <w:basedOn w:val="1"/>
    <w:link w:val="122"/>
    <w:qFormat/>
    <w:uiPriority w:val="0"/>
    <w:pPr>
      <w:spacing w:line="520" w:lineRule="exact"/>
      <w:ind w:firstLine="492" w:firstLineChars="205"/>
    </w:pPr>
    <w:rPr>
      <w:rFonts w:ascii="宋体" w:hAnsi="宋体" w:eastAsiaTheme="minorEastAsia" w:cstheme="minorBidi"/>
      <w:sz w:val="24"/>
      <w:szCs w:val="22"/>
    </w:rPr>
  </w:style>
  <w:style w:type="character" w:customStyle="1" w:styleId="124">
    <w:name w:val="表格标题（环评报告） Char"/>
    <w:link w:val="125"/>
    <w:qFormat/>
    <w:uiPriority w:val="0"/>
    <w:rPr>
      <w:b/>
      <w:spacing w:val="6"/>
      <w:sz w:val="24"/>
    </w:rPr>
  </w:style>
  <w:style w:type="paragraph" w:customStyle="1" w:styleId="125">
    <w:name w:val="表格标题（环评报告）"/>
    <w:basedOn w:val="1"/>
    <w:next w:val="126"/>
    <w:link w:val="124"/>
    <w:qFormat/>
    <w:uiPriority w:val="0"/>
    <w:pPr>
      <w:widowControl/>
      <w:spacing w:beforeLines="50"/>
    </w:pPr>
    <w:rPr>
      <w:rFonts w:asciiTheme="minorHAnsi" w:hAnsiTheme="minorHAnsi" w:eastAsiaTheme="minorEastAsia" w:cstheme="minorBidi"/>
      <w:b/>
      <w:spacing w:val="6"/>
      <w:sz w:val="24"/>
      <w:szCs w:val="22"/>
    </w:rPr>
  </w:style>
  <w:style w:type="paragraph" w:customStyle="1" w:styleId="126">
    <w:name w:val="表格（环评报告）"/>
    <w:basedOn w:val="1"/>
    <w:next w:val="1"/>
    <w:qFormat/>
    <w:uiPriority w:val="0"/>
    <w:pPr>
      <w:widowControl/>
    </w:pPr>
    <w:rPr>
      <w:szCs w:val="20"/>
    </w:rPr>
  </w:style>
  <w:style w:type="character" w:customStyle="1" w:styleId="127">
    <w:name w:val="tcss01"/>
    <w:qFormat/>
    <w:uiPriority w:val="0"/>
  </w:style>
  <w:style w:type="character" w:customStyle="1" w:styleId="128">
    <w:name w:val="正文(首行缩进) Char"/>
    <w:link w:val="129"/>
    <w:qFormat/>
    <w:uiPriority w:val="0"/>
    <w:rPr>
      <w:rFonts w:ascii="宋体" w:hAnsi="宋体"/>
      <w:sz w:val="24"/>
    </w:rPr>
  </w:style>
  <w:style w:type="paragraph" w:customStyle="1" w:styleId="129">
    <w:name w:val="正文(首行缩进)"/>
    <w:basedOn w:val="1"/>
    <w:link w:val="128"/>
    <w:qFormat/>
    <w:uiPriority w:val="0"/>
    <w:pPr>
      <w:spacing w:line="360" w:lineRule="auto"/>
      <w:ind w:firstLine="510"/>
    </w:pPr>
    <w:rPr>
      <w:rFonts w:ascii="宋体" w:hAnsi="宋体" w:eastAsiaTheme="minorEastAsia" w:cstheme="minorBidi"/>
      <w:sz w:val="24"/>
      <w:szCs w:val="22"/>
    </w:rPr>
  </w:style>
  <w:style w:type="character" w:customStyle="1" w:styleId="130">
    <w:name w:val="文本正文 Char"/>
    <w:link w:val="131"/>
    <w:qFormat/>
    <w:uiPriority w:val="0"/>
    <w:rPr>
      <w:rFonts w:ascii="Calibri" w:hAnsi="Calibri"/>
      <w:color w:val="000000"/>
      <w:sz w:val="24"/>
      <w:lang w:eastAsia="en-US"/>
    </w:rPr>
  </w:style>
  <w:style w:type="paragraph" w:customStyle="1" w:styleId="131">
    <w:name w:val="文本正文"/>
    <w:basedOn w:val="1"/>
    <w:link w:val="130"/>
    <w:qFormat/>
    <w:uiPriority w:val="0"/>
    <w:pPr>
      <w:widowControl/>
      <w:spacing w:after="200" w:line="400" w:lineRule="exact"/>
      <w:ind w:firstLine="480"/>
    </w:pPr>
    <w:rPr>
      <w:rFonts w:ascii="Calibri" w:hAnsi="Calibri" w:eastAsiaTheme="minorEastAsia" w:cstheme="minorBidi"/>
      <w:color w:val="000000"/>
      <w:sz w:val="24"/>
      <w:szCs w:val="22"/>
      <w:lang w:eastAsia="en-US"/>
    </w:rPr>
  </w:style>
  <w:style w:type="character" w:customStyle="1" w:styleId="132">
    <w:name w:val="正文一 Char"/>
    <w:link w:val="133"/>
    <w:qFormat/>
    <w:uiPriority w:val="0"/>
    <w:rPr>
      <w:sz w:val="28"/>
      <w:szCs w:val="28"/>
    </w:rPr>
  </w:style>
  <w:style w:type="paragraph" w:customStyle="1" w:styleId="133">
    <w:name w:val="正文一"/>
    <w:basedOn w:val="134"/>
    <w:link w:val="132"/>
    <w:qFormat/>
    <w:uiPriority w:val="0"/>
    <w:pPr>
      <w:spacing w:line="600" w:lineRule="exact"/>
      <w:ind w:firstLine="200"/>
    </w:pPr>
    <w:rPr>
      <w:rFonts w:asciiTheme="minorHAnsi" w:hAnsiTheme="minorHAnsi" w:eastAsiaTheme="minorEastAsia" w:cstheme="minorBidi"/>
      <w:sz w:val="28"/>
      <w:szCs w:val="28"/>
    </w:rPr>
  </w:style>
  <w:style w:type="paragraph" w:styleId="134">
    <w:name w:val="List Paragraph"/>
    <w:basedOn w:val="1"/>
    <w:qFormat/>
    <w:uiPriority w:val="34"/>
    <w:pPr>
      <w:ind w:firstLine="420" w:firstLineChars="200"/>
    </w:pPr>
    <w:rPr>
      <w:szCs w:val="20"/>
    </w:rPr>
  </w:style>
  <w:style w:type="character" w:customStyle="1" w:styleId="135">
    <w:name w:val="正文文本缩进 Char1"/>
    <w:qFormat/>
    <w:uiPriority w:val="0"/>
    <w:rPr>
      <w:rFonts w:ascii="Times New Roman" w:hAnsi="Times New Roman" w:eastAsia="宋体"/>
    </w:rPr>
  </w:style>
  <w:style w:type="character" w:customStyle="1" w:styleId="136">
    <w:name w:val="正文文本 2 Char1"/>
    <w:qFormat/>
    <w:uiPriority w:val="0"/>
    <w:rPr>
      <w:rFonts w:ascii="Times New Roman" w:hAnsi="Times New Roman" w:eastAsia="宋体"/>
    </w:rPr>
  </w:style>
  <w:style w:type="character" w:customStyle="1" w:styleId="137">
    <w:name w:val="ff21"/>
    <w:qFormat/>
    <w:uiPriority w:val="0"/>
    <w:rPr>
      <w:rFonts w:hint="eastAsia" w:ascii="宋体" w:hAnsi="宋体" w:eastAsia="宋体"/>
      <w:color w:val="000000"/>
      <w:sz w:val="21"/>
      <w:szCs w:val="21"/>
      <w:u w:val="none"/>
    </w:rPr>
  </w:style>
  <w:style w:type="character" w:customStyle="1" w:styleId="138">
    <w:name w:val="表格标题标题 Char Char"/>
    <w:link w:val="139"/>
    <w:qFormat/>
    <w:uiPriority w:val="0"/>
    <w:rPr>
      <w:rFonts w:eastAsia="黑体" w:cs="宋体"/>
      <w:kern w:val="18"/>
      <w:sz w:val="24"/>
    </w:rPr>
  </w:style>
  <w:style w:type="paragraph" w:customStyle="1" w:styleId="139">
    <w:name w:val="表格标题标题"/>
    <w:basedOn w:val="1"/>
    <w:link w:val="138"/>
    <w:qFormat/>
    <w:uiPriority w:val="0"/>
    <w:pPr>
      <w:adjustRightInd w:val="0"/>
      <w:snapToGrid w:val="0"/>
      <w:jc w:val="center"/>
    </w:pPr>
    <w:rPr>
      <w:rFonts w:eastAsia="黑体" w:cs="宋体" w:asciiTheme="minorHAnsi" w:hAnsiTheme="minorHAnsi"/>
      <w:kern w:val="18"/>
      <w:sz w:val="24"/>
      <w:szCs w:val="22"/>
    </w:rPr>
  </w:style>
  <w:style w:type="character" w:customStyle="1" w:styleId="140">
    <w:name w:val="表头 Char1"/>
    <w:link w:val="141"/>
    <w:qFormat/>
    <w:uiPriority w:val="0"/>
    <w:rPr>
      <w:rFonts w:ascii="宋体"/>
      <w:spacing w:val="4"/>
      <w:sz w:val="24"/>
      <w:szCs w:val="24"/>
    </w:rPr>
  </w:style>
  <w:style w:type="paragraph" w:customStyle="1" w:styleId="141">
    <w:name w:val="表头"/>
    <w:basedOn w:val="1"/>
    <w:link w:val="140"/>
    <w:qFormat/>
    <w:uiPriority w:val="0"/>
    <w:pPr>
      <w:jc w:val="center"/>
    </w:pPr>
    <w:rPr>
      <w:rFonts w:ascii="宋体" w:hAnsiTheme="minorHAnsi" w:eastAsiaTheme="minorEastAsia" w:cstheme="minorBidi"/>
      <w:spacing w:val="4"/>
      <w:sz w:val="24"/>
    </w:rPr>
  </w:style>
  <w:style w:type="character" w:customStyle="1" w:styleId="142">
    <w:name w:val="fontstyle01"/>
    <w:qFormat/>
    <w:uiPriority w:val="0"/>
    <w:rPr>
      <w:rFonts w:hint="default" w:ascii="TimesNewRomanPSMT" w:hAnsi="TimesNewRomanPSMT"/>
      <w:color w:val="000000"/>
      <w:sz w:val="24"/>
      <w:szCs w:val="24"/>
    </w:rPr>
  </w:style>
  <w:style w:type="character" w:customStyle="1" w:styleId="143">
    <w:name w:val="正文首行缩进 Char1"/>
    <w:qFormat/>
    <w:uiPriority w:val="0"/>
    <w:rPr>
      <w:rFonts w:ascii="Times New Roman" w:hAnsi="Times New Roman" w:eastAsia="宋体"/>
    </w:rPr>
  </w:style>
  <w:style w:type="character" w:customStyle="1" w:styleId="144">
    <w:name w:val="apple-converted-space"/>
    <w:qFormat/>
    <w:uiPriority w:val="0"/>
  </w:style>
  <w:style w:type="character" w:customStyle="1" w:styleId="145">
    <w:name w:val="正文文本 Char"/>
    <w:qFormat/>
    <w:uiPriority w:val="0"/>
    <w:rPr>
      <w:kern w:val="2"/>
      <w:sz w:val="21"/>
    </w:rPr>
  </w:style>
  <w:style w:type="character" w:customStyle="1" w:styleId="146">
    <w:name w:val="正文文本缩进 字符1"/>
    <w:qFormat/>
    <w:uiPriority w:val="0"/>
    <w:rPr>
      <w:sz w:val="24"/>
    </w:rPr>
  </w:style>
  <w:style w:type="character" w:customStyle="1" w:styleId="147">
    <w:name w:val="正文文本缩进 3 Char1"/>
    <w:qFormat/>
    <w:uiPriority w:val="0"/>
    <w:rPr>
      <w:rFonts w:ascii="Times New Roman" w:hAnsi="Times New Roman" w:eastAsia="宋体"/>
      <w:sz w:val="16"/>
    </w:rPr>
  </w:style>
  <w:style w:type="character" w:customStyle="1" w:styleId="148">
    <w:name w:val="纯文本 Char2"/>
    <w:qFormat/>
    <w:uiPriority w:val="0"/>
    <w:rPr>
      <w:rFonts w:ascii="宋体" w:hAnsi="Courier New" w:eastAsia="宋体"/>
    </w:rPr>
  </w:style>
  <w:style w:type="character" w:customStyle="1" w:styleId="149">
    <w:name w:val="日期 Char1"/>
    <w:qFormat/>
    <w:uiPriority w:val="0"/>
    <w:rPr>
      <w:rFonts w:ascii="Times New Roman" w:hAnsi="Times New Roman" w:eastAsia="宋体"/>
    </w:rPr>
  </w:style>
  <w:style w:type="character" w:customStyle="1" w:styleId="150">
    <w:name w:val="正文1 Char"/>
    <w:link w:val="151"/>
    <w:qFormat/>
    <w:uiPriority w:val="0"/>
    <w:rPr>
      <w:rFonts w:ascii="宋体" w:hAnsi="宋体"/>
      <w:sz w:val="24"/>
    </w:rPr>
  </w:style>
  <w:style w:type="paragraph" w:customStyle="1" w:styleId="151">
    <w:name w:val="正文1"/>
    <w:basedOn w:val="1"/>
    <w:link w:val="150"/>
    <w:qFormat/>
    <w:uiPriority w:val="0"/>
    <w:pPr>
      <w:spacing w:line="520" w:lineRule="exact"/>
      <w:ind w:firstLine="480" w:firstLineChars="200"/>
    </w:pPr>
    <w:rPr>
      <w:rFonts w:ascii="宋体" w:hAnsi="宋体" w:eastAsiaTheme="minorEastAsia" w:cstheme="minorBidi"/>
      <w:sz w:val="24"/>
      <w:szCs w:val="22"/>
    </w:rPr>
  </w:style>
  <w:style w:type="character" w:customStyle="1" w:styleId="152">
    <w:name w:val="批注主题 字符1"/>
    <w:qFormat/>
    <w:uiPriority w:val="0"/>
    <w:rPr>
      <w:rFonts w:ascii="Times New Roman" w:hAnsi="Times New Roman" w:eastAsia="宋体"/>
      <w:b/>
    </w:rPr>
  </w:style>
  <w:style w:type="character" w:customStyle="1" w:styleId="153">
    <w:name w:val="页眉 字符1"/>
    <w:qFormat/>
    <w:uiPriority w:val="0"/>
    <w:rPr>
      <w:sz w:val="18"/>
    </w:rPr>
  </w:style>
  <w:style w:type="character" w:customStyle="1" w:styleId="154">
    <w:name w:val="hei141"/>
    <w:qFormat/>
    <w:uiPriority w:val="0"/>
    <w:rPr>
      <w:color w:val="000000"/>
      <w:sz w:val="21"/>
    </w:rPr>
  </w:style>
  <w:style w:type="character" w:customStyle="1" w:styleId="155">
    <w:name w:val="aa正文 Char"/>
    <w:qFormat/>
    <w:uiPriority w:val="0"/>
    <w:rPr>
      <w:rFonts w:ascii="宋体" w:hAnsi="宋体"/>
      <w:color w:val="000000"/>
      <w:kern w:val="2"/>
      <w:sz w:val="24"/>
    </w:rPr>
  </w:style>
  <w:style w:type="character" w:customStyle="1" w:styleId="156">
    <w:name w:val="正文缩进 Char1"/>
    <w:qFormat/>
    <w:uiPriority w:val="0"/>
    <w:rPr>
      <w:rFonts w:ascii="Times New Roman" w:hAnsi="Times New Roman"/>
      <w:kern w:val="2"/>
      <w:sz w:val="28"/>
    </w:rPr>
  </w:style>
  <w:style w:type="character" w:customStyle="1" w:styleId="157">
    <w:name w:val="aa正文 Char Char"/>
    <w:link w:val="158"/>
    <w:qFormat/>
    <w:uiPriority w:val="0"/>
    <w:rPr>
      <w:sz w:val="24"/>
      <w:szCs w:val="24"/>
    </w:rPr>
  </w:style>
  <w:style w:type="paragraph" w:customStyle="1" w:styleId="158">
    <w:name w:val="aa正文"/>
    <w:basedOn w:val="1"/>
    <w:link w:val="157"/>
    <w:qFormat/>
    <w:uiPriority w:val="0"/>
    <w:pPr>
      <w:spacing w:line="360" w:lineRule="auto"/>
      <w:ind w:firstLine="200" w:firstLineChars="200"/>
    </w:pPr>
    <w:rPr>
      <w:rFonts w:asciiTheme="minorHAnsi" w:hAnsiTheme="minorHAnsi" w:eastAsiaTheme="minorEastAsia" w:cstheme="minorBidi"/>
      <w:sz w:val="24"/>
    </w:rPr>
  </w:style>
  <w:style w:type="character" w:customStyle="1" w:styleId="159">
    <w:name w:val="text_edit editable-title"/>
    <w:qFormat/>
    <w:uiPriority w:val="0"/>
  </w:style>
  <w:style w:type="character" w:customStyle="1" w:styleId="160">
    <w:name w:val="ltitle1"/>
    <w:qFormat/>
    <w:uiPriority w:val="0"/>
    <w:rPr>
      <w:rFonts w:hint="default" w:ascii="Times New Roman" w:hAnsi="Times New Roman"/>
      <w:b/>
      <w:color w:val="009900"/>
      <w:sz w:val="24"/>
      <w:u w:val="none"/>
    </w:rPr>
  </w:style>
  <w:style w:type="character" w:customStyle="1" w:styleId="161">
    <w:name w:val="fontstyle11"/>
    <w:qFormat/>
    <w:uiPriority w:val="0"/>
    <w:rPr>
      <w:rFonts w:hint="eastAsia" w:ascii="宋体" w:hAnsi="宋体" w:eastAsia="宋体"/>
      <w:color w:val="000000"/>
      <w:sz w:val="24"/>
      <w:szCs w:val="24"/>
    </w:rPr>
  </w:style>
  <w:style w:type="character" w:customStyle="1" w:styleId="162">
    <w:name w:val="fonts_14px1"/>
    <w:qFormat/>
    <w:uiPriority w:val="0"/>
    <w:rPr>
      <w:color w:val="000000"/>
      <w:sz w:val="21"/>
    </w:rPr>
  </w:style>
  <w:style w:type="character" w:customStyle="1" w:styleId="163">
    <w:name w:val="表格内容 Char Char"/>
    <w:link w:val="164"/>
    <w:qFormat/>
    <w:uiPriority w:val="0"/>
    <w:rPr>
      <w:spacing w:val="-18"/>
      <w:w w:val="90"/>
    </w:rPr>
  </w:style>
  <w:style w:type="paragraph" w:customStyle="1" w:styleId="164">
    <w:name w:val="表格内容"/>
    <w:basedOn w:val="1"/>
    <w:link w:val="163"/>
    <w:qFormat/>
    <w:uiPriority w:val="0"/>
    <w:rPr>
      <w:rFonts w:asciiTheme="minorHAnsi" w:hAnsiTheme="minorHAnsi" w:eastAsiaTheme="minorEastAsia" w:cstheme="minorBidi"/>
      <w:spacing w:val="-18"/>
      <w:w w:val="90"/>
      <w:szCs w:val="22"/>
    </w:rPr>
  </w:style>
  <w:style w:type="character" w:customStyle="1" w:styleId="165">
    <w:name w:val="表格内容 Char"/>
    <w:qFormat/>
    <w:uiPriority w:val="0"/>
    <w:rPr>
      <w:rFonts w:eastAsia="仿宋_GB2312"/>
      <w:kern w:val="2"/>
      <w:sz w:val="18"/>
      <w:szCs w:val="18"/>
    </w:rPr>
  </w:style>
  <w:style w:type="character" w:customStyle="1" w:styleId="166">
    <w:name w:val="我的样式4正文 Char"/>
    <w:qFormat/>
    <w:uiPriority w:val="0"/>
    <w:rPr>
      <w:rFonts w:ascii="宋体" w:hAnsi="宋体" w:eastAsia="宋体"/>
      <w:kern w:val="2"/>
      <w:sz w:val="24"/>
      <w:lang w:val="en-US" w:eastAsia="zh-CN"/>
    </w:rPr>
  </w:style>
  <w:style w:type="character" w:customStyle="1" w:styleId="167">
    <w:name w:val="正文文本缩进 2 Char1"/>
    <w:qFormat/>
    <w:uiPriority w:val="0"/>
    <w:rPr>
      <w:rFonts w:ascii="Times New Roman" w:hAnsi="Times New Roman" w:eastAsia="宋体"/>
    </w:rPr>
  </w:style>
  <w:style w:type="character" w:customStyle="1" w:styleId="168">
    <w:name w:val="表格 Char Char"/>
    <w:qFormat/>
    <w:uiPriority w:val="0"/>
    <w:rPr>
      <w:rFonts w:ascii="Times New Roman" w:hAnsi="Times New Roman" w:eastAsia="宋体"/>
    </w:rPr>
  </w:style>
  <w:style w:type="character" w:customStyle="1" w:styleId="169">
    <w:name w:val="copyright1"/>
    <w:qFormat/>
    <w:uiPriority w:val="0"/>
    <w:rPr>
      <w:rFonts w:hint="default" w:ascii="楷体_GB2312" w:hAnsi="楷体_GB2312"/>
      <w:color w:val="000000"/>
    </w:rPr>
  </w:style>
  <w:style w:type="character" w:customStyle="1" w:styleId="170">
    <w:name w:val="【正文】 Char"/>
    <w:link w:val="171"/>
    <w:qFormat/>
    <w:uiPriority w:val="0"/>
    <w:rPr>
      <w:sz w:val="24"/>
    </w:rPr>
  </w:style>
  <w:style w:type="paragraph" w:customStyle="1" w:styleId="171">
    <w:name w:val="【正文】"/>
    <w:basedOn w:val="1"/>
    <w:link w:val="170"/>
    <w:qFormat/>
    <w:uiPriority w:val="0"/>
    <w:pPr>
      <w:adjustRightInd w:val="0"/>
      <w:snapToGrid w:val="0"/>
      <w:spacing w:line="360" w:lineRule="auto"/>
      <w:ind w:firstLine="200" w:firstLineChars="200"/>
      <w:jc w:val="left"/>
    </w:pPr>
    <w:rPr>
      <w:rFonts w:asciiTheme="minorHAnsi" w:hAnsiTheme="minorHAnsi" w:eastAsiaTheme="minorEastAsia" w:cstheme="minorBidi"/>
      <w:sz w:val="24"/>
      <w:szCs w:val="22"/>
    </w:rPr>
  </w:style>
  <w:style w:type="character" w:customStyle="1" w:styleId="172">
    <w:name w:val="text1"/>
    <w:qFormat/>
    <w:uiPriority w:val="0"/>
    <w:rPr>
      <w:rFonts w:hint="default"/>
      <w:color w:val="6C6C6C"/>
      <w:sz w:val="18"/>
      <w:szCs w:val="18"/>
    </w:rPr>
  </w:style>
  <w:style w:type="character" w:customStyle="1" w:styleId="173">
    <w:name w:val="样式 文本正文 + 宋体 四号 Char"/>
    <w:link w:val="174"/>
    <w:qFormat/>
    <w:uiPriority w:val="0"/>
    <w:rPr>
      <w:rFonts w:ascii="宋体" w:hAnsi="宋体" w:eastAsia="仿宋_GB2312"/>
      <w:color w:val="000000"/>
      <w:sz w:val="28"/>
      <w:lang w:eastAsia="en-US"/>
    </w:rPr>
  </w:style>
  <w:style w:type="paragraph" w:customStyle="1" w:styleId="174">
    <w:name w:val="样式 文本正文 + 宋体 四号"/>
    <w:basedOn w:val="131"/>
    <w:link w:val="173"/>
    <w:qFormat/>
    <w:uiPriority w:val="0"/>
    <w:rPr>
      <w:rFonts w:ascii="宋体" w:hAnsi="宋体" w:eastAsia="仿宋_GB2312"/>
      <w:sz w:val="28"/>
    </w:rPr>
  </w:style>
  <w:style w:type="paragraph" w:customStyle="1" w:styleId="175">
    <w:name w:val="表格（报告书）"/>
    <w:next w:val="1"/>
    <w:qFormat/>
    <w:uiPriority w:val="0"/>
    <w:pPr>
      <w:jc w:val="center"/>
    </w:pPr>
    <w:rPr>
      <w:rFonts w:ascii="Times New Roman" w:hAnsi="Times New Roman" w:eastAsia="宋体" w:cs="Times New Roman"/>
      <w:kern w:val="2"/>
      <w:sz w:val="21"/>
      <w:lang w:val="en-US" w:eastAsia="zh-CN" w:bidi="ar-SA"/>
    </w:rPr>
  </w:style>
  <w:style w:type="paragraph" w:customStyle="1" w:styleId="176">
    <w:name w:val="li-正文(chushe)"/>
    <w:basedOn w:val="1"/>
    <w:qFormat/>
    <w:uiPriority w:val="0"/>
    <w:pPr>
      <w:spacing w:line="540" w:lineRule="exact"/>
    </w:pPr>
    <w:rPr>
      <w:sz w:val="28"/>
      <w:szCs w:val="20"/>
    </w:rPr>
  </w:style>
  <w:style w:type="paragraph" w:customStyle="1" w:styleId="177">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78">
    <w:name w:val="表格标题红色"/>
    <w:basedOn w:val="1"/>
    <w:qFormat/>
    <w:uiPriority w:val="0"/>
    <w:pPr>
      <w:spacing w:line="360" w:lineRule="exact"/>
      <w:ind w:firstLine="480" w:firstLineChars="200"/>
    </w:pPr>
    <w:rPr>
      <w:rFonts w:ascii="黑体" w:eastAsia="黑体"/>
      <w:color w:val="000000"/>
      <w:sz w:val="24"/>
      <w:szCs w:val="20"/>
    </w:rPr>
  </w:style>
  <w:style w:type="paragraph" w:customStyle="1" w:styleId="179">
    <w:name w:val="D表内1磅"/>
    <w:basedOn w:val="1"/>
    <w:qFormat/>
    <w:uiPriority w:val="0"/>
    <w:pPr>
      <w:spacing w:before="20" w:after="20"/>
      <w:jc w:val="center"/>
    </w:pPr>
    <w:rPr>
      <w:szCs w:val="21"/>
    </w:rPr>
  </w:style>
  <w:style w:type="paragraph" w:customStyle="1" w:styleId="180">
    <w:name w:val="p0"/>
    <w:basedOn w:val="1"/>
    <w:qFormat/>
    <w:uiPriority w:val="99"/>
    <w:pPr>
      <w:widowControl/>
    </w:pPr>
    <w:rPr>
      <w:kern w:val="0"/>
      <w:szCs w:val="20"/>
    </w:rPr>
  </w:style>
  <w:style w:type="paragraph" w:customStyle="1" w:styleId="181">
    <w:name w:val="正本文字"/>
    <w:basedOn w:val="1"/>
    <w:qFormat/>
    <w:uiPriority w:val="0"/>
    <w:pPr>
      <w:snapToGrid w:val="0"/>
      <w:spacing w:line="360" w:lineRule="auto"/>
      <w:ind w:firstLine="454"/>
    </w:pPr>
    <w:rPr>
      <w:rFonts w:cs="宋体"/>
      <w:sz w:val="24"/>
      <w:szCs w:val="20"/>
    </w:rPr>
  </w:style>
  <w:style w:type="paragraph" w:customStyle="1" w:styleId="182">
    <w:name w:val="xl41"/>
    <w:basedOn w:val="1"/>
    <w:qFormat/>
    <w:uiPriority w:val="0"/>
    <w:pPr>
      <w:spacing w:line="280" w:lineRule="exact"/>
    </w:pPr>
    <w:rPr>
      <w:szCs w:val="20"/>
    </w:rPr>
  </w:style>
  <w:style w:type="paragraph" w:customStyle="1" w:styleId="183">
    <w:name w:val="105v"/>
    <w:basedOn w:val="1"/>
    <w:qFormat/>
    <w:uiPriority w:val="0"/>
    <w:pPr>
      <w:widowControl/>
      <w:spacing w:before="100" w:beforeAutospacing="1" w:after="100" w:afterAutospacing="1"/>
    </w:pPr>
    <w:rPr>
      <w:rFonts w:ascii="宋体" w:hAnsi="宋体"/>
      <w:kern w:val="0"/>
      <w:sz w:val="24"/>
      <w:szCs w:val="20"/>
    </w:rPr>
  </w:style>
  <w:style w:type="paragraph" w:customStyle="1" w:styleId="184">
    <w:name w:val="注释1"/>
    <w:basedOn w:val="1"/>
    <w:qFormat/>
    <w:uiPriority w:val="0"/>
    <w:pPr>
      <w:snapToGrid w:val="0"/>
      <w:spacing w:line="360" w:lineRule="auto"/>
      <w:ind w:firstLine="420" w:firstLineChars="200"/>
    </w:pPr>
    <w:rPr>
      <w:rFonts w:ascii="宋体" w:hAnsi="宋体"/>
      <w:szCs w:val="21"/>
    </w:rPr>
  </w:style>
  <w:style w:type="paragraph" w:customStyle="1" w:styleId="185">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186">
    <w:name w:val="B表内"/>
    <w:basedOn w:val="1"/>
    <w:qFormat/>
    <w:uiPriority w:val="0"/>
    <w:pPr>
      <w:spacing w:line="0" w:lineRule="atLeast"/>
      <w:jc w:val="center"/>
    </w:pPr>
    <w:rPr>
      <w:rFonts w:cs="宋体"/>
      <w:szCs w:val="20"/>
    </w:rPr>
  </w:style>
  <w:style w:type="paragraph" w:customStyle="1" w:styleId="187">
    <w:name w:val="简单回函地址"/>
    <w:basedOn w:val="1"/>
    <w:qFormat/>
    <w:uiPriority w:val="0"/>
    <w:rPr>
      <w:szCs w:val="20"/>
    </w:rPr>
  </w:style>
  <w:style w:type="paragraph" w:customStyle="1" w:styleId="188">
    <w:name w:val="p15"/>
    <w:basedOn w:val="1"/>
    <w:qFormat/>
    <w:uiPriority w:val="0"/>
    <w:pPr>
      <w:widowControl/>
    </w:pPr>
    <w:rPr>
      <w:rFonts w:ascii="Arial" w:hAnsi="Arial" w:cs="Arial"/>
      <w:kern w:val="0"/>
      <w:sz w:val="20"/>
      <w:szCs w:val="20"/>
    </w:rPr>
  </w:style>
  <w:style w:type="paragraph" w:customStyle="1" w:styleId="189">
    <w:name w:val="B表头"/>
    <w:basedOn w:val="1"/>
    <w:qFormat/>
    <w:uiPriority w:val="0"/>
    <w:pPr>
      <w:spacing w:beforeLines="50"/>
      <w:jc w:val="center"/>
    </w:pPr>
    <w:rPr>
      <w:rFonts w:eastAsia="黑体"/>
      <w:kern w:val="0"/>
      <w:sz w:val="24"/>
    </w:rPr>
  </w:style>
  <w:style w:type="paragraph" w:customStyle="1" w:styleId="190">
    <w:name w:val="表格样式1"/>
    <w:basedOn w:val="31"/>
    <w:next w:val="17"/>
    <w:qFormat/>
    <w:uiPriority w:val="0"/>
    <w:pPr>
      <w:spacing w:line="520" w:lineRule="exact"/>
    </w:pPr>
    <w:rPr>
      <w:rFonts w:ascii="黑体" w:eastAsia="黑体"/>
      <w:sz w:val="24"/>
    </w:rPr>
  </w:style>
  <w:style w:type="paragraph" w:customStyle="1" w:styleId="191">
    <w:name w:val="Char1 Char Char Char Char Char Char"/>
    <w:basedOn w:val="1"/>
    <w:qFormat/>
    <w:uiPriority w:val="0"/>
    <w:pPr>
      <w:spacing w:beforeLines="100" w:afterLines="50" w:line="600" w:lineRule="exact"/>
      <w:ind w:firstLine="200" w:firstLineChars="200"/>
    </w:pPr>
    <w:rPr>
      <w:rFonts w:eastAsia="黑体"/>
      <w:sz w:val="28"/>
      <w:szCs w:val="20"/>
    </w:rPr>
  </w:style>
  <w:style w:type="paragraph" w:customStyle="1" w:styleId="192">
    <w:name w:val="TOC 标题1"/>
    <w:basedOn w:val="3"/>
    <w:next w:val="1"/>
    <w:qFormat/>
    <w:uiPriority w:val="39"/>
    <w:pPr>
      <w:keepLines/>
      <w:overflowPunct/>
      <w:snapToGrid/>
      <w:spacing w:before="340" w:after="330" w:line="576" w:lineRule="auto"/>
      <w:ind w:left="0" w:firstLine="0"/>
      <w:outlineLvl w:val="9"/>
    </w:pPr>
    <w:rPr>
      <w:rFonts w:eastAsia="宋体"/>
      <w:bCs w:val="0"/>
      <w:color w:val="auto"/>
      <w:sz w:val="44"/>
      <w:szCs w:val="20"/>
    </w:rPr>
  </w:style>
  <w:style w:type="paragraph" w:customStyle="1" w:styleId="193">
    <w:name w:val="组工"/>
    <w:basedOn w:val="21"/>
    <w:qFormat/>
    <w:uiPriority w:val="0"/>
    <w:pPr>
      <w:ind w:firstLine="630"/>
    </w:pPr>
    <w:rPr>
      <w:b/>
      <w:sz w:val="36"/>
    </w:rPr>
  </w:style>
  <w:style w:type="paragraph" w:customStyle="1" w:styleId="194">
    <w:name w:val="2"/>
    <w:basedOn w:val="4"/>
    <w:qFormat/>
    <w:uiPriority w:val="0"/>
    <w:pPr>
      <w:adjustRightInd/>
      <w:spacing w:before="200" w:line="520" w:lineRule="exact"/>
      <w:textAlignment w:val="auto"/>
    </w:pPr>
    <w:rPr>
      <w:rFonts w:ascii="黑体" w:hAnsi="宋体" w:eastAsia="黑体"/>
      <w:color w:val="000000"/>
      <w:spacing w:val="5"/>
      <w:kern w:val="0"/>
      <w:sz w:val="28"/>
    </w:rPr>
  </w:style>
  <w:style w:type="paragraph" w:customStyle="1" w:styleId="195">
    <w:name w:val="样式 (符号) 宋体 小四 首行缩进:  0.85 厘米 行距: 固定值 26 磅"/>
    <w:basedOn w:val="1"/>
    <w:qFormat/>
    <w:uiPriority w:val="0"/>
    <w:pPr>
      <w:spacing w:line="520" w:lineRule="exact"/>
      <w:ind w:firstLine="480"/>
    </w:pPr>
    <w:rPr>
      <w:rFonts w:hAnsi="宋体"/>
      <w:sz w:val="24"/>
      <w:szCs w:val="20"/>
    </w:rPr>
  </w:style>
  <w:style w:type="paragraph" w:customStyle="1" w:styleId="19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7">
    <w:name w:val="正文文本 211"/>
    <w:basedOn w:val="1"/>
    <w:qFormat/>
    <w:uiPriority w:val="0"/>
    <w:pPr>
      <w:jc w:val="center"/>
    </w:pPr>
    <w:rPr>
      <w:sz w:val="24"/>
    </w:rPr>
  </w:style>
  <w:style w:type="paragraph" w:customStyle="1" w:styleId="198">
    <w:name w:val="正文文本 21"/>
    <w:basedOn w:val="1"/>
    <w:qFormat/>
    <w:uiPriority w:val="0"/>
    <w:pPr>
      <w:adjustRightInd w:val="0"/>
      <w:jc w:val="center"/>
      <w:textAlignment w:val="baseline"/>
    </w:pPr>
    <w:rPr>
      <w:sz w:val="24"/>
      <w:szCs w:val="20"/>
    </w:rPr>
  </w:style>
  <w:style w:type="paragraph" w:customStyle="1" w:styleId="199">
    <w:name w:val="表格居中 Char"/>
    <w:basedOn w:val="1"/>
    <w:qFormat/>
    <w:uiPriority w:val="0"/>
    <w:pPr>
      <w:jc w:val="center"/>
    </w:pPr>
    <w:rPr>
      <w:rFonts w:ascii="宋体" w:hAnsi="宋体"/>
      <w:w w:val="90"/>
      <w:kern w:val="0"/>
      <w:sz w:val="24"/>
    </w:rPr>
  </w:style>
  <w:style w:type="paragraph" w:customStyle="1" w:styleId="200">
    <w:name w:val="表格001"/>
    <w:basedOn w:val="1"/>
    <w:qFormat/>
    <w:uiPriority w:val="0"/>
    <w:pPr>
      <w:jc w:val="center"/>
    </w:pPr>
    <w:rPr>
      <w:szCs w:val="20"/>
    </w:rPr>
  </w:style>
  <w:style w:type="paragraph" w:customStyle="1" w:styleId="201">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202">
    <w:name w:val="表格标题新"/>
    <w:basedOn w:val="1"/>
    <w:qFormat/>
    <w:uiPriority w:val="0"/>
    <w:pPr>
      <w:tabs>
        <w:tab w:val="left" w:pos="0"/>
      </w:tabs>
      <w:adjustRightInd w:val="0"/>
      <w:snapToGrid w:val="0"/>
      <w:spacing w:beforeLines="50"/>
      <w:ind w:left="-113" w:right="-113" w:firstLine="562"/>
      <w:jc w:val="center"/>
    </w:pPr>
    <w:rPr>
      <w:rFonts w:ascii="仿宋_GB2312" w:eastAsia="黑体"/>
      <w:b/>
      <w:snapToGrid w:val="0"/>
      <w:kern w:val="21"/>
      <w:sz w:val="24"/>
    </w:rPr>
  </w:style>
  <w:style w:type="paragraph" w:customStyle="1" w:styleId="203">
    <w:name w:val="Char1"/>
    <w:basedOn w:val="1"/>
    <w:qFormat/>
    <w:uiPriority w:val="0"/>
    <w:pPr>
      <w:spacing w:line="360" w:lineRule="auto"/>
    </w:pPr>
    <w:rPr>
      <w:rFonts w:ascii="Tahoma" w:hAnsi="Tahoma"/>
      <w:sz w:val="24"/>
      <w:szCs w:val="20"/>
    </w:rPr>
  </w:style>
  <w:style w:type="paragraph" w:customStyle="1" w:styleId="204">
    <w:name w:val="B正文"/>
    <w:basedOn w:val="1"/>
    <w:qFormat/>
    <w:uiPriority w:val="0"/>
    <w:pPr>
      <w:spacing w:line="360" w:lineRule="auto"/>
      <w:ind w:firstLine="200" w:firstLineChars="200"/>
    </w:pPr>
    <w:rPr>
      <w:kern w:val="0"/>
      <w:sz w:val="24"/>
    </w:rPr>
  </w:style>
  <w:style w:type="paragraph" w:customStyle="1" w:styleId="205">
    <w:name w:val="Char Char Char Char Char Char"/>
    <w:basedOn w:val="1"/>
    <w:qFormat/>
    <w:uiPriority w:val="0"/>
    <w:pPr>
      <w:spacing w:line="360" w:lineRule="auto"/>
      <w:ind w:firstLine="480" w:firstLineChars="200"/>
    </w:pPr>
    <w:rPr>
      <w:rFonts w:ascii="宋体" w:hAnsi="宋体"/>
      <w:color w:val="000000"/>
      <w:szCs w:val="20"/>
    </w:rPr>
  </w:style>
  <w:style w:type="paragraph" w:customStyle="1" w:styleId="206">
    <w:name w:val="5文章(治)"/>
    <w:basedOn w:val="1"/>
    <w:qFormat/>
    <w:uiPriority w:val="0"/>
    <w:pPr>
      <w:spacing w:line="360" w:lineRule="auto"/>
      <w:ind w:firstLine="560" w:firstLineChars="200"/>
    </w:pPr>
    <w:rPr>
      <w:rFonts w:eastAsia="楷体_GB2312"/>
      <w:sz w:val="28"/>
      <w:szCs w:val="20"/>
    </w:rPr>
  </w:style>
  <w:style w:type="paragraph" w:customStyle="1" w:styleId="207">
    <w:name w:val="Char Char Char Char"/>
    <w:basedOn w:val="1"/>
    <w:qFormat/>
    <w:uiPriority w:val="0"/>
    <w:rPr>
      <w:szCs w:val="20"/>
    </w:rPr>
  </w:style>
  <w:style w:type="paragraph" w:customStyle="1" w:styleId="208">
    <w:name w:val="p17"/>
    <w:basedOn w:val="1"/>
    <w:qFormat/>
    <w:uiPriority w:val="0"/>
    <w:pPr>
      <w:widowControl/>
      <w:spacing w:line="580" w:lineRule="atLeast"/>
      <w:ind w:firstLine="403"/>
    </w:pPr>
    <w:rPr>
      <w:kern w:val="0"/>
      <w:sz w:val="28"/>
      <w:szCs w:val="20"/>
    </w:rPr>
  </w:style>
  <w:style w:type="paragraph" w:customStyle="1" w:styleId="209">
    <w:name w:val="xl25"/>
    <w:basedOn w:val="1"/>
    <w:qFormat/>
    <w:uiPriority w:val="0"/>
    <w:pPr>
      <w:widowControl/>
      <w:spacing w:before="100" w:beforeAutospacing="1" w:after="100" w:afterAutospacing="1"/>
      <w:jc w:val="center"/>
      <w:textAlignment w:val="bottom"/>
    </w:pPr>
    <w:rPr>
      <w:kern w:val="0"/>
      <w:sz w:val="24"/>
    </w:rPr>
  </w:style>
  <w:style w:type="paragraph" w:customStyle="1" w:styleId="210">
    <w:name w:val="_Style 5"/>
    <w:basedOn w:val="1"/>
    <w:qFormat/>
    <w:uiPriority w:val="0"/>
  </w:style>
  <w:style w:type="paragraph" w:customStyle="1" w:styleId="211">
    <w:name w:val="D表0"/>
    <w:basedOn w:val="1"/>
    <w:qFormat/>
    <w:uiPriority w:val="0"/>
    <w:pPr>
      <w:jc w:val="center"/>
    </w:pPr>
    <w:rPr>
      <w:szCs w:val="21"/>
    </w:rPr>
  </w:style>
  <w:style w:type="paragraph" w:customStyle="1" w:styleId="212">
    <w:name w:val="样式1"/>
    <w:basedOn w:val="1"/>
    <w:qFormat/>
    <w:uiPriority w:val="0"/>
    <w:pPr>
      <w:spacing w:line="360" w:lineRule="auto"/>
      <w:ind w:firstLine="510"/>
    </w:pPr>
    <w:rPr>
      <w:sz w:val="24"/>
      <w:szCs w:val="20"/>
    </w:rPr>
  </w:style>
  <w:style w:type="paragraph" w:customStyle="1" w:styleId="213">
    <w:name w:val="居中正文"/>
    <w:basedOn w:val="38"/>
    <w:qFormat/>
    <w:uiPriority w:val="0"/>
    <w:pPr>
      <w:adjustRightInd w:val="0"/>
      <w:spacing w:before="120" w:after="0" w:line="360" w:lineRule="auto"/>
      <w:ind w:firstLine="0" w:firstLineChars="0"/>
      <w:jc w:val="center"/>
    </w:pPr>
    <w:rPr>
      <w:rFonts w:ascii="宋体" w:hAnsi="宋体"/>
      <w:kern w:val="28"/>
      <w:sz w:val="24"/>
      <w:szCs w:val="24"/>
    </w:rPr>
  </w:style>
  <w:style w:type="paragraph" w:customStyle="1" w:styleId="214">
    <w:name w:val="表格中文字"/>
    <w:basedOn w:val="1"/>
    <w:qFormat/>
    <w:uiPriority w:val="0"/>
    <w:pPr>
      <w:snapToGrid w:val="0"/>
      <w:jc w:val="center"/>
    </w:pPr>
    <w:rPr>
      <w:szCs w:val="21"/>
    </w:rPr>
  </w:style>
  <w:style w:type="paragraph" w:customStyle="1" w:styleId="215">
    <w:name w:val="D图表"/>
    <w:basedOn w:val="1"/>
    <w:qFormat/>
    <w:uiPriority w:val="0"/>
    <w:pPr>
      <w:spacing w:before="120" w:after="120"/>
      <w:jc w:val="center"/>
    </w:pPr>
    <w:rPr>
      <w:b/>
      <w:szCs w:val="21"/>
    </w:rPr>
  </w:style>
  <w:style w:type="paragraph" w:customStyle="1" w:styleId="216">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1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18">
    <w:name w:val="WPS Plain"/>
    <w:qFormat/>
    <w:uiPriority w:val="0"/>
    <w:rPr>
      <w:rFonts w:ascii="Times New Roman" w:hAnsi="Times New Roman" w:eastAsia="宋体" w:cs="Times New Roman"/>
      <w:lang w:val="en-US" w:eastAsia="zh-CN" w:bidi="ar-SA"/>
    </w:rPr>
  </w:style>
  <w:style w:type="paragraph" w:customStyle="1" w:styleId="219">
    <w:name w:val="我的样式2"/>
    <w:basedOn w:val="1"/>
    <w:qFormat/>
    <w:uiPriority w:val="0"/>
    <w:pPr>
      <w:spacing w:beforeLines="50" w:afterLines="50" w:line="520" w:lineRule="exact"/>
      <w:outlineLvl w:val="1"/>
    </w:pPr>
    <w:rPr>
      <w:rFonts w:ascii="黑体" w:eastAsia="黑体"/>
      <w:sz w:val="28"/>
      <w:szCs w:val="20"/>
    </w:rPr>
  </w:style>
  <w:style w:type="paragraph" w:customStyle="1" w:styleId="220">
    <w:name w:val="修订1"/>
    <w:semiHidden/>
    <w:qFormat/>
    <w:uiPriority w:val="99"/>
    <w:rPr>
      <w:rFonts w:ascii="Times New Roman" w:hAnsi="Times New Roman" w:eastAsia="宋体" w:cs="Times New Roman"/>
      <w:kern w:val="2"/>
      <w:sz w:val="21"/>
      <w:lang w:val="en-US" w:eastAsia="zh-CN" w:bidi="ar-SA"/>
    </w:rPr>
  </w:style>
  <w:style w:type="paragraph" w:customStyle="1" w:styleId="221">
    <w:name w:val="title of table"/>
    <w:basedOn w:val="1"/>
    <w:qFormat/>
    <w:uiPriority w:val="0"/>
    <w:pPr>
      <w:adjustRightInd w:val="0"/>
      <w:snapToGrid w:val="0"/>
      <w:spacing w:line="360" w:lineRule="auto"/>
    </w:pPr>
    <w:rPr>
      <w:rFonts w:ascii="宋体" w:hAnsi="宋体"/>
      <w:b/>
      <w:color w:val="000000"/>
      <w:sz w:val="24"/>
      <w:szCs w:val="20"/>
    </w:rPr>
  </w:style>
  <w:style w:type="paragraph" w:customStyle="1" w:styleId="222">
    <w:name w:val="样式 小四 行距: 1.5 倍行距 首行缩进:  2 字符"/>
    <w:basedOn w:val="1"/>
    <w:qFormat/>
    <w:uiPriority w:val="0"/>
    <w:pPr>
      <w:spacing w:line="360" w:lineRule="auto"/>
      <w:ind w:firstLine="200" w:firstLineChars="200"/>
    </w:pPr>
    <w:rPr>
      <w:rFonts w:ascii="Symbol" w:hAnsi="Symbol" w:eastAsia="@楷体_GB2312"/>
      <w:sz w:val="24"/>
      <w:szCs w:val="20"/>
    </w:rPr>
  </w:style>
  <w:style w:type="paragraph" w:customStyle="1" w:styleId="223">
    <w:name w:val="样式 文本正文 + 宋体 四号 两端对齐 段后: 0 磅 行距: 固定值 24 磅"/>
    <w:basedOn w:val="131"/>
    <w:qFormat/>
    <w:uiPriority w:val="0"/>
    <w:pPr>
      <w:spacing w:after="0" w:line="480" w:lineRule="exact"/>
      <w:ind w:firstLine="560" w:firstLineChars="200"/>
    </w:pPr>
    <w:rPr>
      <w:rFonts w:ascii="宋体" w:hAnsi="宋体" w:eastAsia="仿宋_GB2312"/>
      <w:sz w:val="28"/>
    </w:rPr>
  </w:style>
  <w:style w:type="paragraph" w:customStyle="1" w:styleId="224">
    <w:name w:val="Char Char Char Char Char Char Char Char Char Char"/>
    <w:basedOn w:val="1"/>
    <w:qFormat/>
    <w:uiPriority w:val="0"/>
    <w:pPr>
      <w:spacing w:line="240" w:lineRule="exact"/>
      <w:ind w:firstLine="200" w:firstLineChars="200"/>
    </w:pPr>
    <w:rPr>
      <w:rFonts w:ascii="宋体" w:hAnsi="宋体"/>
      <w:sz w:val="24"/>
      <w:szCs w:val="20"/>
    </w:rPr>
  </w:style>
  <w:style w:type="paragraph" w:customStyle="1" w:styleId="225">
    <w:name w:val="Table Paragraph"/>
    <w:basedOn w:val="1"/>
    <w:qFormat/>
    <w:uiPriority w:val="1"/>
  </w:style>
  <w:style w:type="paragraph" w:customStyle="1" w:styleId="226">
    <w:name w:val="新表格"/>
    <w:basedOn w:val="1"/>
    <w:qFormat/>
    <w:uiPriority w:val="0"/>
    <w:pPr>
      <w:spacing w:line="288" w:lineRule="auto"/>
      <w:jc w:val="center"/>
    </w:pPr>
    <w:rPr>
      <w:kern w:val="0"/>
      <w:lang w:eastAsia="en-US"/>
    </w:rPr>
  </w:style>
  <w:style w:type="paragraph" w:customStyle="1" w:styleId="227">
    <w:name w:val="正文内容"/>
    <w:basedOn w:val="1"/>
    <w:semiHidden/>
    <w:qFormat/>
    <w:uiPriority w:val="0"/>
    <w:pPr>
      <w:snapToGrid w:val="0"/>
      <w:spacing w:line="360" w:lineRule="auto"/>
      <w:ind w:firstLine="496" w:firstLineChars="200"/>
    </w:pPr>
    <w:rPr>
      <w:rFonts w:ascii="宋体" w:hAnsi="宋体" w:cs="宋体"/>
      <w:snapToGrid w:val="0"/>
      <w:spacing w:val="4"/>
      <w:kern w:val="21"/>
      <w:sz w:val="24"/>
    </w:rPr>
  </w:style>
  <w:style w:type="paragraph" w:customStyle="1" w:styleId="228">
    <w:name w:val="最终正文"/>
    <w:basedOn w:val="1"/>
    <w:qFormat/>
    <w:uiPriority w:val="0"/>
    <w:pPr>
      <w:spacing w:line="360" w:lineRule="auto"/>
      <w:ind w:firstLine="480" w:firstLineChars="200"/>
    </w:pPr>
    <w:rPr>
      <w:sz w:val="24"/>
      <w:szCs w:val="20"/>
    </w:rPr>
  </w:style>
  <w:style w:type="paragraph" w:customStyle="1" w:styleId="229">
    <w:name w:val="说明书正文"/>
    <w:basedOn w:val="1"/>
    <w:qFormat/>
    <w:uiPriority w:val="0"/>
    <w:pPr>
      <w:spacing w:line="480" w:lineRule="exact"/>
      <w:ind w:firstLine="600" w:firstLineChars="200"/>
    </w:pPr>
    <w:rPr>
      <w:rFonts w:ascii="宋体" w:hAnsi="宋体" w:eastAsia="仿宋_GB2312"/>
      <w:color w:val="000000"/>
      <w:sz w:val="30"/>
      <w:szCs w:val="20"/>
    </w:rPr>
  </w:style>
  <w:style w:type="paragraph" w:customStyle="1" w:styleId="230">
    <w:name w:val="D图表小四"/>
    <w:basedOn w:val="1"/>
    <w:qFormat/>
    <w:uiPriority w:val="0"/>
    <w:pPr>
      <w:spacing w:before="120" w:after="120"/>
      <w:jc w:val="center"/>
    </w:pPr>
    <w:rPr>
      <w:b/>
      <w:sz w:val="24"/>
    </w:rPr>
  </w:style>
  <w:style w:type="paragraph" w:customStyle="1" w:styleId="23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232">
    <w:name w:val="xie"/>
    <w:basedOn w:val="40"/>
    <w:semiHidden/>
    <w:qFormat/>
    <w:uiPriority w:val="0"/>
    <w:pPr>
      <w:jc w:val="center"/>
    </w:pPr>
    <w:rPr>
      <w:rFonts w:ascii="Times New Roman" w:hAnsi="Times New Roman" w:eastAsia="宋体" w:cs="Times New Roman"/>
    </w:rPr>
    <w:tblPr>
      <w:tblBorders>
        <w:top w:val="thinThickSmallGap" w:color="auto" w:sz="12" w:space="0"/>
        <w:left w:val="single" w:color="auto" w:sz="4" w:space="0"/>
        <w:bottom w:val="thickThinSmallGap" w:color="auto" w:sz="12" w:space="0"/>
        <w:right w:val="single" w:color="auto" w:sz="4" w:space="0"/>
        <w:insideH w:val="single" w:color="auto" w:sz="4" w:space="0"/>
        <w:insideV w:val="single" w:color="auto" w:sz="4" w:space="0"/>
      </w:tblBorders>
    </w:tblPr>
    <w:tcPr>
      <w:vAlign w:val="center"/>
    </w:tcPr>
  </w:style>
  <w:style w:type="character" w:customStyle="1" w:styleId="233">
    <w:name w:val="环表头 Char Char"/>
    <w:link w:val="234"/>
    <w:qFormat/>
    <w:uiPriority w:val="0"/>
    <w:rPr>
      <w:rFonts w:ascii="黑体" w:hAnsi="宋体" w:eastAsia="黑体" w:cs="Courier New"/>
      <w:color w:val="993300"/>
      <w:sz w:val="24"/>
    </w:rPr>
  </w:style>
  <w:style w:type="paragraph" w:customStyle="1" w:styleId="234">
    <w:name w:val="环表头"/>
    <w:basedOn w:val="1"/>
    <w:next w:val="1"/>
    <w:link w:val="233"/>
    <w:qFormat/>
    <w:uiPriority w:val="0"/>
    <w:pPr>
      <w:widowControl/>
      <w:adjustRightInd w:val="0"/>
      <w:spacing w:before="48" w:after="24"/>
      <w:ind w:right="299"/>
      <w:jc w:val="center"/>
      <w:textAlignment w:val="baseline"/>
    </w:pPr>
    <w:rPr>
      <w:rFonts w:ascii="黑体" w:hAnsi="宋体" w:eastAsia="黑体" w:cs="Courier New"/>
      <w:color w:val="993300"/>
      <w:sz w:val="24"/>
      <w:szCs w:val="22"/>
    </w:rPr>
  </w:style>
  <w:style w:type="character" w:customStyle="1" w:styleId="235">
    <w:name w:val="正文 Char Char"/>
    <w:qFormat/>
    <w:uiPriority w:val="0"/>
    <w:rPr>
      <w:rFonts w:eastAsia="宋体"/>
      <w:sz w:val="28"/>
      <w:lang w:val="en-US" w:eastAsia="zh-CN" w:bidi="ar-SA"/>
    </w:rPr>
  </w:style>
  <w:style w:type="character" w:customStyle="1" w:styleId="236">
    <w:name w:val="headline-content"/>
    <w:qFormat/>
    <w:uiPriority w:val="0"/>
  </w:style>
  <w:style w:type="character" w:customStyle="1" w:styleId="237">
    <w:name w:val="样式 样式 标题2 + Char Char"/>
    <w:link w:val="238"/>
    <w:qFormat/>
    <w:uiPriority w:val="0"/>
    <w:rPr>
      <w:rFonts w:cs="宋体"/>
      <w:b/>
      <w:bCs/>
      <w:sz w:val="28"/>
    </w:rPr>
  </w:style>
  <w:style w:type="paragraph" w:customStyle="1" w:styleId="238">
    <w:name w:val="样式 样式 标题2 +"/>
    <w:basedOn w:val="239"/>
    <w:link w:val="237"/>
    <w:qFormat/>
    <w:uiPriority w:val="0"/>
    <w:pPr>
      <w:tabs>
        <w:tab w:val="left" w:pos="2800"/>
      </w:tabs>
    </w:pPr>
    <w:rPr>
      <w:rFonts w:cs="宋体" w:asciiTheme="minorHAnsi" w:hAnsiTheme="minorHAnsi" w:eastAsiaTheme="minorEastAsia"/>
      <w:kern w:val="2"/>
      <w:szCs w:val="22"/>
    </w:rPr>
  </w:style>
  <w:style w:type="paragraph" w:customStyle="1" w:styleId="239">
    <w:name w:val="样式 标题2"/>
    <w:basedOn w:val="4"/>
    <w:link w:val="240"/>
    <w:qFormat/>
    <w:uiPriority w:val="0"/>
    <w:pPr>
      <w:tabs>
        <w:tab w:val="left" w:pos="2800"/>
      </w:tabs>
      <w:adjustRightInd/>
      <w:spacing w:line="413" w:lineRule="auto"/>
      <w:textAlignment w:val="auto"/>
    </w:pPr>
    <w:rPr>
      <w:rFonts w:ascii="Times New Roman"/>
      <w:bCs/>
      <w:kern w:val="0"/>
      <w:sz w:val="28"/>
    </w:rPr>
  </w:style>
  <w:style w:type="character" w:customStyle="1" w:styleId="240">
    <w:name w:val="样式 标题2 Char Char"/>
    <w:link w:val="239"/>
    <w:qFormat/>
    <w:uiPriority w:val="0"/>
    <w:rPr>
      <w:rFonts w:ascii="Times New Roman" w:hAnsi="Times New Roman" w:eastAsia="宋体" w:cs="Times New Roman"/>
      <w:b/>
      <w:bCs/>
      <w:kern w:val="0"/>
      <w:sz w:val="28"/>
      <w:szCs w:val="20"/>
    </w:rPr>
  </w:style>
  <w:style w:type="character" w:customStyle="1" w:styleId="241">
    <w:name w:val="报告 Char Char"/>
    <w:link w:val="242"/>
    <w:qFormat/>
    <w:uiPriority w:val="0"/>
    <w:rPr>
      <w:sz w:val="24"/>
    </w:rPr>
  </w:style>
  <w:style w:type="paragraph" w:customStyle="1" w:styleId="242">
    <w:name w:val="报告"/>
    <w:basedOn w:val="1"/>
    <w:link w:val="241"/>
    <w:qFormat/>
    <w:uiPriority w:val="0"/>
    <w:pPr>
      <w:adjustRightInd w:val="0"/>
      <w:spacing w:line="360" w:lineRule="auto"/>
      <w:ind w:firstLine="505"/>
      <w:textAlignment w:val="baseline"/>
    </w:pPr>
    <w:rPr>
      <w:rFonts w:asciiTheme="minorHAnsi" w:hAnsiTheme="minorHAnsi" w:eastAsiaTheme="minorEastAsia" w:cstheme="minorBidi"/>
      <w:sz w:val="24"/>
      <w:szCs w:val="22"/>
    </w:rPr>
  </w:style>
  <w:style w:type="character" w:customStyle="1" w:styleId="243">
    <w:name w:val="表头黄 Char Char"/>
    <w:link w:val="244"/>
    <w:qFormat/>
    <w:uiPriority w:val="0"/>
    <w:rPr>
      <w:rFonts w:hAnsi="宋体"/>
      <w:b/>
      <w:sz w:val="24"/>
      <w:szCs w:val="24"/>
    </w:rPr>
  </w:style>
  <w:style w:type="paragraph" w:customStyle="1" w:styleId="244">
    <w:name w:val="表头黄"/>
    <w:basedOn w:val="1"/>
    <w:link w:val="243"/>
    <w:qFormat/>
    <w:uiPriority w:val="0"/>
    <w:pPr>
      <w:autoSpaceDE w:val="0"/>
      <w:autoSpaceDN w:val="0"/>
      <w:adjustRightInd w:val="0"/>
      <w:spacing w:beforeLines="50" w:line="360" w:lineRule="auto"/>
      <w:jc w:val="center"/>
      <w:textAlignment w:val="baseline"/>
    </w:pPr>
    <w:rPr>
      <w:rFonts w:hAnsi="宋体" w:asciiTheme="minorHAnsi" w:eastAsiaTheme="minorEastAsia" w:cstheme="minorBidi"/>
      <w:b/>
      <w:sz w:val="24"/>
    </w:rPr>
  </w:style>
  <w:style w:type="character" w:customStyle="1" w:styleId="245">
    <w:name w:val="标题 3 Char Char"/>
    <w:qFormat/>
    <w:uiPriority w:val="0"/>
    <w:rPr>
      <w:rFonts w:eastAsia="宋体"/>
      <w:b/>
      <w:sz w:val="32"/>
      <w:lang w:val="en-US" w:eastAsia="zh-CN" w:bidi="ar-SA"/>
    </w:rPr>
  </w:style>
  <w:style w:type="character" w:customStyle="1" w:styleId="246">
    <w:name w:val="页码1"/>
    <w:qFormat/>
    <w:uiPriority w:val="0"/>
  </w:style>
  <w:style w:type="character" w:customStyle="1" w:styleId="247">
    <w:name w:val="标题 2 Char Char"/>
    <w:qFormat/>
    <w:uiPriority w:val="0"/>
    <w:rPr>
      <w:rFonts w:eastAsia="宋体"/>
      <w:b/>
      <w:sz w:val="32"/>
      <w:lang w:val="en-US" w:eastAsia="zh-CN" w:bidi="ar-SA"/>
    </w:rPr>
  </w:style>
  <w:style w:type="character" w:customStyle="1" w:styleId="248">
    <w:name w:val="表格正文 Char Char"/>
    <w:link w:val="249"/>
    <w:qFormat/>
    <w:uiPriority w:val="0"/>
    <w:rPr>
      <w:rFonts w:ascii="宋体"/>
      <w:spacing w:val="4"/>
      <w:szCs w:val="21"/>
    </w:rPr>
  </w:style>
  <w:style w:type="paragraph" w:customStyle="1" w:styleId="249">
    <w:name w:val="表格正文 Char"/>
    <w:basedOn w:val="1"/>
    <w:next w:val="1"/>
    <w:link w:val="248"/>
    <w:qFormat/>
    <w:uiPriority w:val="0"/>
    <w:pPr>
      <w:adjustRightInd w:val="0"/>
      <w:snapToGrid w:val="0"/>
      <w:jc w:val="center"/>
      <w:textAlignment w:val="baseline"/>
    </w:pPr>
    <w:rPr>
      <w:rFonts w:ascii="宋体" w:hAnsiTheme="minorHAnsi" w:eastAsiaTheme="minorEastAsia" w:cstheme="minorBidi"/>
      <w:spacing w:val="4"/>
      <w:szCs w:val="21"/>
    </w:rPr>
  </w:style>
  <w:style w:type="character" w:customStyle="1" w:styleId="250">
    <w:name w:val="报告书正文 Char Char"/>
    <w:link w:val="251"/>
    <w:qFormat/>
    <w:uiPriority w:val="0"/>
    <w:rPr>
      <w:sz w:val="24"/>
      <w:szCs w:val="24"/>
      <w:lang w:val="en-GB"/>
    </w:rPr>
  </w:style>
  <w:style w:type="paragraph" w:customStyle="1" w:styleId="251">
    <w:name w:val="报告书正文"/>
    <w:basedOn w:val="1"/>
    <w:link w:val="250"/>
    <w:qFormat/>
    <w:uiPriority w:val="0"/>
    <w:pPr>
      <w:autoSpaceDE w:val="0"/>
      <w:autoSpaceDN w:val="0"/>
      <w:adjustRightInd w:val="0"/>
      <w:spacing w:line="360" w:lineRule="auto"/>
      <w:ind w:firstLine="480" w:firstLineChars="200"/>
      <w:jc w:val="left"/>
      <w:textAlignment w:val="baseline"/>
    </w:pPr>
    <w:rPr>
      <w:rFonts w:asciiTheme="minorHAnsi" w:hAnsiTheme="minorHAnsi" w:eastAsiaTheme="minorEastAsia" w:cstheme="minorBidi"/>
      <w:sz w:val="24"/>
      <w:lang w:val="en-GB"/>
    </w:rPr>
  </w:style>
  <w:style w:type="character" w:customStyle="1" w:styleId="252">
    <w:name w:val="表格正文 Char1"/>
    <w:link w:val="253"/>
    <w:qFormat/>
    <w:uiPriority w:val="0"/>
    <w:rPr>
      <w:rFonts w:ascii="宋体" w:hAnsi="宋体"/>
      <w:spacing w:val="4"/>
      <w:w w:val="90"/>
      <w:szCs w:val="24"/>
    </w:rPr>
  </w:style>
  <w:style w:type="paragraph" w:customStyle="1" w:styleId="253">
    <w:name w:val="表格正文"/>
    <w:basedOn w:val="1"/>
    <w:next w:val="1"/>
    <w:link w:val="252"/>
    <w:qFormat/>
    <w:uiPriority w:val="0"/>
    <w:pPr>
      <w:adjustRightInd w:val="0"/>
      <w:snapToGrid w:val="0"/>
      <w:jc w:val="center"/>
      <w:textAlignment w:val="baseline"/>
    </w:pPr>
    <w:rPr>
      <w:rFonts w:ascii="宋体" w:hAnsi="宋体" w:eastAsiaTheme="minorEastAsia" w:cstheme="minorBidi"/>
      <w:spacing w:val="4"/>
      <w:w w:val="90"/>
    </w:rPr>
  </w:style>
  <w:style w:type="paragraph" w:customStyle="1" w:styleId="254">
    <w:name w:val="表格填充1"/>
    <w:basedOn w:val="21"/>
    <w:qFormat/>
    <w:uiPriority w:val="0"/>
    <w:pPr>
      <w:snapToGrid w:val="0"/>
    </w:pPr>
    <w:rPr>
      <w:rFonts w:ascii="Times New Roman" w:hAnsi="Times New Roman" w:eastAsia="仿宋_GB2312"/>
      <w:snapToGrid w:val="0"/>
      <w:sz w:val="28"/>
    </w:rPr>
  </w:style>
  <w:style w:type="paragraph" w:customStyle="1" w:styleId="255">
    <w:name w:val="3"/>
    <w:basedOn w:val="1"/>
    <w:next w:val="13"/>
    <w:qFormat/>
    <w:uiPriority w:val="0"/>
    <w:pPr>
      <w:ind w:firstLine="602"/>
    </w:pPr>
    <w:rPr>
      <w:rFonts w:eastAsia="仿宋_GB2312"/>
      <w:sz w:val="28"/>
      <w:szCs w:val="20"/>
    </w:rPr>
  </w:style>
  <w:style w:type="paragraph" w:customStyle="1" w:styleId="256">
    <w:name w:val="Char Char Char Char Char2 Char"/>
    <w:basedOn w:val="1"/>
    <w:qFormat/>
    <w:uiPriority w:val="0"/>
    <w:pPr>
      <w:adjustRightInd w:val="0"/>
      <w:snapToGrid w:val="0"/>
      <w:spacing w:line="360" w:lineRule="auto"/>
      <w:ind w:firstLine="200" w:firstLineChars="200"/>
    </w:pPr>
  </w:style>
  <w:style w:type="paragraph" w:customStyle="1" w:styleId="257">
    <w:name w:val="标四黄"/>
    <w:basedOn w:val="1"/>
    <w:qFormat/>
    <w:uiPriority w:val="0"/>
    <w:pPr>
      <w:keepNext/>
      <w:keepLines/>
      <w:autoSpaceDE w:val="0"/>
      <w:autoSpaceDN w:val="0"/>
      <w:adjustRightInd w:val="0"/>
      <w:snapToGrid w:val="0"/>
      <w:spacing w:beforeLines="20" w:line="360" w:lineRule="auto"/>
      <w:jc w:val="left"/>
      <w:textAlignment w:val="baseline"/>
      <w:outlineLvl w:val="3"/>
    </w:pPr>
    <w:rPr>
      <w:rFonts w:eastAsia="黑体"/>
      <w:b/>
      <w:kern w:val="0"/>
      <w:sz w:val="24"/>
    </w:rPr>
  </w:style>
  <w:style w:type="paragraph" w:customStyle="1" w:styleId="258">
    <w:name w:val="Default Paragraph Font Para Char Char Char"/>
    <w:basedOn w:val="1"/>
    <w:qFormat/>
    <w:uiPriority w:val="0"/>
    <w:pPr>
      <w:widowControl/>
      <w:spacing w:after="160" w:line="240" w:lineRule="exact"/>
      <w:jc w:val="left"/>
    </w:pPr>
    <w:rPr>
      <w:rFonts w:eastAsia="仿宋_GB2312"/>
      <w:sz w:val="28"/>
      <w:szCs w:val="20"/>
    </w:rPr>
  </w:style>
  <w:style w:type="paragraph" w:customStyle="1" w:styleId="259">
    <w:name w:val="正文首行缩进1"/>
    <w:basedOn w:val="1"/>
    <w:qFormat/>
    <w:uiPriority w:val="0"/>
    <w:pPr>
      <w:adjustRightInd w:val="0"/>
      <w:snapToGrid w:val="0"/>
      <w:spacing w:line="500" w:lineRule="exact"/>
      <w:ind w:firstLine="480" w:firstLineChars="200"/>
    </w:pPr>
    <w:rPr>
      <w:sz w:val="24"/>
      <w:szCs w:val="18"/>
    </w:rPr>
  </w:style>
  <w:style w:type="paragraph" w:customStyle="1" w:styleId="260">
    <w:name w:val="页脚1"/>
    <w:basedOn w:val="1"/>
    <w:qFormat/>
    <w:uiPriority w:val="0"/>
    <w:pPr>
      <w:tabs>
        <w:tab w:val="center" w:pos="4153"/>
        <w:tab w:val="right" w:pos="8306"/>
      </w:tabs>
      <w:snapToGrid w:val="0"/>
      <w:jc w:val="left"/>
    </w:pPr>
    <w:rPr>
      <w:sz w:val="18"/>
      <w:szCs w:val="18"/>
    </w:rPr>
  </w:style>
  <w:style w:type="paragraph" w:customStyle="1" w:styleId="261">
    <w:name w:val="text08"/>
    <w:basedOn w:val="1"/>
    <w:qFormat/>
    <w:uiPriority w:val="0"/>
    <w:pPr>
      <w:widowControl/>
      <w:spacing w:before="100" w:beforeAutospacing="1" w:after="100" w:afterAutospacing="1" w:line="400" w:lineRule="atLeast"/>
      <w:jc w:val="left"/>
    </w:pPr>
    <w:rPr>
      <w:rFonts w:ascii="宋体" w:hAnsi="宋体"/>
      <w:color w:val="666666"/>
      <w:kern w:val="0"/>
      <w:sz w:val="24"/>
    </w:rPr>
  </w:style>
  <w:style w:type="paragraph" w:customStyle="1" w:styleId="262">
    <w:name w:val="页眉1"/>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263">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默认段落字体 Para Char"/>
    <w:basedOn w:val="1"/>
    <w:next w:val="1"/>
    <w:qFormat/>
    <w:uiPriority w:val="0"/>
    <w:pPr>
      <w:spacing w:line="360" w:lineRule="auto"/>
      <w:ind w:firstLine="200" w:firstLineChars="200"/>
    </w:pPr>
  </w:style>
  <w:style w:type="paragraph" w:customStyle="1" w:styleId="26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66">
    <w:name w:val="1 Char Char Char Char"/>
    <w:basedOn w:val="1"/>
    <w:qFormat/>
    <w:uiPriority w:val="0"/>
    <w:pPr>
      <w:spacing w:line="360" w:lineRule="auto"/>
      <w:ind w:firstLine="200" w:firstLineChars="200"/>
    </w:pPr>
    <w:rPr>
      <w:rFonts w:ascii="宋体" w:hAnsi="宋体" w:cs="宋体"/>
      <w:sz w:val="24"/>
    </w:rPr>
  </w:style>
  <w:style w:type="paragraph" w:customStyle="1" w:styleId="267">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68">
    <w:name w:val="默认段落字体 Para Char Char Char Char"/>
    <w:basedOn w:val="1"/>
    <w:qFormat/>
    <w:uiPriority w:val="0"/>
  </w:style>
  <w:style w:type="paragraph" w:customStyle="1" w:styleId="269">
    <w:name w:val="Char Char Char Char Char Char Char"/>
    <w:basedOn w:val="1"/>
    <w:qFormat/>
    <w:uiPriority w:val="0"/>
  </w:style>
  <w:style w:type="paragraph" w:customStyle="1" w:styleId="270">
    <w:name w:val="表头(卢)"/>
    <w:basedOn w:val="1"/>
    <w:qFormat/>
    <w:uiPriority w:val="0"/>
    <w:pPr>
      <w:snapToGrid w:val="0"/>
      <w:spacing w:beforeLines="50" w:line="396" w:lineRule="auto"/>
      <w:jc w:val="center"/>
    </w:pPr>
    <w:rPr>
      <w:rFonts w:hAnsi="宋体"/>
      <w:b/>
      <w:bCs/>
      <w:kern w:val="0"/>
      <w:sz w:val="24"/>
      <w:szCs w:val="20"/>
    </w:rPr>
  </w:style>
  <w:style w:type="paragraph" w:customStyle="1" w:styleId="271">
    <w:name w:val="Char Char Char2 Char"/>
    <w:basedOn w:val="1"/>
    <w:qFormat/>
    <w:uiPriority w:val="0"/>
  </w:style>
  <w:style w:type="paragraph" w:customStyle="1" w:styleId="272">
    <w:name w:val="表格内正文"/>
    <w:basedOn w:val="1"/>
    <w:link w:val="273"/>
    <w:qFormat/>
    <w:uiPriority w:val="0"/>
    <w:pPr>
      <w:spacing w:line="360" w:lineRule="auto"/>
      <w:ind w:firstLine="493"/>
    </w:pPr>
    <w:rPr>
      <w:rFonts w:ascii="宋体" w:hAnsi="宋体"/>
      <w:spacing w:val="4"/>
      <w:kern w:val="18"/>
      <w:sz w:val="24"/>
    </w:rPr>
  </w:style>
  <w:style w:type="character" w:customStyle="1" w:styleId="273">
    <w:name w:val="表格内正文 Char1"/>
    <w:link w:val="272"/>
    <w:qFormat/>
    <w:uiPriority w:val="0"/>
    <w:rPr>
      <w:rFonts w:ascii="宋体" w:hAnsi="宋体" w:eastAsia="宋体" w:cs="Times New Roman"/>
      <w:spacing w:val="4"/>
      <w:kern w:val="18"/>
      <w:sz w:val="24"/>
      <w:szCs w:val="24"/>
    </w:rPr>
  </w:style>
  <w:style w:type="paragraph" w:customStyle="1" w:styleId="274">
    <w:name w:val="样式标题5"/>
    <w:basedOn w:val="1"/>
    <w:next w:val="1"/>
    <w:link w:val="275"/>
    <w:qFormat/>
    <w:uiPriority w:val="0"/>
    <w:pPr>
      <w:spacing w:line="360" w:lineRule="auto"/>
      <w:ind w:firstLine="400"/>
    </w:pPr>
    <w:rPr>
      <w:sz w:val="24"/>
    </w:rPr>
  </w:style>
  <w:style w:type="character" w:customStyle="1" w:styleId="275">
    <w:name w:val="样式标题5 Char"/>
    <w:link w:val="274"/>
    <w:qFormat/>
    <w:uiPriority w:val="0"/>
    <w:rPr>
      <w:rFonts w:ascii="Times New Roman" w:hAnsi="Times New Roman" w:eastAsia="宋体" w:cs="Times New Roman"/>
      <w:sz w:val="24"/>
      <w:szCs w:val="24"/>
    </w:rPr>
  </w:style>
  <w:style w:type="paragraph" w:customStyle="1" w:styleId="276">
    <w:name w:val="样式 文本正文 + 首行缩进:  2 字符3"/>
    <w:basedOn w:val="1"/>
    <w:qFormat/>
    <w:uiPriority w:val="0"/>
    <w:pPr>
      <w:autoSpaceDE w:val="0"/>
      <w:autoSpaceDN w:val="0"/>
      <w:adjustRightInd w:val="0"/>
      <w:spacing w:line="360" w:lineRule="auto"/>
      <w:ind w:firstLine="496" w:firstLineChars="200"/>
      <w:textAlignment w:val="baseline"/>
    </w:pPr>
    <w:rPr>
      <w:rFonts w:ascii="宋体" w:hAnsi="宋体" w:cs="宋体"/>
      <w:snapToGrid w:val="0"/>
      <w:color w:val="000000"/>
      <w:kern w:val="21"/>
      <w:sz w:val="24"/>
    </w:rPr>
  </w:style>
  <w:style w:type="paragraph" w:customStyle="1" w:styleId="277">
    <w:name w:val="二级无标题条"/>
    <w:basedOn w:val="1"/>
    <w:qFormat/>
    <w:uiPriority w:val="0"/>
  </w:style>
  <w:style w:type="paragraph" w:customStyle="1" w:styleId="278">
    <w:name w:val="报告表格"/>
    <w:basedOn w:val="1"/>
    <w:qFormat/>
    <w:uiPriority w:val="0"/>
    <w:pPr>
      <w:autoSpaceDE w:val="0"/>
      <w:autoSpaceDN w:val="0"/>
      <w:adjustRightInd w:val="0"/>
      <w:spacing w:before="40" w:after="40"/>
      <w:jc w:val="center"/>
    </w:pPr>
    <w:rPr>
      <w:kern w:val="0"/>
    </w:rPr>
  </w:style>
  <w:style w:type="paragraph" w:customStyle="1" w:styleId="279">
    <w:name w:val="表格标题"/>
    <w:basedOn w:val="1"/>
    <w:qFormat/>
    <w:uiPriority w:val="0"/>
    <w:pPr>
      <w:tabs>
        <w:tab w:val="left" w:pos="7590"/>
      </w:tabs>
      <w:snapToGrid w:val="0"/>
      <w:jc w:val="center"/>
    </w:pPr>
    <w:rPr>
      <w:sz w:val="28"/>
    </w:rPr>
  </w:style>
  <w:style w:type="paragraph" w:customStyle="1" w:styleId="280">
    <w:name w:val="0"/>
    <w:basedOn w:val="1"/>
    <w:qFormat/>
    <w:uiPriority w:val="0"/>
    <w:pPr>
      <w:widowControl/>
    </w:pPr>
    <w:rPr>
      <w:kern w:val="0"/>
      <w:szCs w:val="20"/>
    </w:rPr>
  </w:style>
  <w:style w:type="paragraph" w:customStyle="1" w:styleId="281">
    <w:name w:val="xl24"/>
    <w:basedOn w:val="1"/>
    <w:qFormat/>
    <w:uiPriority w:val="0"/>
    <w:pPr>
      <w:widowControl/>
      <w:spacing w:before="100" w:beforeAutospacing="1" w:after="100" w:afterAutospacing="1"/>
      <w:jc w:val="center"/>
      <w:textAlignment w:val="center"/>
    </w:pPr>
    <w:rPr>
      <w:rFonts w:ascii="宋体" w:hAnsi="宋体"/>
      <w:kern w:val="0"/>
      <w:sz w:val="24"/>
    </w:rPr>
  </w:style>
  <w:style w:type="character" w:customStyle="1" w:styleId="282">
    <w:name w:val="报告书 Char"/>
    <w:link w:val="283"/>
    <w:qFormat/>
    <w:uiPriority w:val="0"/>
    <w:rPr>
      <w:rFonts w:ascii="宋体" w:hAnsi="宋体" w:cs="宋体"/>
      <w:color w:val="0000FF"/>
      <w:sz w:val="24"/>
    </w:rPr>
  </w:style>
  <w:style w:type="paragraph" w:customStyle="1" w:styleId="283">
    <w:name w:val="报告书"/>
    <w:basedOn w:val="1"/>
    <w:link w:val="282"/>
    <w:qFormat/>
    <w:uiPriority w:val="0"/>
    <w:pPr>
      <w:autoSpaceDE w:val="0"/>
      <w:autoSpaceDN w:val="0"/>
      <w:adjustRightInd w:val="0"/>
      <w:spacing w:line="520" w:lineRule="exact"/>
      <w:ind w:firstLine="480" w:firstLineChars="200"/>
      <w:jc w:val="left"/>
      <w:textAlignment w:val="bottom"/>
    </w:pPr>
    <w:rPr>
      <w:rFonts w:ascii="宋体" w:hAnsi="宋体" w:cs="宋体" w:eastAsiaTheme="minorEastAsia"/>
      <w:color w:val="0000FF"/>
      <w:sz w:val="24"/>
      <w:szCs w:val="22"/>
    </w:rPr>
  </w:style>
  <w:style w:type="paragraph" w:customStyle="1" w:styleId="284">
    <w:name w:val="标题2"/>
    <w:basedOn w:val="13"/>
    <w:next w:val="5"/>
    <w:qFormat/>
    <w:uiPriority w:val="0"/>
    <w:pPr>
      <w:spacing w:before="120" w:line="500" w:lineRule="exact"/>
      <w:ind w:firstLine="482"/>
    </w:pPr>
    <w:rPr>
      <w:rFonts w:hint="eastAsia" w:hAnsi="宋体" w:eastAsia="仿宋_GB2312"/>
      <w:b/>
      <w:sz w:val="24"/>
    </w:rPr>
  </w:style>
  <w:style w:type="paragraph" w:customStyle="1" w:styleId="285">
    <w:name w:val="1表格"/>
    <w:basedOn w:val="1"/>
    <w:qFormat/>
    <w:uiPriority w:val="0"/>
    <w:pPr>
      <w:snapToGrid w:val="0"/>
      <w:spacing w:line="160" w:lineRule="atLeast"/>
      <w:jc w:val="center"/>
    </w:pPr>
    <w:rPr>
      <w:rFonts w:eastAsia="仿宋_GB2312"/>
      <w:szCs w:val="20"/>
    </w:rPr>
  </w:style>
  <w:style w:type="paragraph" w:customStyle="1" w:styleId="286">
    <w:name w:val="表格内正文 Char Char1"/>
    <w:basedOn w:val="1"/>
    <w:qFormat/>
    <w:uiPriority w:val="0"/>
    <w:pPr>
      <w:spacing w:line="360" w:lineRule="auto"/>
      <w:ind w:firstLine="493"/>
    </w:pPr>
    <w:rPr>
      <w:rFonts w:ascii="宋体" w:hAnsi="宋体"/>
      <w:spacing w:val="4"/>
      <w:kern w:val="18"/>
      <w:sz w:val="24"/>
    </w:rPr>
  </w:style>
  <w:style w:type="paragraph" w:customStyle="1" w:styleId="287">
    <w:name w:val="txt"/>
    <w:basedOn w:val="1"/>
    <w:qFormat/>
    <w:uiPriority w:val="0"/>
    <w:pPr>
      <w:widowControl/>
      <w:spacing w:line="288" w:lineRule="auto"/>
      <w:jc w:val="left"/>
    </w:pPr>
    <w:rPr>
      <w:rFonts w:ascii="宋体" w:hAnsi="宋体" w:cs="宋体"/>
      <w:kern w:val="0"/>
      <w:sz w:val="24"/>
    </w:rPr>
  </w:style>
  <w:style w:type="character" w:customStyle="1" w:styleId="288">
    <w:name w:val="表格 Char Char Char Char"/>
    <w:qFormat/>
    <w:uiPriority w:val="0"/>
    <w:rPr>
      <w:rFonts w:eastAsia="宋体"/>
      <w:kern w:val="2"/>
      <w:sz w:val="24"/>
      <w:szCs w:val="24"/>
      <w:lang w:val="en-US" w:eastAsia="zh-CN" w:bidi="ar-SA"/>
    </w:rPr>
  </w:style>
  <w:style w:type="paragraph" w:customStyle="1" w:styleId="289">
    <w:name w:val="默认段落字体 Char Char Char"/>
    <w:basedOn w:val="1"/>
    <w:qFormat/>
    <w:uiPriority w:val="0"/>
    <w:rPr>
      <w:sz w:val="24"/>
    </w:rPr>
  </w:style>
  <w:style w:type="paragraph" w:customStyle="1" w:styleId="290">
    <w:name w:val="Char"/>
    <w:basedOn w:val="1"/>
    <w:qFormat/>
    <w:uiPriority w:val="0"/>
  </w:style>
  <w:style w:type="paragraph" w:customStyle="1" w:styleId="291">
    <w:name w:val="表格式"/>
    <w:basedOn w:val="29"/>
    <w:qFormat/>
    <w:uiPriority w:val="0"/>
    <w:pPr>
      <w:spacing w:before="80"/>
      <w:ind w:left="0" w:firstLine="0" w:firstLineChars="0"/>
      <w:jc w:val="center"/>
    </w:pPr>
    <w:rPr>
      <w:b/>
      <w:bCs/>
      <w:color w:val="000000"/>
      <w:szCs w:val="20"/>
    </w:rPr>
  </w:style>
  <w:style w:type="paragraph" w:customStyle="1" w:styleId="292">
    <w:name w:val="报告正文"/>
    <w:basedOn w:val="1"/>
    <w:link w:val="293"/>
    <w:qFormat/>
    <w:uiPriority w:val="0"/>
    <w:pPr>
      <w:spacing w:line="360" w:lineRule="auto"/>
      <w:ind w:firstLine="482"/>
    </w:pPr>
    <w:rPr>
      <w:sz w:val="24"/>
    </w:rPr>
  </w:style>
  <w:style w:type="character" w:customStyle="1" w:styleId="293">
    <w:name w:val="报告正文 Char"/>
    <w:link w:val="292"/>
    <w:qFormat/>
    <w:uiPriority w:val="0"/>
    <w:rPr>
      <w:rFonts w:ascii="Times New Roman" w:hAnsi="Times New Roman" w:eastAsia="宋体" w:cs="Times New Roman"/>
      <w:sz w:val="24"/>
      <w:szCs w:val="24"/>
    </w:rPr>
  </w:style>
  <w:style w:type="paragraph" w:customStyle="1" w:styleId="294">
    <w:name w:val="正文01"/>
    <w:basedOn w:val="1"/>
    <w:link w:val="295"/>
    <w:qFormat/>
    <w:uiPriority w:val="0"/>
    <w:pPr>
      <w:spacing w:before="60" w:line="460" w:lineRule="exact"/>
      <w:ind w:firstLine="200" w:firstLineChars="200"/>
    </w:pPr>
    <w:rPr>
      <w:bCs/>
      <w:sz w:val="24"/>
    </w:rPr>
  </w:style>
  <w:style w:type="character" w:customStyle="1" w:styleId="295">
    <w:name w:val="正文01 Char"/>
    <w:link w:val="294"/>
    <w:qFormat/>
    <w:uiPriority w:val="0"/>
    <w:rPr>
      <w:rFonts w:ascii="Times New Roman" w:hAnsi="Times New Roman" w:eastAsia="宋体" w:cs="Times New Roman"/>
      <w:bCs/>
      <w:sz w:val="24"/>
      <w:szCs w:val="24"/>
    </w:rPr>
  </w:style>
  <w:style w:type="paragraph" w:customStyle="1" w:styleId="296">
    <w:name w:val="正文-RED"/>
    <w:link w:val="297"/>
    <w:qFormat/>
    <w:uiPriority w:val="0"/>
    <w:pPr>
      <w:spacing w:line="360" w:lineRule="auto"/>
      <w:ind w:firstLine="420"/>
    </w:pPr>
    <w:rPr>
      <w:rFonts w:ascii="Times New Roman" w:hAnsi="Times New Roman" w:eastAsia="宋体" w:cs="Times New Roman"/>
      <w:kern w:val="2"/>
      <w:sz w:val="24"/>
      <w:szCs w:val="22"/>
      <w:lang w:val="en-US" w:eastAsia="zh-CN" w:bidi="ar-SA"/>
    </w:rPr>
  </w:style>
  <w:style w:type="character" w:customStyle="1" w:styleId="297">
    <w:name w:val="正文-RED Char"/>
    <w:link w:val="296"/>
    <w:qFormat/>
    <w:uiPriority w:val="0"/>
    <w:rPr>
      <w:rFonts w:ascii="Times New Roman" w:hAnsi="Times New Roman" w:eastAsia="宋体" w:cs="Times New Roman"/>
      <w:sz w:val="24"/>
    </w:rPr>
  </w:style>
  <w:style w:type="paragraph" w:customStyle="1" w:styleId="298">
    <w:name w:val="正文-XK"/>
    <w:basedOn w:val="1"/>
    <w:link w:val="299"/>
    <w:qFormat/>
    <w:uiPriority w:val="0"/>
    <w:pPr>
      <w:spacing w:line="360" w:lineRule="auto"/>
      <w:ind w:firstLine="177" w:firstLineChars="177"/>
    </w:pPr>
    <w:rPr>
      <w:rFonts w:ascii="宋体" w:hAnsi="宋体"/>
      <w:sz w:val="24"/>
    </w:rPr>
  </w:style>
  <w:style w:type="character" w:customStyle="1" w:styleId="299">
    <w:name w:val="正文-XK Char"/>
    <w:link w:val="298"/>
    <w:qFormat/>
    <w:uiPriority w:val="0"/>
    <w:rPr>
      <w:rFonts w:ascii="宋体" w:hAnsi="宋体" w:eastAsia="宋体" w:cs="Times New Roman"/>
      <w:sz w:val="24"/>
      <w:szCs w:val="24"/>
    </w:rPr>
  </w:style>
  <w:style w:type="paragraph" w:styleId="30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宗兴正文"/>
    <w:basedOn w:val="1"/>
    <w:link w:val="302"/>
    <w:qFormat/>
    <w:uiPriority w:val="0"/>
    <w:pPr>
      <w:adjustRightInd w:val="0"/>
      <w:snapToGrid w:val="0"/>
      <w:spacing w:line="360" w:lineRule="auto"/>
      <w:ind w:firstLine="480" w:firstLineChars="200"/>
      <w:jc w:val="left"/>
    </w:pPr>
    <w:rPr>
      <w:kern w:val="0"/>
      <w:sz w:val="24"/>
    </w:rPr>
  </w:style>
  <w:style w:type="character" w:customStyle="1" w:styleId="302">
    <w:name w:val="宗兴正文 Char"/>
    <w:link w:val="301"/>
    <w:qFormat/>
    <w:uiPriority w:val="0"/>
    <w:rPr>
      <w:rFonts w:ascii="Times New Roman" w:hAnsi="Times New Roman" w:eastAsia="宋体" w:cs="Times New Roman"/>
      <w:kern w:val="0"/>
      <w:sz w:val="24"/>
      <w:szCs w:val="24"/>
    </w:rPr>
  </w:style>
  <w:style w:type="character" w:customStyle="1" w:styleId="303">
    <w:name w:val="表头 Char Char"/>
    <w:qFormat/>
    <w:uiPriority w:val="0"/>
    <w:rPr>
      <w:rFonts w:hint="eastAsia" w:ascii="宋体" w:eastAsia="宋体"/>
      <w:snapToGrid/>
      <w:spacing w:val="4"/>
      <w:kern w:val="18"/>
      <w:sz w:val="24"/>
      <w:lang w:val="en-US" w:eastAsia="zh-CN"/>
    </w:rPr>
  </w:style>
  <w:style w:type="paragraph" w:customStyle="1" w:styleId="304">
    <w:name w:val="表格文字"/>
    <w:basedOn w:val="1"/>
    <w:qFormat/>
    <w:uiPriority w:val="0"/>
    <w:pPr>
      <w:spacing w:line="360" w:lineRule="auto"/>
      <w:jc w:val="center"/>
    </w:pPr>
    <w:rPr>
      <w:rFonts w:ascii="宋体" w:hAnsi="宋体" w:eastAsia="仿宋_GB2312" w:cs="黑体"/>
      <w:kern w:val="44"/>
      <w:sz w:val="24"/>
      <w:szCs w:val="20"/>
    </w:rPr>
  </w:style>
  <w:style w:type="character" w:customStyle="1" w:styleId="305">
    <w:name w:val="4 Char Char"/>
    <w:link w:val="306"/>
    <w:qFormat/>
    <w:uiPriority w:val="0"/>
    <w:rPr>
      <w:rFonts w:ascii="宋体" w:hAnsi="宋体"/>
      <w:sz w:val="28"/>
      <w:szCs w:val="24"/>
    </w:rPr>
  </w:style>
  <w:style w:type="paragraph" w:customStyle="1" w:styleId="306">
    <w:name w:val="4"/>
    <w:basedOn w:val="1"/>
    <w:link w:val="305"/>
    <w:qFormat/>
    <w:uiPriority w:val="0"/>
    <w:pPr>
      <w:spacing w:line="360" w:lineRule="auto"/>
      <w:ind w:firstLine="601"/>
    </w:pPr>
    <w:rPr>
      <w:rFonts w:ascii="宋体" w:hAnsi="宋体" w:eastAsiaTheme="minorEastAsia" w:cstheme="minorBidi"/>
      <w:sz w:val="28"/>
    </w:rPr>
  </w:style>
  <w:style w:type="character" w:customStyle="1" w:styleId="307">
    <w:name w:val="正文1 Char Char"/>
    <w:qFormat/>
    <w:uiPriority w:val="0"/>
    <w:rPr>
      <w:rFonts w:ascii="宋体" w:hAnsi="宋体"/>
      <w:snapToGrid/>
      <w:sz w:val="24"/>
      <w:szCs w:val="24"/>
    </w:rPr>
  </w:style>
  <w:style w:type="character" w:customStyle="1" w:styleId="308">
    <w:name w:val="postbody1"/>
    <w:qFormat/>
    <w:uiPriority w:val="0"/>
    <w:rPr>
      <w:sz w:val="21"/>
      <w:szCs w:val="21"/>
    </w:rPr>
  </w:style>
  <w:style w:type="character" w:customStyle="1" w:styleId="309">
    <w:name w:val="正文首行缩进 2 Char1"/>
    <w:qFormat/>
    <w:uiPriority w:val="0"/>
    <w:rPr>
      <w:kern w:val="2"/>
      <w:sz w:val="21"/>
    </w:rPr>
  </w:style>
  <w:style w:type="paragraph" w:customStyle="1" w:styleId="310">
    <w:name w:val="正文（YHY-GDB)"/>
    <w:basedOn w:val="1"/>
    <w:qFormat/>
    <w:uiPriority w:val="0"/>
    <w:pPr>
      <w:adjustRightInd w:val="0"/>
      <w:spacing w:beforeLines="50" w:afterLines="50" w:line="360" w:lineRule="auto"/>
      <w:ind w:firstLine="200" w:firstLineChars="200"/>
      <w:textAlignment w:val="baseline"/>
    </w:pPr>
    <w:rPr>
      <w:rFonts w:eastAsia="Times New Roman"/>
      <w:kern w:val="0"/>
      <w:sz w:val="24"/>
      <w:szCs w:val="20"/>
    </w:rPr>
  </w:style>
  <w:style w:type="paragraph" w:customStyle="1" w:styleId="311">
    <w:name w:val="正文（77）"/>
    <w:qFormat/>
    <w:uiPriority w:val="0"/>
    <w:pPr>
      <w:spacing w:line="360" w:lineRule="auto"/>
      <w:ind w:firstLine="480" w:firstLineChars="200"/>
      <w:jc w:val="both"/>
    </w:pPr>
    <w:rPr>
      <w:rFonts w:ascii="Times New Roman" w:hAnsi="Times New Roman" w:eastAsia="楷体_GB2312" w:cs="宋体"/>
      <w:kern w:val="2"/>
      <w:sz w:val="24"/>
      <w:lang w:val="en-US" w:eastAsia="zh-CN" w:bidi="ar-SA"/>
    </w:rPr>
  </w:style>
  <w:style w:type="paragraph" w:customStyle="1" w:styleId="312">
    <w:name w:val="表格内文字"/>
    <w:basedOn w:val="141"/>
    <w:link w:val="313"/>
    <w:qFormat/>
    <w:uiPriority w:val="0"/>
    <w:pPr>
      <w:adjustRightInd w:val="0"/>
      <w:snapToGrid w:val="0"/>
    </w:pPr>
    <w:rPr>
      <w:rFonts w:ascii="Times New Roman" w:eastAsia="等线"/>
      <w:kern w:val="18"/>
      <w:sz w:val="21"/>
      <w:szCs w:val="20"/>
    </w:rPr>
  </w:style>
  <w:style w:type="character" w:customStyle="1" w:styleId="313">
    <w:name w:val="表格内文字 Char"/>
    <w:link w:val="312"/>
    <w:qFormat/>
    <w:uiPriority w:val="0"/>
    <w:rPr>
      <w:rFonts w:ascii="Times New Roman" w:eastAsia="等线"/>
      <w:spacing w:val="4"/>
      <w:kern w:val="18"/>
      <w:sz w:val="21"/>
    </w:rPr>
  </w:style>
  <w:style w:type="paragraph" w:customStyle="1" w:styleId="314">
    <w:name w:val="表头表格"/>
    <w:basedOn w:val="1"/>
    <w:qFormat/>
    <w:uiPriority w:val="0"/>
    <w:pPr>
      <w:snapToGrid w:val="0"/>
      <w:spacing w:beforeLines="50" w:line="360" w:lineRule="auto"/>
      <w:jc w:val="center"/>
    </w:pPr>
    <w:rPr>
      <w:b/>
      <w:bCs/>
      <w:color w:val="000000"/>
      <w:szCs w:val="21"/>
    </w:rPr>
  </w:style>
  <w:style w:type="paragraph" w:customStyle="1" w:styleId="315">
    <w:name w:val="环科院正文"/>
    <w:basedOn w:val="1"/>
    <w:qFormat/>
    <w:uiPriority w:val="99"/>
    <w:pPr>
      <w:adjustRightInd w:val="0"/>
      <w:snapToGrid w:val="0"/>
      <w:spacing w:line="360" w:lineRule="auto"/>
      <w:ind w:firstLine="480" w:firstLineChars="200"/>
      <w:textAlignment w:val="baseline"/>
    </w:pPr>
    <w:rPr>
      <w:kern w:val="0"/>
      <w:sz w:val="24"/>
      <w:szCs w:val="20"/>
    </w:rPr>
  </w:style>
  <w:style w:type="character" w:customStyle="1" w:styleId="316">
    <w:name w:val="正文20110920 Char"/>
    <w:link w:val="317"/>
    <w:qFormat/>
    <w:uiPriority w:val="0"/>
    <w:rPr>
      <w:rFonts w:cs="宋体"/>
      <w:color w:val="000000"/>
      <w:sz w:val="24"/>
      <w:szCs w:val="24"/>
    </w:rPr>
  </w:style>
  <w:style w:type="paragraph" w:customStyle="1" w:styleId="317">
    <w:name w:val="正文20110920"/>
    <w:basedOn w:val="1"/>
    <w:link w:val="316"/>
    <w:qFormat/>
    <w:uiPriority w:val="0"/>
    <w:pPr>
      <w:spacing w:line="360" w:lineRule="auto"/>
      <w:ind w:firstLine="480" w:firstLineChars="200"/>
    </w:pPr>
    <w:rPr>
      <w:rFonts w:cs="宋体" w:asciiTheme="minorHAnsi" w:hAnsiTheme="minorHAnsi" w:eastAsiaTheme="minorEastAsia"/>
      <w:color w:val="000000"/>
      <w:sz w:val="24"/>
    </w:rPr>
  </w:style>
  <w:style w:type="character" w:customStyle="1" w:styleId="318">
    <w:name w:val="表格内正文 Char2"/>
    <w:qFormat/>
    <w:uiPriority w:val="0"/>
    <w:rPr>
      <w:rFonts w:ascii="宋体" w:hAnsi="宋体" w:eastAsia="宋体"/>
      <w:spacing w:val="4"/>
      <w:kern w:val="18"/>
      <w:sz w:val="24"/>
      <w:szCs w:val="24"/>
      <w:lang w:val="en-US" w:eastAsia="zh-CN" w:bidi="ar-SA"/>
    </w:rPr>
  </w:style>
  <w:style w:type="paragraph" w:customStyle="1" w:styleId="319">
    <w:name w:val="文本"/>
    <w:basedOn w:val="1"/>
    <w:link w:val="320"/>
    <w:qFormat/>
    <w:uiPriority w:val="0"/>
    <w:pPr>
      <w:spacing w:line="360" w:lineRule="auto"/>
      <w:ind w:firstLine="480" w:firstLineChars="200"/>
    </w:pPr>
    <w:rPr>
      <w:sz w:val="24"/>
      <w:szCs w:val="20"/>
    </w:rPr>
  </w:style>
  <w:style w:type="character" w:customStyle="1" w:styleId="320">
    <w:name w:val="文本 Char"/>
    <w:link w:val="319"/>
    <w:qFormat/>
    <w:uiPriority w:val="0"/>
    <w:rPr>
      <w:rFonts w:ascii="Times New Roman" w:hAnsi="Times New Roman" w:eastAsia="宋体" w:cs="Times New Roman"/>
      <w:sz w:val="24"/>
      <w:szCs w:val="20"/>
    </w:rPr>
  </w:style>
  <w:style w:type="character" w:customStyle="1" w:styleId="321">
    <w:name w:val="font21"/>
    <w:qFormat/>
    <w:uiPriority w:val="0"/>
    <w:rPr>
      <w:rFonts w:hint="default" w:ascii="Times New Roman" w:hAnsi="Times New Roman" w:cs="Times New Roman"/>
      <w:color w:val="000000"/>
      <w:sz w:val="18"/>
      <w:szCs w:val="18"/>
      <w:u w:val="none"/>
    </w:rPr>
  </w:style>
  <w:style w:type="character" w:customStyle="1" w:styleId="322">
    <w:name w:val="表格内正文 Char Char"/>
    <w:qFormat/>
    <w:uiPriority w:val="0"/>
    <w:rPr>
      <w:rFonts w:ascii="宋体" w:hAnsi="宋体" w:eastAsia="宋体"/>
      <w:spacing w:val="4"/>
      <w:kern w:val="18"/>
      <w:sz w:val="24"/>
      <w:szCs w:val="24"/>
    </w:rPr>
  </w:style>
  <w:style w:type="character" w:customStyle="1" w:styleId="323">
    <w:name w:val="报告 Char"/>
    <w:qFormat/>
    <w:uiPriority w:val="0"/>
    <w:rPr>
      <w:sz w:val="24"/>
    </w:rPr>
  </w:style>
  <w:style w:type="character" w:customStyle="1" w:styleId="324">
    <w:name w:val="font31"/>
    <w:qFormat/>
    <w:uiPriority w:val="0"/>
    <w:rPr>
      <w:rFonts w:hint="default" w:ascii="Arial" w:hAnsi="Arial" w:eastAsia="宋体" w:cs="Arial"/>
      <w:color w:val="000000"/>
      <w:sz w:val="21"/>
      <w:szCs w:val="21"/>
      <w:u w:val="none"/>
    </w:rPr>
  </w:style>
  <w:style w:type="character" w:customStyle="1" w:styleId="325">
    <w:name w:val="表题 Char"/>
    <w:link w:val="326"/>
    <w:qFormat/>
    <w:locked/>
    <w:uiPriority w:val="0"/>
    <w:rPr>
      <w:rFonts w:eastAsia="Times New Roman"/>
      <w:b/>
      <w:kern w:val="2"/>
      <w:sz w:val="24"/>
      <w:szCs w:val="24"/>
    </w:rPr>
  </w:style>
  <w:style w:type="paragraph" w:customStyle="1" w:styleId="326">
    <w:name w:val="表题"/>
    <w:basedOn w:val="134"/>
    <w:link w:val="325"/>
    <w:qFormat/>
    <w:uiPriority w:val="0"/>
    <w:pPr>
      <w:ind w:left="420" w:firstLine="0" w:firstLineChars="0"/>
      <w:jc w:val="center"/>
    </w:pPr>
    <w:rPr>
      <w:rFonts w:eastAsia="Times New Roman" w:asciiTheme="minorHAnsi" w:hAnsiTheme="minorHAnsi" w:cstheme="minorBidi"/>
      <w:b/>
      <w:sz w:val="24"/>
      <w:szCs w:val="24"/>
    </w:rPr>
  </w:style>
  <w:style w:type="paragraph" w:customStyle="1" w:styleId="327">
    <w:name w:val="表头+times new roma"/>
    <w:basedOn w:val="1"/>
    <w:qFormat/>
    <w:uiPriority w:val="0"/>
    <w:pPr>
      <w:spacing w:line="360" w:lineRule="auto"/>
      <w:ind w:firstLine="200" w:firstLineChars="200"/>
    </w:pPr>
    <w:rPr>
      <w:rFonts w:cs="宋体"/>
      <w:sz w:val="24"/>
    </w:rPr>
  </w:style>
  <w:style w:type="character" w:customStyle="1" w:styleId="328">
    <w:name w:val="表格标题标题 Char"/>
    <w:qFormat/>
    <w:locked/>
    <w:uiPriority w:val="0"/>
    <w:rPr>
      <w:b/>
      <w:kern w:val="18"/>
      <w:sz w:val="24"/>
      <w:lang w:bidi="ar-SA"/>
    </w:rPr>
  </w:style>
  <w:style w:type="character" w:customStyle="1" w:styleId="329">
    <w:name w:val="06F图名表名 Char"/>
    <w:link w:val="330"/>
    <w:qFormat/>
    <w:uiPriority w:val="0"/>
    <w:rPr>
      <w:b/>
    </w:rPr>
  </w:style>
  <w:style w:type="paragraph" w:customStyle="1" w:styleId="330">
    <w:name w:val="06F图名表名"/>
    <w:basedOn w:val="331"/>
    <w:next w:val="331"/>
    <w:link w:val="329"/>
    <w:qFormat/>
    <w:uiPriority w:val="0"/>
    <w:rPr>
      <w:rFonts w:asciiTheme="minorHAnsi" w:hAnsiTheme="minorHAnsi" w:eastAsiaTheme="minorEastAsia" w:cstheme="minorBidi"/>
      <w:b/>
      <w:szCs w:val="22"/>
    </w:rPr>
  </w:style>
  <w:style w:type="paragraph" w:customStyle="1" w:styleId="331">
    <w:name w:val="07F表格文字"/>
    <w:basedOn w:val="1"/>
    <w:next w:val="1"/>
    <w:qFormat/>
    <w:uiPriority w:val="0"/>
    <w:pPr>
      <w:jc w:val="center"/>
    </w:pPr>
    <w:rPr>
      <w:szCs w:val="21"/>
    </w:rPr>
  </w:style>
  <w:style w:type="character" w:customStyle="1" w:styleId="332">
    <w:name w:val="05F凡式正文 Char"/>
    <w:link w:val="333"/>
    <w:qFormat/>
    <w:uiPriority w:val="0"/>
    <w:rPr>
      <w:sz w:val="24"/>
    </w:rPr>
  </w:style>
  <w:style w:type="paragraph" w:customStyle="1" w:styleId="333">
    <w:name w:val="05F凡式正文"/>
    <w:basedOn w:val="1"/>
    <w:link w:val="332"/>
    <w:qFormat/>
    <w:uiPriority w:val="0"/>
    <w:pPr>
      <w:spacing w:line="360" w:lineRule="auto"/>
      <w:ind w:firstLine="720" w:firstLineChars="200"/>
    </w:pPr>
    <w:rPr>
      <w:rFonts w:asciiTheme="minorHAnsi" w:hAnsiTheme="minorHAnsi" w:eastAsiaTheme="minorEastAsia" w:cstheme="minorBidi"/>
      <w:sz w:val="24"/>
      <w:szCs w:val="22"/>
    </w:rPr>
  </w:style>
  <w:style w:type="character" w:customStyle="1" w:styleId="334">
    <w:name w:val="正文文本2"/>
    <w:qFormat/>
    <w:uiPriority w:val="0"/>
    <w:rPr>
      <w:rFonts w:ascii="MingLiU" w:hAnsi="MingLiU" w:eastAsia="MingLiU" w:cs="MingLiU"/>
      <w:color w:val="000000"/>
      <w:spacing w:val="0"/>
      <w:w w:val="100"/>
      <w:position w:val="0"/>
      <w:sz w:val="19"/>
      <w:szCs w:val="19"/>
      <w:shd w:val="clear" w:color="auto" w:fill="FFFFFF"/>
      <w:lang w:val="zh-TW"/>
    </w:rPr>
  </w:style>
  <w:style w:type="character" w:customStyle="1" w:styleId="335">
    <w:name w:val="font11"/>
    <w:qFormat/>
    <w:uiPriority w:val="0"/>
    <w:rPr>
      <w:rFonts w:hint="default" w:ascii="仿宋_GB2312" w:eastAsia="仿宋_GB2312" w:cs="仿宋_GB2312"/>
      <w:b/>
      <w:color w:val="000000"/>
      <w:sz w:val="18"/>
      <w:szCs w:val="18"/>
      <w:u w:val="none"/>
      <w:vertAlign w:val="subscript"/>
    </w:rPr>
  </w:style>
  <w:style w:type="paragraph" w:customStyle="1" w:styleId="336">
    <w:name w:val="1文章"/>
    <w:basedOn w:val="1"/>
    <w:qFormat/>
    <w:uiPriority w:val="0"/>
    <w:pPr>
      <w:snapToGrid w:val="0"/>
      <w:spacing w:line="360" w:lineRule="auto"/>
      <w:ind w:firstLine="573"/>
    </w:pPr>
    <w:rPr>
      <w:rFonts w:eastAsia="仿宋_GB2312"/>
      <w:sz w:val="28"/>
    </w:rPr>
  </w:style>
  <w:style w:type="paragraph" w:customStyle="1" w:styleId="337">
    <w:name w:val="楷体"/>
    <w:basedOn w:val="1"/>
    <w:qFormat/>
    <w:uiPriority w:val="0"/>
    <w:pPr>
      <w:spacing w:line="360" w:lineRule="auto"/>
      <w:ind w:firstLine="640" w:firstLineChars="200"/>
    </w:pPr>
    <w:rPr>
      <w:rFonts w:eastAsia="楷体"/>
      <w:sz w:val="24"/>
    </w:rPr>
  </w:style>
  <w:style w:type="paragraph" w:customStyle="1" w:styleId="338">
    <w:name w:val="xl37"/>
    <w:basedOn w:val="1"/>
    <w:qFormat/>
    <w:uiPriority w:val="0"/>
    <w:pPr>
      <w:widowControl/>
      <w:spacing w:before="100" w:beforeAutospacing="1" w:after="100" w:afterAutospacing="1"/>
      <w:jc w:val="center"/>
    </w:pPr>
    <w:rPr>
      <w:rFonts w:ascii="宋体" w:hAnsi="宋体"/>
      <w:kern w:val="0"/>
      <w:sz w:val="24"/>
    </w:rPr>
  </w:style>
  <w:style w:type="paragraph" w:customStyle="1" w:styleId="339">
    <w:name w:val="D表内"/>
    <w:basedOn w:val="340"/>
    <w:semiHidden/>
    <w:qFormat/>
    <w:uiPriority w:val="0"/>
    <w:pPr>
      <w:spacing w:before="40" w:after="40"/>
    </w:pPr>
  </w:style>
  <w:style w:type="paragraph" w:customStyle="1" w:styleId="340">
    <w:name w:val="图表"/>
    <w:basedOn w:val="1"/>
    <w:semiHidden/>
    <w:qFormat/>
    <w:uiPriority w:val="0"/>
    <w:pPr>
      <w:spacing w:before="120" w:after="120"/>
      <w:jc w:val="center"/>
    </w:pPr>
    <w:rPr>
      <w:szCs w:val="21"/>
    </w:rPr>
  </w:style>
  <w:style w:type="paragraph" w:customStyle="1" w:styleId="341">
    <w:name w:val="正文样式"/>
    <w:basedOn w:val="1"/>
    <w:qFormat/>
    <w:uiPriority w:val="0"/>
    <w:pPr>
      <w:spacing w:line="360" w:lineRule="auto"/>
      <w:ind w:right="170" w:firstLine="480" w:firstLineChars="200"/>
    </w:pPr>
    <w:rPr>
      <w:rFonts w:hAnsi="宋体"/>
      <w:sz w:val="24"/>
    </w:rPr>
  </w:style>
  <w:style w:type="paragraph" w:customStyle="1" w:styleId="342">
    <w:name w:val="样式 小四 黑色 行距: 固定值 26 磅"/>
    <w:basedOn w:val="1"/>
    <w:qFormat/>
    <w:uiPriority w:val="0"/>
    <w:pPr>
      <w:spacing w:line="520" w:lineRule="exact"/>
      <w:ind w:firstLine="509" w:firstLineChars="202"/>
    </w:pPr>
    <w:rPr>
      <w:color w:val="000000"/>
      <w:spacing w:val="6"/>
      <w:sz w:val="24"/>
    </w:rPr>
  </w:style>
  <w:style w:type="paragraph" w:customStyle="1" w:styleId="34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44">
    <w:name w:val="表2内容"/>
    <w:basedOn w:val="1"/>
    <w:qFormat/>
    <w:uiPriority w:val="0"/>
    <w:pPr>
      <w:spacing w:line="240" w:lineRule="exact"/>
      <w:jc w:val="center"/>
    </w:pPr>
    <w:rPr>
      <w:sz w:val="18"/>
    </w:rPr>
  </w:style>
  <w:style w:type="paragraph" w:customStyle="1" w:styleId="345">
    <w:name w:val="正文文本 23"/>
    <w:basedOn w:val="1"/>
    <w:qFormat/>
    <w:uiPriority w:val="0"/>
    <w:pPr>
      <w:jc w:val="center"/>
    </w:pPr>
    <w:rPr>
      <w:sz w:val="24"/>
    </w:rPr>
  </w:style>
  <w:style w:type="paragraph" w:customStyle="1" w:styleId="346">
    <w:name w:val="六表内容"/>
    <w:basedOn w:val="1"/>
    <w:qFormat/>
    <w:uiPriority w:val="0"/>
    <w:pPr>
      <w:spacing w:line="340" w:lineRule="exact"/>
      <w:jc w:val="center"/>
    </w:pPr>
    <w:rPr>
      <w:rFonts w:ascii="Calibri" w:hAnsi="Calibri"/>
      <w:szCs w:val="21"/>
    </w:rPr>
  </w:style>
  <w:style w:type="paragraph" w:customStyle="1" w:styleId="347">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48">
    <w:name w:val="正文文本5"/>
    <w:basedOn w:val="1"/>
    <w:qFormat/>
    <w:uiPriority w:val="0"/>
    <w:pPr>
      <w:shd w:val="clear" w:color="auto" w:fill="FFFFFF"/>
      <w:spacing w:after="960" w:line="0" w:lineRule="atLeast"/>
      <w:jc w:val="center"/>
    </w:pPr>
    <w:rPr>
      <w:rFonts w:ascii="MingLiU" w:hAnsi="MingLiU" w:eastAsia="MingLiU"/>
      <w:sz w:val="19"/>
      <w:szCs w:val="19"/>
    </w:rPr>
  </w:style>
  <w:style w:type="paragraph" w:customStyle="1" w:styleId="349">
    <w:name w:val="正文文本 212"/>
    <w:basedOn w:val="1"/>
    <w:qFormat/>
    <w:uiPriority w:val="0"/>
    <w:pPr>
      <w:jc w:val="center"/>
    </w:pPr>
    <w:rPr>
      <w:sz w:val="24"/>
    </w:rPr>
  </w:style>
  <w:style w:type="paragraph" w:customStyle="1" w:styleId="350">
    <w:name w:val="表格中文字0705"/>
    <w:basedOn w:val="1"/>
    <w:qFormat/>
    <w:uiPriority w:val="0"/>
    <w:pPr>
      <w:snapToGrid w:val="0"/>
      <w:jc w:val="center"/>
    </w:pPr>
    <w:rPr>
      <w:color w:val="000000"/>
      <w:kern w:val="18"/>
      <w:szCs w:val="21"/>
    </w:rPr>
  </w:style>
  <w:style w:type="paragraph" w:customStyle="1" w:styleId="351">
    <w:name w:val="表格字体"/>
    <w:basedOn w:val="1"/>
    <w:qFormat/>
    <w:uiPriority w:val="0"/>
    <w:pPr>
      <w:spacing w:line="240" w:lineRule="exact"/>
      <w:jc w:val="center"/>
    </w:pPr>
    <w:rPr>
      <w:rFonts w:ascii="Calibri" w:hAnsi="Calibri"/>
      <w:sz w:val="18"/>
      <w:szCs w:val="21"/>
      <w:lang w:val="zh-CN"/>
    </w:rPr>
  </w:style>
  <w:style w:type="paragraph" w:customStyle="1" w:styleId="352">
    <w:name w:val="Char Char Char Char Char Char Char Char Char Char Char Char Char Char Char Char Char Char Char"/>
    <w:basedOn w:val="1"/>
    <w:qFormat/>
    <w:uiPriority w:val="0"/>
    <w:rPr>
      <w:rFonts w:ascii="Calibri" w:hAnsi="Calibri"/>
      <w:kern w:val="0"/>
      <w:sz w:val="28"/>
    </w:rPr>
  </w:style>
  <w:style w:type="paragraph" w:customStyle="1" w:styleId="353">
    <w:name w:val="报告书表格"/>
    <w:basedOn w:val="1"/>
    <w:qFormat/>
    <w:uiPriority w:val="0"/>
    <w:pPr>
      <w:adjustRightInd w:val="0"/>
      <w:spacing w:before="60" w:after="60" w:line="240" w:lineRule="atLeast"/>
      <w:jc w:val="center"/>
      <w:textAlignment w:val="baseline"/>
    </w:pPr>
    <w:rPr>
      <w:rFonts w:ascii="Calibri" w:hAnsi="Calibri"/>
      <w:kern w:val="0"/>
      <w:szCs w:val="20"/>
    </w:rPr>
  </w:style>
  <w:style w:type="paragraph" w:customStyle="1" w:styleId="354">
    <w:name w:val="R22表格"/>
    <w:basedOn w:val="1"/>
    <w:link w:val="355"/>
    <w:qFormat/>
    <w:uiPriority w:val="99"/>
    <w:pPr>
      <w:autoSpaceDE w:val="0"/>
      <w:autoSpaceDN w:val="0"/>
      <w:adjustRightInd w:val="0"/>
      <w:jc w:val="center"/>
    </w:pPr>
    <w:rPr>
      <w:color w:val="000000"/>
      <w:kern w:val="0"/>
      <w:szCs w:val="21"/>
      <w:lang w:val="zh-CN"/>
    </w:rPr>
  </w:style>
  <w:style w:type="character" w:customStyle="1" w:styleId="355">
    <w:name w:val="R22表格 Char"/>
    <w:link w:val="354"/>
    <w:qFormat/>
    <w:uiPriority w:val="99"/>
    <w:rPr>
      <w:rFonts w:ascii="Times New Roman" w:hAnsi="Times New Roman" w:eastAsia="宋体" w:cs="Times New Roman"/>
      <w:color w:val="000000"/>
      <w:kern w:val="0"/>
      <w:szCs w:val="21"/>
      <w:lang w:val="zh-CN"/>
    </w:rPr>
  </w:style>
  <w:style w:type="paragraph" w:customStyle="1" w:styleId="356">
    <w:name w:val="正文 H"/>
    <w:basedOn w:val="1"/>
    <w:qFormat/>
    <w:uiPriority w:val="0"/>
    <w:pPr>
      <w:spacing w:line="360" w:lineRule="auto"/>
      <w:ind w:firstLine="200" w:firstLineChars="200"/>
    </w:pPr>
    <w:rPr>
      <w:snapToGrid w:val="0"/>
      <w:sz w:val="24"/>
      <w:szCs w:val="20"/>
    </w:rPr>
  </w:style>
  <w:style w:type="paragraph" w:customStyle="1" w:styleId="357">
    <w:name w:val="_Style 3"/>
    <w:basedOn w:val="1"/>
    <w:qFormat/>
    <w:uiPriority w:val="34"/>
    <w:pPr>
      <w:ind w:firstLine="420" w:firstLineChars="200"/>
    </w:pPr>
    <w:rPr>
      <w:szCs w:val="20"/>
    </w:rPr>
  </w:style>
  <w:style w:type="paragraph" w:customStyle="1" w:styleId="358">
    <w:name w:val="Document Map1"/>
    <w:basedOn w:val="1"/>
    <w:qFormat/>
    <w:uiPriority w:val="99"/>
    <w:pPr>
      <w:shd w:val="clear" w:color="auto" w:fill="000080"/>
      <w:adjustRightInd w:val="0"/>
    </w:pPr>
    <w:rPr>
      <w:rFonts w:ascii="宋体"/>
      <w:kern w:val="0"/>
      <w:szCs w:val="20"/>
    </w:rPr>
  </w:style>
  <w:style w:type="paragraph" w:customStyle="1" w:styleId="35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360">
    <w:name w:val="标题 41"/>
    <w:basedOn w:val="1"/>
    <w:next w:val="1"/>
    <w:qFormat/>
    <w:uiPriority w:val="0"/>
    <w:pPr>
      <w:keepNext/>
      <w:keepLines/>
      <w:spacing w:before="280" w:after="290" w:line="376" w:lineRule="auto"/>
      <w:ind w:left="1680" w:hanging="420"/>
      <w:outlineLvl w:val="3"/>
    </w:pPr>
    <w:rPr>
      <w:rFonts w:ascii="Arial" w:hAnsi="Arial" w:eastAsia="黑体"/>
      <w:b/>
      <w:sz w:val="28"/>
    </w:rPr>
  </w:style>
  <w:style w:type="paragraph" w:customStyle="1" w:styleId="361">
    <w:name w:val="0正文"/>
    <w:basedOn w:val="1"/>
    <w:qFormat/>
    <w:uiPriority w:val="0"/>
    <w:pPr>
      <w:widowControl/>
      <w:adjustRightInd w:val="0"/>
      <w:snapToGrid w:val="0"/>
      <w:spacing w:line="360" w:lineRule="auto"/>
      <w:ind w:firstLine="200" w:firstLineChars="200"/>
    </w:pPr>
    <w:rPr>
      <w:kern w:val="0"/>
      <w:sz w:val="24"/>
    </w:rPr>
  </w:style>
  <w:style w:type="paragraph" w:customStyle="1" w:styleId="362">
    <w:name w:val="1、"/>
    <w:basedOn w:val="134"/>
    <w:qFormat/>
    <w:uiPriority w:val="0"/>
    <w:pPr>
      <w:spacing w:line="360" w:lineRule="auto"/>
      <w:ind w:left="105" w:firstLine="0" w:firstLineChars="0"/>
    </w:pPr>
    <w:rPr>
      <w:b/>
      <w:sz w:val="24"/>
    </w:rPr>
  </w:style>
  <w:style w:type="paragraph" w:customStyle="1" w:styleId="363">
    <w:name w:val="0.5正文"/>
    <w:basedOn w:val="1"/>
    <w:next w:val="1"/>
    <w:qFormat/>
    <w:uiPriority w:val="0"/>
    <w:pPr>
      <w:adjustRightInd w:val="0"/>
      <w:spacing w:beforeLines="50" w:line="360" w:lineRule="auto"/>
      <w:ind w:firstLine="1040" w:firstLineChars="200"/>
      <w:jc w:val="left"/>
    </w:pPr>
    <w:rPr>
      <w:kern w:val="0"/>
      <w:sz w:val="24"/>
      <w:szCs w:val="20"/>
    </w:rPr>
  </w:style>
  <w:style w:type="paragraph" w:customStyle="1" w:styleId="364">
    <w:name w:val="样式 标题 2 + 三号1"/>
    <w:basedOn w:val="4"/>
    <w:next w:val="1"/>
    <w:qFormat/>
    <w:uiPriority w:val="99"/>
    <w:pPr>
      <w:keepLines w:val="0"/>
      <w:numPr>
        <w:ilvl w:val="1"/>
        <w:numId w:val="1"/>
      </w:numPr>
      <w:tabs>
        <w:tab w:val="left" w:pos="718"/>
        <w:tab w:val="clear" w:pos="576"/>
      </w:tabs>
      <w:adjustRightInd/>
      <w:spacing w:before="260" w:after="260" w:line="480" w:lineRule="auto"/>
      <w:ind w:left="718"/>
      <w:jc w:val="left"/>
      <w:textAlignment w:val="auto"/>
    </w:pPr>
    <w:rPr>
      <w:rFonts w:hAnsi="宋体" w:eastAsia="黑体"/>
      <w:kern w:val="0"/>
      <w:sz w:val="32"/>
      <w:szCs w:val="24"/>
    </w:rPr>
  </w:style>
  <w:style w:type="paragraph" w:customStyle="1" w:styleId="365">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366">
    <w:name w:val="font61"/>
    <w:qFormat/>
    <w:uiPriority w:val="0"/>
    <w:rPr>
      <w:rFonts w:hint="eastAsia" w:ascii="宋体" w:hAnsi="宋体" w:eastAsia="宋体" w:cs="宋体"/>
      <w:color w:val="000000"/>
      <w:sz w:val="21"/>
      <w:szCs w:val="21"/>
      <w:u w:val="none"/>
      <w:vertAlign w:val="superscript"/>
    </w:rPr>
  </w:style>
  <w:style w:type="character" w:customStyle="1" w:styleId="367">
    <w:name w:val="表格内正文 Char Char Char1"/>
    <w:qFormat/>
    <w:uiPriority w:val="0"/>
    <w:rPr>
      <w:rFonts w:ascii="宋体" w:hAnsi="宋体"/>
      <w:spacing w:val="4"/>
      <w:kern w:val="18"/>
      <w:sz w:val="24"/>
    </w:rPr>
  </w:style>
  <w:style w:type="character" w:customStyle="1" w:styleId="368">
    <w:name w:val="表格文本 Char"/>
    <w:link w:val="369"/>
    <w:qFormat/>
    <w:uiPriority w:val="0"/>
    <w:rPr>
      <w:szCs w:val="21"/>
    </w:rPr>
  </w:style>
  <w:style w:type="paragraph" w:customStyle="1" w:styleId="369">
    <w:name w:val="表格文本"/>
    <w:basedOn w:val="1"/>
    <w:link w:val="368"/>
    <w:qFormat/>
    <w:uiPriority w:val="0"/>
    <w:pPr>
      <w:adjustRightInd w:val="0"/>
      <w:snapToGrid w:val="0"/>
      <w:jc w:val="center"/>
    </w:pPr>
    <w:rPr>
      <w:rFonts w:asciiTheme="minorHAnsi" w:hAnsiTheme="minorHAnsi" w:eastAsiaTheme="minorEastAsia" w:cstheme="minorBidi"/>
      <w:kern w:val="0"/>
      <w:sz w:val="20"/>
      <w:szCs w:val="21"/>
    </w:rPr>
  </w:style>
  <w:style w:type="character" w:customStyle="1" w:styleId="370">
    <w:name w:val="font41"/>
    <w:qFormat/>
    <w:uiPriority w:val="0"/>
    <w:rPr>
      <w:rFonts w:hint="eastAsia" w:ascii="宋体" w:hAnsi="宋体" w:eastAsia="宋体" w:cs="宋体"/>
      <w:color w:val="000000"/>
      <w:sz w:val="21"/>
      <w:szCs w:val="21"/>
      <w:u w:val="none"/>
      <w:vertAlign w:val="superscript"/>
    </w:rPr>
  </w:style>
  <w:style w:type="paragraph" w:customStyle="1" w:styleId="371">
    <w:name w:val="表中文字"/>
    <w:basedOn w:val="1"/>
    <w:qFormat/>
    <w:uiPriority w:val="0"/>
    <w:pPr>
      <w:jc w:val="center"/>
    </w:pPr>
    <w:rPr>
      <w:rFonts w:ascii="宋体"/>
      <w:spacing w:val="4"/>
      <w:w w:val="90"/>
      <w:sz w:val="24"/>
    </w:rPr>
  </w:style>
  <w:style w:type="paragraph" w:customStyle="1" w:styleId="372">
    <w:name w:val="B图名"/>
    <w:basedOn w:val="1"/>
    <w:qFormat/>
    <w:uiPriority w:val="0"/>
    <w:pPr>
      <w:spacing w:after="50" w:afterLines="50"/>
      <w:jc w:val="center"/>
    </w:pPr>
    <w:rPr>
      <w:b/>
      <w:kern w:val="0"/>
      <w:sz w:val="24"/>
    </w:rPr>
  </w:style>
  <w:style w:type="paragraph" w:customStyle="1" w:styleId="37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4">
    <w:name w:val="标题二王"/>
    <w:basedOn w:val="1"/>
    <w:semiHidden/>
    <w:qFormat/>
    <w:uiPriority w:val="0"/>
    <w:pPr>
      <w:spacing w:beforeLines="100" w:afterLines="50" w:line="360" w:lineRule="auto"/>
      <w:outlineLvl w:val="1"/>
    </w:pPr>
    <w:rPr>
      <w:rFonts w:eastAsia="黑体"/>
      <w:b/>
      <w:sz w:val="32"/>
    </w:rPr>
  </w:style>
  <w:style w:type="paragraph" w:customStyle="1" w:styleId="375">
    <w:name w:val="正文2"/>
    <w:basedOn w:val="1"/>
    <w:qFormat/>
    <w:uiPriority w:val="0"/>
    <w:pPr>
      <w:adjustRightInd w:val="0"/>
      <w:snapToGrid w:val="0"/>
      <w:spacing w:line="440" w:lineRule="atLeast"/>
      <w:ind w:firstLine="567"/>
    </w:pPr>
    <w:rPr>
      <w:sz w:val="24"/>
    </w:rPr>
  </w:style>
  <w:style w:type="paragraph" w:customStyle="1" w:styleId="376">
    <w:name w:val="标题三王"/>
    <w:basedOn w:val="374"/>
    <w:semiHidden/>
    <w:qFormat/>
    <w:uiPriority w:val="0"/>
    <w:pPr>
      <w:spacing w:beforeLines="50" w:afterLines="20"/>
      <w:outlineLvl w:val="2"/>
    </w:pPr>
    <w:rPr>
      <w:sz w:val="28"/>
    </w:rPr>
  </w:style>
  <w:style w:type="paragraph" w:customStyle="1" w:styleId="377">
    <w:name w:val="表后文字"/>
    <w:next w:val="1"/>
    <w:qFormat/>
    <w:uiPriority w:val="0"/>
    <w:rPr>
      <w:rFonts w:ascii="宋体" w:hAnsi="Times New Roman" w:eastAsia="宋体" w:cs="Times New Roman"/>
      <w:spacing w:val="4"/>
      <w:w w:val="90"/>
      <w:kern w:val="18"/>
      <w:sz w:val="24"/>
      <w:szCs w:val="24"/>
      <w:lang w:val="en-US" w:eastAsia="zh-CN" w:bidi="ar-SA"/>
    </w:rPr>
  </w:style>
  <w:style w:type="paragraph" w:customStyle="1" w:styleId="378">
    <w:name w:val="(4标题"/>
    <w:basedOn w:val="1"/>
    <w:next w:val="17"/>
    <w:qFormat/>
    <w:uiPriority w:val="0"/>
    <w:pPr>
      <w:keepNext/>
      <w:keepLines/>
      <w:adjustRightInd w:val="0"/>
      <w:snapToGrid w:val="0"/>
      <w:spacing w:line="360" w:lineRule="auto"/>
      <w:jc w:val="left"/>
      <w:outlineLvl w:val="3"/>
    </w:pPr>
    <w:rPr>
      <w:b/>
      <w:bCs/>
      <w:sz w:val="24"/>
      <w:szCs w:val="21"/>
    </w:rPr>
  </w:style>
  <w:style w:type="paragraph" w:customStyle="1" w:styleId="379">
    <w:name w:val="正文王"/>
    <w:basedOn w:val="376"/>
    <w:semiHidden/>
    <w:qFormat/>
    <w:uiPriority w:val="0"/>
    <w:pPr>
      <w:spacing w:beforeLines="0" w:afterLines="0"/>
      <w:ind w:firstLine="720" w:firstLineChars="200"/>
      <w:outlineLvl w:val="9"/>
    </w:pPr>
    <w:rPr>
      <w:rFonts w:eastAsia="宋体"/>
      <w:b w:val="0"/>
      <w:sz w:val="24"/>
    </w:rPr>
  </w:style>
  <w:style w:type="paragraph" w:customStyle="1" w:styleId="38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81">
    <w:name w:val="6表头"/>
    <w:basedOn w:val="1"/>
    <w:next w:val="1"/>
    <w:qFormat/>
    <w:uiPriority w:val="99"/>
    <w:pPr>
      <w:autoSpaceDE w:val="0"/>
      <w:autoSpaceDN w:val="0"/>
      <w:snapToGrid w:val="0"/>
      <w:jc w:val="center"/>
    </w:pPr>
    <w:rPr>
      <w:b/>
      <w:bCs/>
      <w:sz w:val="24"/>
      <w:szCs w:val="21"/>
      <w:lang w:val="zh-CN"/>
    </w:rPr>
  </w:style>
  <w:style w:type="paragraph" w:customStyle="1" w:styleId="382">
    <w:name w:val="!正文"/>
    <w:basedOn w:val="1"/>
    <w:qFormat/>
    <w:uiPriority w:val="0"/>
    <w:pPr>
      <w:adjustRightInd w:val="0"/>
      <w:snapToGrid w:val="0"/>
      <w:spacing w:line="360" w:lineRule="auto"/>
      <w:ind w:firstLine="480" w:firstLineChars="200"/>
    </w:pPr>
    <w:rPr>
      <w:sz w:val="24"/>
      <w:szCs w:val="21"/>
    </w:rPr>
  </w:style>
  <w:style w:type="paragraph" w:customStyle="1" w:styleId="383">
    <w:name w:val="正文11"/>
    <w:basedOn w:val="1"/>
    <w:qFormat/>
    <w:uiPriority w:val="0"/>
    <w:pPr>
      <w:adjustRightInd w:val="0"/>
      <w:snapToGrid w:val="0"/>
      <w:spacing w:line="360" w:lineRule="auto"/>
      <w:ind w:firstLine="482"/>
    </w:pPr>
    <w:rPr>
      <w:rFonts w:hAnsi="宋体"/>
      <w:snapToGrid w:val="0"/>
    </w:rPr>
  </w:style>
  <w:style w:type="paragraph" w:customStyle="1" w:styleId="384">
    <w:name w:val="正文小四"/>
    <w:basedOn w:val="1"/>
    <w:qFormat/>
    <w:uiPriority w:val="0"/>
    <w:pPr>
      <w:spacing w:line="360" w:lineRule="auto"/>
      <w:ind w:firstLine="360" w:firstLineChars="150"/>
      <w:jc w:val="left"/>
    </w:pPr>
    <w:rPr>
      <w:rFonts w:eastAsia="Century Gothic"/>
      <w:sz w:val="24"/>
      <w:szCs w:val="20"/>
    </w:rPr>
  </w:style>
  <w:style w:type="paragraph" w:customStyle="1" w:styleId="385">
    <w:name w:val="表内文字-XSCQ"/>
    <w:basedOn w:val="1"/>
    <w:qFormat/>
    <w:uiPriority w:val="0"/>
    <w:pPr>
      <w:snapToGrid w:val="0"/>
      <w:jc w:val="center"/>
    </w:pPr>
    <w:rPr>
      <w:rFonts w:ascii="Calibri" w:hAnsi="Calibri"/>
      <w:szCs w:val="22"/>
    </w:rPr>
  </w:style>
  <w:style w:type="paragraph" w:customStyle="1" w:styleId="386">
    <w:name w:val="正文对的"/>
    <w:basedOn w:val="21"/>
    <w:semiHidden/>
    <w:qFormat/>
    <w:uiPriority w:val="0"/>
    <w:pPr>
      <w:spacing w:line="500" w:lineRule="exact"/>
      <w:ind w:firstLine="200" w:firstLineChars="200"/>
    </w:pPr>
    <w:rPr>
      <w:rFonts w:ascii="Times New Roman" w:hAnsi="宋体" w:eastAsia="宋体"/>
      <w:sz w:val="24"/>
      <w:szCs w:val="24"/>
    </w:rPr>
  </w:style>
  <w:style w:type="paragraph" w:customStyle="1" w:styleId="387">
    <w:name w:val="00正文"/>
    <w:basedOn w:val="1"/>
    <w:qFormat/>
    <w:uiPriority w:val="0"/>
    <w:pPr>
      <w:tabs>
        <w:tab w:val="left" w:pos="5080"/>
      </w:tabs>
      <w:spacing w:line="360" w:lineRule="auto"/>
      <w:ind w:firstLine="480" w:firstLineChars="200"/>
    </w:pPr>
    <w:rPr>
      <w:bCs/>
    </w:rPr>
  </w:style>
  <w:style w:type="paragraph" w:customStyle="1" w:styleId="388">
    <w:name w:val="BG"/>
    <w:basedOn w:val="1"/>
    <w:unhideWhenUsed/>
    <w:qFormat/>
    <w:uiPriority w:val="99"/>
    <w:pPr>
      <w:snapToGrid w:val="0"/>
      <w:jc w:val="center"/>
    </w:pPr>
  </w:style>
  <w:style w:type="paragraph" w:customStyle="1" w:styleId="389">
    <w:name w:val="表格名称"/>
    <w:basedOn w:val="106"/>
    <w:qFormat/>
    <w:uiPriority w:val="0"/>
    <w:pPr>
      <w:spacing w:line="360" w:lineRule="auto"/>
      <w:ind w:firstLine="200" w:firstLineChars="200"/>
      <w:jc w:val="left"/>
    </w:pPr>
    <w:rPr>
      <w:rFonts w:eastAsia="黑体"/>
      <w:b/>
      <w:snapToGrid w:val="0"/>
      <w:kern w:val="18"/>
    </w:rPr>
  </w:style>
  <w:style w:type="paragraph" w:customStyle="1" w:styleId="390">
    <w:name w:val="样式10"/>
    <w:basedOn w:val="1"/>
    <w:qFormat/>
    <w:uiPriority w:val="0"/>
    <w:pPr>
      <w:widowControl/>
      <w:jc w:val="center"/>
    </w:pPr>
    <w:rPr>
      <w:rFonts w:hAnsi="宋体"/>
      <w:b/>
      <w:lang w:bidi="en-US"/>
    </w:rPr>
  </w:style>
  <w:style w:type="paragraph" w:customStyle="1" w:styleId="391">
    <w:name w:val="图说明"/>
    <w:basedOn w:val="1"/>
    <w:qFormat/>
    <w:uiPriority w:val="0"/>
    <w:pPr>
      <w:jc w:val="center"/>
    </w:pPr>
    <w:rPr>
      <w:b/>
    </w:rPr>
  </w:style>
  <w:style w:type="paragraph" w:customStyle="1" w:styleId="392">
    <w:name w:val="少内容表中"/>
    <w:basedOn w:val="1"/>
    <w:qFormat/>
    <w:uiPriority w:val="0"/>
    <w:pPr>
      <w:spacing w:line="360" w:lineRule="exact"/>
      <w:jc w:val="center"/>
    </w:pPr>
  </w:style>
  <w:style w:type="paragraph" w:customStyle="1" w:styleId="393">
    <w:name w:val="表后正文"/>
    <w:basedOn w:val="1"/>
    <w:qFormat/>
    <w:uiPriority w:val="0"/>
    <w:pPr>
      <w:spacing w:before="50" w:beforeLines="50"/>
    </w:pPr>
  </w:style>
  <w:style w:type="paragraph" w:customStyle="1" w:styleId="394">
    <w:name w:val="正文(邵)"/>
    <w:basedOn w:val="1"/>
    <w:qFormat/>
    <w:uiPriority w:val="0"/>
    <w:pPr>
      <w:widowControl/>
      <w:adjustRightInd w:val="0"/>
      <w:snapToGrid w:val="0"/>
      <w:spacing w:line="360" w:lineRule="auto"/>
      <w:ind w:firstLine="480"/>
      <w:jc w:val="left"/>
    </w:pPr>
    <w:rPr>
      <w:lang w:bidi="en-US"/>
    </w:rPr>
  </w:style>
  <w:style w:type="paragraph" w:customStyle="1" w:styleId="395">
    <w:name w:val="样式 正文 + 宋体 小四1"/>
    <w:basedOn w:val="1"/>
    <w:qFormat/>
    <w:uiPriority w:val="0"/>
    <w:pPr>
      <w:widowControl/>
      <w:spacing w:line="360" w:lineRule="auto"/>
      <w:ind w:firstLine="480" w:firstLineChars="200"/>
      <w:jc w:val="left"/>
    </w:pPr>
    <w:rPr>
      <w:rFonts w:ascii="宋体" w:hAnsi="宋体"/>
      <w:kern w:val="0"/>
      <w:sz w:val="24"/>
    </w:rPr>
  </w:style>
  <w:style w:type="paragraph" w:customStyle="1" w:styleId="396">
    <w:name w:val="表第一行"/>
    <w:basedOn w:val="392"/>
    <w:qFormat/>
    <w:uiPriority w:val="0"/>
    <w:pPr>
      <w:adjustRightInd w:val="0"/>
      <w:snapToGrid w:val="0"/>
    </w:pPr>
    <w:rPr>
      <w:b/>
    </w:rPr>
  </w:style>
  <w:style w:type="paragraph" w:customStyle="1" w:styleId="397">
    <w:name w:val="D正文"/>
    <w:basedOn w:val="386"/>
    <w:qFormat/>
    <w:uiPriority w:val="0"/>
    <w:pPr>
      <w:spacing w:line="360" w:lineRule="auto"/>
      <w:ind w:firstLine="480"/>
    </w:pPr>
    <w:rPr>
      <w:rFonts w:hAnsi="Times New Roman"/>
    </w:rPr>
  </w:style>
  <w:style w:type="paragraph" w:customStyle="1" w:styleId="398">
    <w:name w:val="五号表格"/>
    <w:basedOn w:val="1"/>
    <w:qFormat/>
    <w:uiPriority w:val="0"/>
    <w:pPr>
      <w:jc w:val="center"/>
    </w:pPr>
    <w:rPr>
      <w:kern w:val="0"/>
      <w:szCs w:val="20"/>
    </w:rPr>
  </w:style>
  <w:style w:type="paragraph" w:customStyle="1" w:styleId="399">
    <w:name w:val="内容11"/>
    <w:basedOn w:val="21"/>
    <w:qFormat/>
    <w:uiPriority w:val="0"/>
    <w:pPr>
      <w:spacing w:line="360" w:lineRule="auto"/>
      <w:ind w:right="-92" w:rightChars="-44" w:firstLine="415" w:firstLineChars="179"/>
    </w:pPr>
    <w:rPr>
      <w:rFonts w:hAnsi="宋体" w:eastAsia="宋体"/>
      <w:spacing w:val="-4"/>
      <w:position w:val="6"/>
      <w:sz w:val="24"/>
      <w:szCs w:val="24"/>
    </w:rPr>
  </w:style>
  <w:style w:type="paragraph" w:customStyle="1" w:styleId="400">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wmf"/><Relationship Id="rId23" Type="http://schemas.openxmlformats.org/officeDocument/2006/relationships/oleObject" Target="embeddings/oleObject4.bin"/><Relationship Id="rId22" Type="http://schemas.openxmlformats.org/officeDocument/2006/relationships/image" Target="media/image10.wmf"/><Relationship Id="rId21" Type="http://schemas.openxmlformats.org/officeDocument/2006/relationships/oleObject" Target="embeddings/oleObject3.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4685</Words>
  <Characters>26709</Characters>
  <Lines>222</Lines>
  <Paragraphs>62</Paragraphs>
  <TotalTime>227</TotalTime>
  <ScaleCrop>false</ScaleCrop>
  <LinksUpToDate>false</LinksUpToDate>
  <CharactersWithSpaces>31332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2021-08-13T00:49:00Z</dcterms:created>
  <dc:creator>Administrator</dc:creator>
  <cp:lastModifiedBy>mine</cp:lastModifiedBy>
  <cp:lastPrinted>2021-08-13T00:55:00Z</cp:lastPrinted>
  <dcterms:modified xsi:type="dcterms:W3CDTF">2022-02-22T02:27:40Z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4C71175CFA8C400795A5B939BE2C09D6</vt:lpwstr>
  </property>
</Properties>
</file>