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adjustRightInd w:val="0"/>
        <w:snapToGrid w:val="0"/>
        <w:spacing w:before="0" w:beforeAutospacing="0" w:afterLines="100" w:afterAutospacing="0"/>
        <w:ind w:firstLine="0" w:firstLineChars="0"/>
        <w:jc w:val="center"/>
        <w:outlineLvl w:val="0"/>
        <w:rPr>
          <w:rFonts w:ascii="Times New Roman" w:hAnsi="Times New Roman"/>
          <w:b/>
          <w:bCs/>
          <w:snapToGrid w:val="0"/>
          <w:color w:val="000000"/>
          <w:sz w:val="30"/>
          <w:szCs w:val="30"/>
        </w:rPr>
      </w:pPr>
      <w:r>
        <w:rPr>
          <w:rFonts w:ascii="Times New Roman" w:hAnsi="Times New Roman"/>
          <w:b/>
          <w:bCs/>
          <w:snapToGrid w:val="0"/>
          <w:color w:val="000000"/>
          <w:sz w:val="30"/>
          <w:szCs w:val="30"/>
        </w:rPr>
        <w:t>一、建设项目基本情况</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67"/>
        <w:gridCol w:w="1680"/>
        <w:gridCol w:w="2046"/>
        <w:gridCol w:w="34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建设项目名称</w:t>
            </w:r>
          </w:p>
        </w:tc>
        <w:tc>
          <w:tcPr>
            <w:tcW w:w="7016" w:type="dxa"/>
            <w:gridSpan w:val="3"/>
            <w:vAlign w:val="center"/>
          </w:tcPr>
          <w:p>
            <w:pPr>
              <w:pStyle w:val="41"/>
              <w:snapToGrid w:val="0"/>
              <w:spacing w:line="240" w:lineRule="atLeast"/>
              <w:rPr>
                <w:color w:val="000000"/>
                <w:sz w:val="21"/>
                <w:szCs w:val="21"/>
              </w:rPr>
            </w:pPr>
            <w:r>
              <w:rPr>
                <w:rFonts w:hint="eastAsia"/>
                <w:color w:val="000000"/>
                <w:sz w:val="21"/>
                <w:szCs w:val="21"/>
              </w:rPr>
              <w:t>江铃汽车股份有限公司前后副车架焊接线体项目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项目代码</w:t>
            </w:r>
          </w:p>
        </w:tc>
        <w:tc>
          <w:tcPr>
            <w:tcW w:w="7016" w:type="dxa"/>
            <w:gridSpan w:val="3"/>
            <w:vAlign w:val="center"/>
          </w:tcPr>
          <w:p>
            <w:pPr>
              <w:pStyle w:val="41"/>
              <w:snapToGrid w:val="0"/>
              <w:spacing w:line="240" w:lineRule="atLeast"/>
              <w:rPr>
                <w:color w:val="000000"/>
                <w:sz w:val="21"/>
                <w:szCs w:val="21"/>
              </w:rPr>
            </w:pPr>
            <w:r>
              <w:rPr>
                <w:rFonts w:hint="eastAsia"/>
                <w:color w:val="000000"/>
                <w:sz w:val="21"/>
                <w:szCs w:val="21"/>
              </w:rPr>
              <w:t>2310-360121-07-02-982069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 w:hRule="atLeast"/>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建设单位联系人</w:t>
            </w:r>
          </w:p>
        </w:tc>
        <w:tc>
          <w:tcPr>
            <w:tcW w:w="1598" w:type="dxa"/>
            <w:vAlign w:val="center"/>
          </w:tcPr>
          <w:p>
            <w:pPr>
              <w:pStyle w:val="41"/>
              <w:snapToGrid w:val="0"/>
              <w:spacing w:line="240" w:lineRule="atLeast"/>
              <w:rPr>
                <w:color w:val="000000"/>
                <w:sz w:val="21"/>
                <w:szCs w:val="21"/>
              </w:rPr>
            </w:pPr>
            <w:r>
              <w:rPr>
                <w:rFonts w:hint="eastAsia"/>
                <w:color w:val="000000"/>
                <w:sz w:val="21"/>
                <w:szCs w:val="21"/>
              </w:rPr>
              <w:t>陈涛</w:t>
            </w:r>
          </w:p>
        </w:tc>
        <w:tc>
          <w:tcPr>
            <w:tcW w:w="2001" w:type="dxa"/>
            <w:vAlign w:val="center"/>
          </w:tcPr>
          <w:p>
            <w:pPr>
              <w:pStyle w:val="41"/>
              <w:snapToGrid w:val="0"/>
              <w:spacing w:line="240" w:lineRule="atLeast"/>
              <w:rPr>
                <w:color w:val="000000"/>
                <w:sz w:val="21"/>
                <w:szCs w:val="21"/>
              </w:rPr>
            </w:pPr>
            <w:r>
              <w:rPr>
                <w:b/>
                <w:bCs/>
                <w:color w:val="000000"/>
                <w:sz w:val="21"/>
                <w:szCs w:val="21"/>
              </w:rPr>
              <w:t>联系方式</w:t>
            </w:r>
          </w:p>
        </w:tc>
        <w:tc>
          <w:tcPr>
            <w:tcW w:w="3417" w:type="dxa"/>
            <w:vAlign w:val="center"/>
          </w:tcPr>
          <w:p>
            <w:pPr>
              <w:pStyle w:val="41"/>
              <w:snapToGrid w:val="0"/>
              <w:spacing w:line="240" w:lineRule="atLeast"/>
              <w:rPr>
                <w:color w:val="000000"/>
                <w:sz w:val="21"/>
                <w:szCs w:val="21"/>
              </w:rPr>
            </w:pPr>
            <w:r>
              <w:rPr>
                <w:rFonts w:hint="eastAsia"/>
                <w:color w:val="000000"/>
                <w:sz w:val="21"/>
                <w:szCs w:val="21"/>
              </w:rPr>
              <w:t>13870848483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建设地点</w:t>
            </w:r>
          </w:p>
        </w:tc>
        <w:tc>
          <w:tcPr>
            <w:tcW w:w="7016" w:type="dxa"/>
            <w:gridSpan w:val="3"/>
            <w:vAlign w:val="center"/>
          </w:tcPr>
          <w:p>
            <w:pPr>
              <w:pStyle w:val="41"/>
              <w:snapToGrid w:val="0"/>
              <w:spacing w:line="240" w:lineRule="atLeast"/>
              <w:rPr>
                <w:color w:val="000000"/>
                <w:sz w:val="21"/>
                <w:szCs w:val="21"/>
              </w:rPr>
            </w:pPr>
            <w:r>
              <w:rPr>
                <w:rFonts w:hint="eastAsia"/>
                <w:color w:val="000000"/>
                <w:sz w:val="21"/>
                <w:szCs w:val="21"/>
              </w:rPr>
              <w:t>南昌市南昌县小蓝经济开发区江铃汽车股份有限公司（小蓝分公司）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地理坐标</w:t>
            </w:r>
          </w:p>
        </w:tc>
        <w:tc>
          <w:tcPr>
            <w:tcW w:w="7016" w:type="dxa"/>
            <w:gridSpan w:val="3"/>
            <w:vAlign w:val="center"/>
          </w:tcPr>
          <w:p>
            <w:pPr>
              <w:pStyle w:val="41"/>
              <w:snapToGrid w:val="0"/>
              <w:spacing w:line="240" w:lineRule="atLeast"/>
              <w:rPr>
                <w:color w:val="000000"/>
                <w:sz w:val="21"/>
                <w:szCs w:val="21"/>
              </w:rPr>
            </w:pPr>
            <w:r>
              <w:rPr>
                <w:rFonts w:hint="eastAsia"/>
                <w:color w:val="000000"/>
                <w:sz w:val="21"/>
                <w:szCs w:val="21"/>
              </w:rPr>
              <w:t>E115</w:t>
            </w:r>
            <w:r>
              <w:rPr>
                <w:color w:val="000000"/>
                <w:sz w:val="21"/>
                <w:szCs w:val="21"/>
              </w:rPr>
              <w:t>度</w:t>
            </w:r>
            <w:r>
              <w:rPr>
                <w:rFonts w:hint="eastAsia"/>
                <w:color w:val="000000"/>
                <w:sz w:val="21"/>
                <w:szCs w:val="21"/>
              </w:rPr>
              <w:t>51</w:t>
            </w:r>
            <w:r>
              <w:rPr>
                <w:color w:val="000000"/>
                <w:sz w:val="21"/>
                <w:szCs w:val="21"/>
              </w:rPr>
              <w:t>分</w:t>
            </w:r>
            <w:r>
              <w:rPr>
                <w:rFonts w:hint="eastAsia"/>
                <w:color w:val="000000"/>
                <w:sz w:val="21"/>
                <w:szCs w:val="21"/>
              </w:rPr>
              <w:t>55.517</w:t>
            </w:r>
            <w:r>
              <w:rPr>
                <w:color w:val="000000"/>
                <w:sz w:val="21"/>
                <w:szCs w:val="21"/>
              </w:rPr>
              <w:t>秒，</w:t>
            </w:r>
            <w:r>
              <w:rPr>
                <w:rFonts w:hint="eastAsia"/>
                <w:color w:val="000000"/>
                <w:sz w:val="21"/>
                <w:szCs w:val="21"/>
              </w:rPr>
              <w:t>N28</w:t>
            </w:r>
            <w:r>
              <w:rPr>
                <w:color w:val="000000"/>
                <w:sz w:val="21"/>
                <w:szCs w:val="21"/>
              </w:rPr>
              <w:t>度</w:t>
            </w:r>
            <w:r>
              <w:rPr>
                <w:rFonts w:hint="eastAsia"/>
                <w:color w:val="000000"/>
                <w:sz w:val="21"/>
                <w:szCs w:val="21"/>
              </w:rPr>
              <w:t>31分12.718</w:t>
            </w:r>
            <w:r>
              <w:rPr>
                <w:color w:val="000000"/>
                <w:sz w:val="21"/>
                <w:szCs w:val="21"/>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9" w:hRule="atLeast"/>
          <w:jc w:val="center"/>
        </w:trPr>
        <w:tc>
          <w:tcPr>
            <w:tcW w:w="1859" w:type="dxa"/>
            <w:tcMar>
              <w:top w:w="16" w:type="dxa"/>
              <w:left w:w="16" w:type="dxa"/>
              <w:right w:w="16" w:type="dxa"/>
            </w:tcMar>
            <w:vAlign w:val="center"/>
          </w:tcPr>
          <w:p>
            <w:pPr>
              <w:pStyle w:val="41"/>
              <w:snapToGrid w:val="0"/>
              <w:spacing w:line="240" w:lineRule="atLeast"/>
              <w:rPr>
                <w:b/>
                <w:bCs/>
                <w:color w:val="000000"/>
                <w:sz w:val="21"/>
                <w:szCs w:val="21"/>
              </w:rPr>
            </w:pPr>
            <w:r>
              <w:rPr>
                <w:b/>
                <w:bCs/>
                <w:color w:val="000000"/>
                <w:sz w:val="21"/>
                <w:szCs w:val="21"/>
              </w:rPr>
              <w:t>国民经济</w:t>
            </w:r>
          </w:p>
          <w:p>
            <w:pPr>
              <w:pStyle w:val="41"/>
              <w:snapToGrid w:val="0"/>
              <w:spacing w:line="240" w:lineRule="atLeast"/>
              <w:rPr>
                <w:b/>
                <w:bCs/>
                <w:color w:val="000000"/>
                <w:sz w:val="21"/>
                <w:szCs w:val="21"/>
              </w:rPr>
            </w:pPr>
            <w:r>
              <w:rPr>
                <w:b/>
                <w:bCs/>
                <w:color w:val="000000"/>
                <w:sz w:val="21"/>
                <w:szCs w:val="21"/>
              </w:rPr>
              <w:t>行业类别</w:t>
            </w:r>
          </w:p>
        </w:tc>
        <w:tc>
          <w:tcPr>
            <w:tcW w:w="1598" w:type="dxa"/>
            <w:vAlign w:val="center"/>
          </w:tcPr>
          <w:p>
            <w:pPr>
              <w:pStyle w:val="41"/>
              <w:snapToGrid w:val="0"/>
              <w:spacing w:line="240" w:lineRule="atLeast"/>
              <w:jc w:val="left"/>
              <w:rPr>
                <w:color w:val="000000"/>
              </w:rPr>
            </w:pPr>
            <w:r>
              <w:rPr>
                <w:rFonts w:hint="eastAsia"/>
                <w:color w:val="000000"/>
                <w:sz w:val="21"/>
                <w:szCs w:val="21"/>
              </w:rPr>
              <w:t>C3670汽车零部件及配件制造</w:t>
            </w:r>
          </w:p>
        </w:tc>
        <w:tc>
          <w:tcPr>
            <w:tcW w:w="2001" w:type="dxa"/>
            <w:vAlign w:val="center"/>
          </w:tcPr>
          <w:p>
            <w:pPr>
              <w:pStyle w:val="41"/>
              <w:snapToGrid w:val="0"/>
              <w:spacing w:line="240" w:lineRule="atLeast"/>
              <w:rPr>
                <w:b/>
                <w:bCs/>
                <w:color w:val="000000"/>
                <w:sz w:val="21"/>
                <w:szCs w:val="21"/>
              </w:rPr>
            </w:pPr>
            <w:r>
              <w:rPr>
                <w:b/>
                <w:bCs/>
                <w:color w:val="000000"/>
                <w:sz w:val="21"/>
                <w:szCs w:val="21"/>
              </w:rPr>
              <w:t>建设项目</w:t>
            </w:r>
          </w:p>
          <w:p>
            <w:pPr>
              <w:pStyle w:val="41"/>
              <w:snapToGrid w:val="0"/>
              <w:spacing w:line="240" w:lineRule="atLeast"/>
              <w:rPr>
                <w:color w:val="000000"/>
                <w:sz w:val="21"/>
                <w:szCs w:val="21"/>
              </w:rPr>
            </w:pPr>
            <w:r>
              <w:rPr>
                <w:b/>
                <w:bCs/>
                <w:color w:val="000000"/>
                <w:sz w:val="21"/>
                <w:szCs w:val="21"/>
              </w:rPr>
              <w:t>行业类别</w:t>
            </w:r>
          </w:p>
        </w:tc>
        <w:tc>
          <w:tcPr>
            <w:tcW w:w="3417" w:type="dxa"/>
            <w:vAlign w:val="center"/>
          </w:tcPr>
          <w:p>
            <w:pPr>
              <w:pStyle w:val="41"/>
              <w:snapToGrid w:val="0"/>
              <w:spacing w:line="240" w:lineRule="atLeast"/>
              <w:jc w:val="left"/>
              <w:rPr>
                <w:color w:val="000000"/>
              </w:rPr>
            </w:pPr>
            <w:r>
              <w:rPr>
                <w:rFonts w:hint="eastAsia"/>
                <w:color w:val="000000"/>
                <w:sz w:val="21"/>
                <w:szCs w:val="21"/>
              </w:rPr>
              <w:t>三十三、汽车制造业36-71汽车零部件及配件制造367-其他（年用非溶剂型低VOCs含量涂料10吨以下的除外）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建设性质</w:t>
            </w:r>
          </w:p>
        </w:tc>
        <w:tc>
          <w:tcPr>
            <w:tcW w:w="1598" w:type="dxa"/>
            <w:vAlign w:val="center"/>
          </w:tcPr>
          <w:p>
            <w:pPr>
              <w:pStyle w:val="41"/>
              <w:snapToGrid w:val="0"/>
              <w:spacing w:line="240" w:lineRule="atLeast"/>
              <w:jc w:val="left"/>
              <w:rPr>
                <w:color w:val="000000"/>
                <w:sz w:val="21"/>
                <w:szCs w:val="21"/>
              </w:rPr>
            </w:pPr>
            <w:r>
              <w:rPr>
                <w:rFonts w:hint="eastAsia"/>
                <w:color w:val="000000"/>
                <w:sz w:val="21"/>
                <w:szCs w:val="21"/>
              </w:rPr>
              <w:sym w:font="Wingdings 2" w:char="00A3"/>
            </w:r>
            <w:r>
              <w:rPr>
                <w:color w:val="000000"/>
                <w:sz w:val="21"/>
                <w:szCs w:val="21"/>
              </w:rPr>
              <w:t>新建（迁建）</w:t>
            </w:r>
          </w:p>
          <w:p>
            <w:pPr>
              <w:pStyle w:val="41"/>
              <w:snapToGrid w:val="0"/>
              <w:spacing w:line="240" w:lineRule="atLeast"/>
              <w:jc w:val="left"/>
              <w:rPr>
                <w:color w:val="000000"/>
                <w:sz w:val="21"/>
                <w:szCs w:val="21"/>
                <w:highlight w:val="none"/>
              </w:rPr>
            </w:pPr>
            <w:r>
              <w:rPr>
                <w:color w:val="000000"/>
                <w:sz w:val="21"/>
                <w:szCs w:val="21"/>
              </w:rPr>
              <w:sym w:font="Wingdings 2" w:char="00A3"/>
            </w:r>
            <w:r>
              <w:rPr>
                <w:color w:val="000000"/>
                <w:sz w:val="21"/>
                <w:szCs w:val="21"/>
              </w:rPr>
              <w:t>改</w:t>
            </w:r>
            <w:r>
              <w:rPr>
                <w:color w:val="000000"/>
                <w:sz w:val="21"/>
                <w:szCs w:val="21"/>
                <w:highlight w:val="none"/>
              </w:rPr>
              <w:t>建</w:t>
            </w:r>
          </w:p>
          <w:p>
            <w:pPr>
              <w:pStyle w:val="41"/>
              <w:snapToGrid w:val="0"/>
              <w:spacing w:line="240" w:lineRule="atLeast"/>
              <w:jc w:val="left"/>
              <w:rPr>
                <w:color w:val="000000"/>
                <w:sz w:val="21"/>
                <w:szCs w:val="21"/>
                <w:highlight w:val="none"/>
              </w:rPr>
            </w:pPr>
            <w:r>
              <w:rPr>
                <w:color w:val="000000"/>
                <w:sz w:val="21"/>
                <w:szCs w:val="21"/>
                <w:highlight w:val="none"/>
              </w:rPr>
              <w:sym w:font="Wingdings 2" w:char="0052"/>
            </w:r>
            <w:r>
              <w:rPr>
                <w:rFonts w:hint="eastAsia"/>
                <w:color w:val="000000"/>
                <w:sz w:val="21"/>
                <w:szCs w:val="21"/>
                <w:highlight w:val="none"/>
              </w:rPr>
              <w:t>扩建</w:t>
            </w:r>
          </w:p>
          <w:p>
            <w:pPr>
              <w:pStyle w:val="41"/>
              <w:snapToGrid w:val="0"/>
              <w:spacing w:line="240" w:lineRule="atLeast"/>
              <w:jc w:val="left"/>
              <w:rPr>
                <w:color w:val="000000"/>
                <w:sz w:val="21"/>
                <w:szCs w:val="21"/>
              </w:rPr>
            </w:pPr>
            <w:r>
              <w:rPr>
                <w:color w:val="000000"/>
                <w:sz w:val="21"/>
                <w:szCs w:val="21"/>
                <w:highlight w:val="none"/>
              </w:rPr>
              <w:sym w:font="Wingdings 2" w:char="00A3"/>
            </w:r>
            <w:r>
              <w:rPr>
                <w:color w:val="000000"/>
                <w:sz w:val="21"/>
                <w:szCs w:val="21"/>
                <w:highlight w:val="none"/>
              </w:rPr>
              <w:t>技术改造</w:t>
            </w:r>
          </w:p>
        </w:tc>
        <w:tc>
          <w:tcPr>
            <w:tcW w:w="2001" w:type="dxa"/>
            <w:vAlign w:val="center"/>
          </w:tcPr>
          <w:p>
            <w:pPr>
              <w:pStyle w:val="41"/>
              <w:snapToGrid w:val="0"/>
              <w:spacing w:line="240" w:lineRule="atLeast"/>
              <w:rPr>
                <w:b/>
                <w:bCs/>
                <w:color w:val="000000"/>
                <w:sz w:val="21"/>
                <w:szCs w:val="21"/>
              </w:rPr>
            </w:pPr>
            <w:r>
              <w:rPr>
                <w:b/>
                <w:bCs/>
                <w:color w:val="000000"/>
                <w:sz w:val="21"/>
                <w:szCs w:val="21"/>
              </w:rPr>
              <w:t>建设项目</w:t>
            </w:r>
          </w:p>
          <w:p>
            <w:pPr>
              <w:pStyle w:val="41"/>
              <w:snapToGrid w:val="0"/>
              <w:spacing w:line="240" w:lineRule="atLeast"/>
              <w:rPr>
                <w:color w:val="000000"/>
                <w:sz w:val="21"/>
                <w:szCs w:val="21"/>
              </w:rPr>
            </w:pPr>
            <w:r>
              <w:rPr>
                <w:b/>
                <w:bCs/>
                <w:color w:val="000000"/>
                <w:sz w:val="21"/>
                <w:szCs w:val="21"/>
              </w:rPr>
              <w:t>申报情形</w:t>
            </w:r>
          </w:p>
        </w:tc>
        <w:tc>
          <w:tcPr>
            <w:tcW w:w="3417" w:type="dxa"/>
            <w:vAlign w:val="center"/>
          </w:tcPr>
          <w:p>
            <w:pPr>
              <w:pStyle w:val="41"/>
              <w:snapToGrid w:val="0"/>
              <w:spacing w:line="240" w:lineRule="atLeast"/>
              <w:jc w:val="left"/>
              <w:rPr>
                <w:color w:val="000000"/>
                <w:sz w:val="21"/>
                <w:szCs w:val="21"/>
              </w:rPr>
            </w:pPr>
            <w:r>
              <w:rPr>
                <w:rFonts w:hint="eastAsia"/>
                <w:color w:val="000000"/>
                <w:sz w:val="21"/>
                <w:szCs w:val="21"/>
              </w:rPr>
              <w:sym w:font="Wingdings 2" w:char="0052"/>
            </w:r>
            <w:r>
              <w:rPr>
                <w:color w:val="000000"/>
                <w:sz w:val="21"/>
                <w:szCs w:val="21"/>
              </w:rPr>
              <w:t>首次申报项目</w:t>
            </w:r>
          </w:p>
          <w:p>
            <w:pPr>
              <w:pStyle w:val="41"/>
              <w:snapToGrid w:val="0"/>
              <w:spacing w:line="240" w:lineRule="atLeast"/>
              <w:jc w:val="left"/>
              <w:rPr>
                <w:color w:val="000000"/>
                <w:sz w:val="21"/>
                <w:szCs w:val="21"/>
              </w:rPr>
            </w:pPr>
            <w:r>
              <w:rPr>
                <w:color w:val="000000"/>
                <w:sz w:val="21"/>
                <w:szCs w:val="21"/>
              </w:rPr>
              <w:sym w:font="Wingdings 2" w:char="00A3"/>
            </w:r>
            <w:r>
              <w:rPr>
                <w:color w:val="000000"/>
                <w:sz w:val="21"/>
                <w:szCs w:val="21"/>
              </w:rPr>
              <w:t>不予批准后再次申报项目</w:t>
            </w:r>
          </w:p>
          <w:p>
            <w:pPr>
              <w:pStyle w:val="41"/>
              <w:snapToGrid w:val="0"/>
              <w:spacing w:line="240" w:lineRule="atLeast"/>
              <w:jc w:val="left"/>
              <w:rPr>
                <w:color w:val="000000"/>
                <w:sz w:val="21"/>
                <w:szCs w:val="21"/>
              </w:rPr>
            </w:pPr>
            <w:r>
              <w:rPr>
                <w:color w:val="000000"/>
                <w:sz w:val="21"/>
                <w:szCs w:val="21"/>
              </w:rPr>
              <w:sym w:font="Wingdings 2" w:char="00A3"/>
            </w:r>
            <w:r>
              <w:rPr>
                <w:color w:val="000000"/>
                <w:sz w:val="21"/>
                <w:szCs w:val="21"/>
              </w:rPr>
              <w:t>超五年重新审核项目</w:t>
            </w:r>
          </w:p>
          <w:p>
            <w:pPr>
              <w:pStyle w:val="41"/>
              <w:snapToGrid w:val="0"/>
              <w:spacing w:line="240" w:lineRule="atLeast"/>
              <w:jc w:val="left"/>
              <w:rPr>
                <w:color w:val="000000"/>
                <w:sz w:val="21"/>
                <w:szCs w:val="21"/>
              </w:rPr>
            </w:pPr>
            <w:r>
              <w:rPr>
                <w:color w:val="000000"/>
                <w:sz w:val="21"/>
                <w:szCs w:val="21"/>
              </w:rPr>
              <w:sym w:font="Wingdings 2" w:char="00A3"/>
            </w:r>
            <w:r>
              <w:rPr>
                <w:color w:val="000000"/>
                <w:sz w:val="21"/>
                <w:szCs w:val="21"/>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项目审批（核准/备案）部门（选填）</w:t>
            </w:r>
          </w:p>
        </w:tc>
        <w:tc>
          <w:tcPr>
            <w:tcW w:w="1598" w:type="dxa"/>
            <w:vAlign w:val="center"/>
          </w:tcPr>
          <w:p>
            <w:pPr>
              <w:pStyle w:val="41"/>
              <w:snapToGrid w:val="0"/>
              <w:spacing w:line="240" w:lineRule="atLeast"/>
              <w:rPr>
                <w:color w:val="000000"/>
                <w:sz w:val="21"/>
                <w:szCs w:val="21"/>
              </w:rPr>
            </w:pPr>
            <w:r>
              <w:rPr>
                <w:rFonts w:hint="eastAsia"/>
                <w:color w:val="000000"/>
                <w:sz w:val="21"/>
                <w:szCs w:val="21"/>
              </w:rPr>
              <w:t>南昌县科技和工业信息化局</w:t>
            </w:r>
          </w:p>
        </w:tc>
        <w:tc>
          <w:tcPr>
            <w:tcW w:w="2001" w:type="dxa"/>
            <w:vAlign w:val="center"/>
          </w:tcPr>
          <w:p>
            <w:pPr>
              <w:pStyle w:val="41"/>
              <w:snapToGrid w:val="0"/>
              <w:spacing w:line="240" w:lineRule="atLeast"/>
              <w:rPr>
                <w:b/>
                <w:bCs/>
                <w:color w:val="000000"/>
                <w:sz w:val="21"/>
                <w:szCs w:val="21"/>
              </w:rPr>
            </w:pPr>
            <w:r>
              <w:rPr>
                <w:b/>
                <w:bCs/>
                <w:color w:val="000000"/>
                <w:sz w:val="21"/>
                <w:szCs w:val="21"/>
              </w:rPr>
              <w:t>项目审批（核准/</w:t>
            </w:r>
          </w:p>
          <w:p>
            <w:pPr>
              <w:pStyle w:val="41"/>
              <w:snapToGrid w:val="0"/>
              <w:spacing w:line="240" w:lineRule="atLeast"/>
              <w:rPr>
                <w:color w:val="000000"/>
                <w:sz w:val="21"/>
                <w:szCs w:val="21"/>
              </w:rPr>
            </w:pPr>
            <w:r>
              <w:rPr>
                <w:b/>
                <w:bCs/>
                <w:color w:val="000000"/>
                <w:sz w:val="21"/>
                <w:szCs w:val="21"/>
              </w:rPr>
              <w:t>备案）文号（选填）</w:t>
            </w:r>
          </w:p>
        </w:tc>
        <w:tc>
          <w:tcPr>
            <w:tcW w:w="3417" w:type="dxa"/>
            <w:vAlign w:val="center"/>
          </w:tcPr>
          <w:p>
            <w:pPr>
              <w:pStyle w:val="41"/>
              <w:snapToGrid w:val="0"/>
              <w:spacing w:line="240" w:lineRule="atLeast"/>
              <w:rPr>
                <w:color w:val="000000"/>
                <w:sz w:val="21"/>
                <w:szCs w:val="21"/>
              </w:rPr>
            </w:pPr>
            <w:r>
              <w:rPr>
                <w:rFonts w:hint="eastAsia"/>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总投资（万元）</w:t>
            </w:r>
          </w:p>
        </w:tc>
        <w:tc>
          <w:tcPr>
            <w:tcW w:w="1598" w:type="dxa"/>
            <w:vAlign w:val="center"/>
          </w:tcPr>
          <w:p>
            <w:pPr>
              <w:pStyle w:val="41"/>
              <w:snapToGrid w:val="0"/>
              <w:spacing w:line="240" w:lineRule="atLeast"/>
              <w:rPr>
                <w:color w:val="000000"/>
                <w:sz w:val="21"/>
                <w:szCs w:val="21"/>
              </w:rPr>
            </w:pPr>
            <w:r>
              <w:rPr>
                <w:rFonts w:hint="eastAsia"/>
                <w:color w:val="000000"/>
                <w:sz w:val="21"/>
                <w:szCs w:val="21"/>
              </w:rPr>
              <w:t>2100</w:t>
            </w:r>
          </w:p>
        </w:tc>
        <w:tc>
          <w:tcPr>
            <w:tcW w:w="2001" w:type="dxa"/>
            <w:tcMar>
              <w:top w:w="16" w:type="dxa"/>
              <w:left w:w="16" w:type="dxa"/>
              <w:right w:w="16" w:type="dxa"/>
            </w:tcMar>
            <w:vAlign w:val="center"/>
          </w:tcPr>
          <w:p>
            <w:pPr>
              <w:pStyle w:val="41"/>
              <w:snapToGrid w:val="0"/>
              <w:spacing w:line="240" w:lineRule="atLeast"/>
              <w:rPr>
                <w:color w:val="000000"/>
                <w:sz w:val="21"/>
                <w:szCs w:val="21"/>
              </w:rPr>
            </w:pPr>
            <w:r>
              <w:rPr>
                <w:b/>
                <w:bCs/>
                <w:color w:val="000000"/>
                <w:sz w:val="21"/>
                <w:szCs w:val="21"/>
              </w:rPr>
              <w:t>环保投资（万元）</w:t>
            </w:r>
          </w:p>
        </w:tc>
        <w:tc>
          <w:tcPr>
            <w:tcW w:w="3417" w:type="dxa"/>
            <w:vAlign w:val="center"/>
          </w:tcPr>
          <w:p>
            <w:pPr>
              <w:pStyle w:val="41"/>
              <w:snapToGrid w:val="0"/>
              <w:spacing w:line="240" w:lineRule="atLeast"/>
              <w:rPr>
                <w:color w:val="000000"/>
                <w:sz w:val="21"/>
                <w:szCs w:val="21"/>
              </w:rPr>
            </w:pPr>
            <w:r>
              <w:rPr>
                <w:rFonts w:hint="eastAsia"/>
                <w:color w:val="000000"/>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环保投资占比（%）</w:t>
            </w:r>
          </w:p>
        </w:tc>
        <w:tc>
          <w:tcPr>
            <w:tcW w:w="1598" w:type="dxa"/>
            <w:vAlign w:val="center"/>
          </w:tcPr>
          <w:p>
            <w:pPr>
              <w:pStyle w:val="41"/>
              <w:snapToGrid w:val="0"/>
              <w:spacing w:line="240" w:lineRule="atLeast"/>
              <w:rPr>
                <w:color w:val="000000"/>
                <w:sz w:val="21"/>
                <w:szCs w:val="21"/>
              </w:rPr>
            </w:pPr>
            <w:r>
              <w:rPr>
                <w:rFonts w:hint="eastAsia"/>
                <w:color w:val="000000"/>
                <w:sz w:val="21"/>
                <w:szCs w:val="21"/>
              </w:rPr>
              <w:t>0.95</w:t>
            </w:r>
          </w:p>
        </w:tc>
        <w:tc>
          <w:tcPr>
            <w:tcW w:w="2001" w:type="dxa"/>
            <w:tcMar>
              <w:top w:w="16" w:type="dxa"/>
              <w:left w:w="16" w:type="dxa"/>
              <w:right w:w="16" w:type="dxa"/>
            </w:tcMar>
            <w:vAlign w:val="center"/>
          </w:tcPr>
          <w:p>
            <w:pPr>
              <w:pStyle w:val="41"/>
              <w:snapToGrid w:val="0"/>
              <w:spacing w:line="240" w:lineRule="atLeast"/>
              <w:rPr>
                <w:color w:val="000000"/>
                <w:sz w:val="21"/>
                <w:szCs w:val="21"/>
              </w:rPr>
            </w:pPr>
            <w:r>
              <w:rPr>
                <w:b/>
                <w:bCs/>
                <w:color w:val="000000"/>
                <w:sz w:val="21"/>
                <w:szCs w:val="21"/>
              </w:rPr>
              <w:t>施工工期</w:t>
            </w:r>
          </w:p>
        </w:tc>
        <w:tc>
          <w:tcPr>
            <w:tcW w:w="3417" w:type="dxa"/>
            <w:vAlign w:val="center"/>
          </w:tcPr>
          <w:p>
            <w:pPr>
              <w:pStyle w:val="41"/>
              <w:snapToGrid w:val="0"/>
              <w:spacing w:line="240" w:lineRule="atLeast"/>
              <w:rPr>
                <w:color w:val="000000"/>
                <w:sz w:val="21"/>
                <w:szCs w:val="21"/>
              </w:rPr>
            </w:pPr>
            <w:r>
              <w:rPr>
                <w:rFonts w:hint="eastAsia"/>
                <w:color w:val="000000"/>
                <w:sz w:val="21"/>
                <w:szCs w:val="21"/>
              </w:rPr>
              <w:t>7个月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1859" w:type="dxa"/>
            <w:tcMar>
              <w:top w:w="16" w:type="dxa"/>
              <w:left w:w="16" w:type="dxa"/>
              <w:right w:w="16" w:type="dxa"/>
            </w:tcMar>
            <w:vAlign w:val="center"/>
          </w:tcPr>
          <w:p>
            <w:pPr>
              <w:pStyle w:val="41"/>
              <w:snapToGrid w:val="0"/>
              <w:spacing w:line="240" w:lineRule="auto"/>
              <w:rPr>
                <w:b/>
                <w:bCs/>
                <w:color w:val="000000"/>
                <w:sz w:val="21"/>
                <w:szCs w:val="21"/>
              </w:rPr>
            </w:pPr>
            <w:r>
              <w:rPr>
                <w:b/>
                <w:bCs/>
                <w:color w:val="000000"/>
                <w:sz w:val="21"/>
                <w:szCs w:val="21"/>
              </w:rPr>
              <w:t>是否开工建设</w:t>
            </w:r>
          </w:p>
        </w:tc>
        <w:tc>
          <w:tcPr>
            <w:tcW w:w="1598" w:type="dxa"/>
            <w:vAlign w:val="center"/>
          </w:tcPr>
          <w:p>
            <w:pPr>
              <w:pStyle w:val="41"/>
              <w:snapToGrid w:val="0"/>
              <w:spacing w:line="240" w:lineRule="atLeast"/>
              <w:jc w:val="left"/>
              <w:rPr>
                <w:color w:val="000000"/>
                <w:sz w:val="21"/>
                <w:szCs w:val="21"/>
              </w:rPr>
            </w:pPr>
            <w:r>
              <w:rPr>
                <w:rFonts w:hint="eastAsia"/>
                <w:color w:val="000000"/>
                <w:sz w:val="21"/>
                <w:szCs w:val="21"/>
              </w:rPr>
              <w:sym w:font="Wingdings 2" w:char="0052"/>
            </w:r>
            <w:r>
              <w:rPr>
                <w:color w:val="000000"/>
                <w:sz w:val="21"/>
                <w:szCs w:val="21"/>
              </w:rPr>
              <w:t>否</w:t>
            </w:r>
            <w:r>
              <w:rPr>
                <w:rFonts w:hint="eastAsia"/>
                <w:color w:val="000000"/>
                <w:sz w:val="21"/>
                <w:szCs w:val="21"/>
              </w:rPr>
              <w:t>：</w:t>
            </w:r>
          </w:p>
          <w:p>
            <w:pPr>
              <w:pStyle w:val="41"/>
              <w:snapToGrid w:val="0"/>
              <w:spacing w:line="240" w:lineRule="atLeast"/>
              <w:jc w:val="left"/>
              <w:rPr>
                <w:color w:val="000000"/>
                <w:sz w:val="21"/>
                <w:szCs w:val="21"/>
              </w:rPr>
            </w:pPr>
            <w:r>
              <w:rPr>
                <w:color w:val="000000"/>
                <w:sz w:val="21"/>
                <w:szCs w:val="21"/>
              </w:rPr>
              <w:sym w:font="Wingdings 2" w:char="00A3"/>
            </w:r>
            <w:r>
              <w:rPr>
                <w:color w:val="000000"/>
                <w:sz w:val="21"/>
                <w:szCs w:val="21"/>
              </w:rPr>
              <w:t>是：</w:t>
            </w:r>
          </w:p>
        </w:tc>
        <w:tc>
          <w:tcPr>
            <w:tcW w:w="2001" w:type="dxa"/>
            <w:tcMar>
              <w:top w:w="16" w:type="dxa"/>
              <w:left w:w="16" w:type="dxa"/>
              <w:right w:w="16" w:type="dxa"/>
            </w:tcMar>
            <w:vAlign w:val="center"/>
          </w:tcPr>
          <w:p>
            <w:pPr>
              <w:pStyle w:val="41"/>
              <w:snapToGrid w:val="0"/>
              <w:spacing w:line="240" w:lineRule="atLeast"/>
              <w:rPr>
                <w:color w:val="000000"/>
                <w:sz w:val="21"/>
                <w:szCs w:val="21"/>
              </w:rPr>
            </w:pPr>
            <w:r>
              <w:rPr>
                <w:rFonts w:hint="eastAsia"/>
                <w:b/>
                <w:bCs/>
                <w:color w:val="000000"/>
                <w:sz w:val="21"/>
                <w:szCs w:val="21"/>
              </w:rPr>
              <w:t>用地（用海）</w:t>
            </w:r>
            <w:r>
              <w:rPr>
                <w:b/>
                <w:bCs/>
                <w:color w:val="000000"/>
                <w:sz w:val="21"/>
                <w:szCs w:val="21"/>
              </w:rPr>
              <w:t>面积（</w:t>
            </w:r>
            <w:r>
              <w:rPr>
                <w:rFonts w:hint="eastAsia"/>
                <w:b/>
                <w:bCs/>
                <w:color w:val="000000"/>
                <w:sz w:val="21"/>
                <w:szCs w:val="21"/>
              </w:rPr>
              <w:t>m</w:t>
            </w:r>
            <w:r>
              <w:rPr>
                <w:rFonts w:hint="eastAsia"/>
                <w:b/>
                <w:bCs/>
                <w:color w:val="000000"/>
                <w:sz w:val="21"/>
                <w:szCs w:val="21"/>
                <w:vertAlign w:val="superscript"/>
              </w:rPr>
              <w:t>2</w:t>
            </w:r>
            <w:r>
              <w:rPr>
                <w:b/>
                <w:bCs/>
                <w:color w:val="000000"/>
                <w:sz w:val="21"/>
                <w:szCs w:val="21"/>
              </w:rPr>
              <w:t>）</w:t>
            </w:r>
          </w:p>
        </w:tc>
        <w:tc>
          <w:tcPr>
            <w:tcW w:w="3417" w:type="dxa"/>
            <w:vAlign w:val="center"/>
          </w:tcPr>
          <w:p>
            <w:pPr>
              <w:pStyle w:val="41"/>
              <w:snapToGrid w:val="0"/>
              <w:spacing w:line="240" w:lineRule="atLeast"/>
              <w:rPr>
                <w:color w:val="000000"/>
                <w:sz w:val="21"/>
                <w:szCs w:val="21"/>
              </w:rPr>
            </w:pPr>
            <w:r>
              <w:rPr>
                <w:rFonts w:hint="eastAsia"/>
                <w:color w:val="000000"/>
                <w:sz w:val="21"/>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9" w:type="dxa"/>
            <w:vAlign w:val="center"/>
          </w:tcPr>
          <w:p>
            <w:pPr>
              <w:pStyle w:val="41"/>
              <w:snapToGrid w:val="0"/>
              <w:spacing w:line="360" w:lineRule="exact"/>
              <w:rPr>
                <w:b/>
                <w:bCs/>
                <w:color w:val="000000"/>
                <w:sz w:val="21"/>
                <w:szCs w:val="21"/>
              </w:rPr>
            </w:pPr>
            <w:r>
              <w:rPr>
                <w:b/>
                <w:bCs/>
                <w:color w:val="000000"/>
                <w:sz w:val="21"/>
                <w:szCs w:val="21"/>
              </w:rPr>
              <w:t>专项评价设置情况</w:t>
            </w:r>
          </w:p>
        </w:tc>
        <w:tc>
          <w:tcPr>
            <w:tcW w:w="7016" w:type="dxa"/>
            <w:gridSpan w:val="3"/>
            <w:vAlign w:val="center"/>
          </w:tcPr>
          <w:p>
            <w:pPr>
              <w:pStyle w:val="42"/>
              <w:spacing w:before="24"/>
              <w:rPr>
                <w:color w:val="000000"/>
                <w:kern w:val="2"/>
                <w:sz w:val="21"/>
                <w:szCs w:val="21"/>
              </w:rPr>
            </w:pPr>
            <w:r>
              <w:rPr>
                <w:rFonts w:hint="eastAsia"/>
                <w:color w:val="000000"/>
                <w:kern w:val="2"/>
                <w:sz w:val="21"/>
                <w:szCs w:val="21"/>
              </w:rPr>
              <w:t>表1-1  专题评价设置原则表</w:t>
            </w:r>
          </w:p>
          <w:tbl>
            <w:tblPr>
              <w:tblStyle w:val="27"/>
              <w:tblW w:w="6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3545"/>
              <w:gridCol w:w="1557"/>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pPr>
                    <w:pStyle w:val="37"/>
                    <w:rPr>
                      <w:b/>
                      <w:bCs/>
                      <w:color w:val="000000"/>
                      <w:kern w:val="2"/>
                      <w:szCs w:val="24"/>
                    </w:rPr>
                  </w:pPr>
                  <w:r>
                    <w:rPr>
                      <w:rFonts w:hint="eastAsia"/>
                      <w:b/>
                      <w:bCs/>
                      <w:color w:val="000000"/>
                      <w:kern w:val="2"/>
                      <w:szCs w:val="24"/>
                    </w:rPr>
                    <w:t>专项评价的类别</w:t>
                  </w:r>
                </w:p>
              </w:tc>
              <w:tc>
                <w:tcPr>
                  <w:tcW w:w="2539" w:type="pct"/>
                  <w:vAlign w:val="center"/>
                </w:tcPr>
                <w:p>
                  <w:pPr>
                    <w:pStyle w:val="37"/>
                    <w:rPr>
                      <w:b/>
                      <w:bCs/>
                      <w:color w:val="000000"/>
                      <w:kern w:val="2"/>
                      <w:szCs w:val="24"/>
                    </w:rPr>
                  </w:pPr>
                  <w:r>
                    <w:rPr>
                      <w:rFonts w:hint="eastAsia"/>
                      <w:b/>
                      <w:bCs/>
                      <w:color w:val="000000"/>
                      <w:kern w:val="2"/>
                      <w:szCs w:val="24"/>
                    </w:rPr>
                    <w:t>设置原则</w:t>
                  </w:r>
                </w:p>
              </w:tc>
              <w:tc>
                <w:tcPr>
                  <w:tcW w:w="1115" w:type="pct"/>
                  <w:vAlign w:val="center"/>
                </w:tcPr>
                <w:p>
                  <w:pPr>
                    <w:pStyle w:val="37"/>
                    <w:rPr>
                      <w:b/>
                      <w:bCs/>
                      <w:color w:val="000000"/>
                      <w:kern w:val="2"/>
                      <w:szCs w:val="24"/>
                    </w:rPr>
                  </w:pPr>
                  <w:r>
                    <w:rPr>
                      <w:rFonts w:hint="eastAsia"/>
                      <w:b/>
                      <w:bCs/>
                      <w:color w:val="000000"/>
                      <w:kern w:val="2"/>
                      <w:szCs w:val="24"/>
                    </w:rPr>
                    <w:t>本项目情况</w:t>
                  </w:r>
                </w:p>
              </w:tc>
              <w:tc>
                <w:tcPr>
                  <w:tcW w:w="610" w:type="pct"/>
                  <w:vAlign w:val="center"/>
                </w:tcPr>
                <w:p>
                  <w:pPr>
                    <w:pStyle w:val="37"/>
                    <w:rPr>
                      <w:b/>
                      <w:bCs/>
                      <w:color w:val="000000"/>
                      <w:kern w:val="2"/>
                      <w:szCs w:val="24"/>
                    </w:rPr>
                  </w:pPr>
                  <w:r>
                    <w:rPr>
                      <w:rFonts w:hint="eastAsia"/>
                      <w:b/>
                      <w:bCs/>
                      <w:color w:val="000000"/>
                      <w:kern w:val="2"/>
                      <w:szCs w:val="24"/>
                    </w:rPr>
                    <w:t>设置</w:t>
                  </w:r>
                </w:p>
                <w:p>
                  <w:pPr>
                    <w:pStyle w:val="37"/>
                    <w:rPr>
                      <w:b/>
                      <w:bCs/>
                      <w:color w:val="000000"/>
                      <w:kern w:val="2"/>
                      <w:szCs w:val="24"/>
                    </w:rPr>
                  </w:pPr>
                  <w:r>
                    <w:rPr>
                      <w:rFonts w:hint="eastAsia"/>
                      <w:b/>
                      <w:bCs/>
                      <w:color w:val="000000"/>
                      <w:kern w:val="2"/>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pPr>
                    <w:pStyle w:val="37"/>
                    <w:rPr>
                      <w:color w:val="000000"/>
                      <w:kern w:val="2"/>
                      <w:szCs w:val="24"/>
                    </w:rPr>
                  </w:pPr>
                  <w:r>
                    <w:rPr>
                      <w:rFonts w:hint="eastAsia"/>
                      <w:color w:val="000000"/>
                      <w:kern w:val="2"/>
                      <w:szCs w:val="24"/>
                    </w:rPr>
                    <w:t>大气</w:t>
                  </w:r>
                </w:p>
              </w:tc>
              <w:tc>
                <w:tcPr>
                  <w:tcW w:w="2539" w:type="pct"/>
                  <w:vAlign w:val="center"/>
                </w:tcPr>
                <w:p>
                  <w:pPr>
                    <w:pStyle w:val="37"/>
                    <w:jc w:val="left"/>
                    <w:rPr>
                      <w:color w:val="000000"/>
                      <w:kern w:val="2"/>
                      <w:szCs w:val="24"/>
                    </w:rPr>
                  </w:pPr>
                  <w:r>
                    <w:rPr>
                      <w:rFonts w:hint="eastAsia"/>
                      <w:color w:val="000000"/>
                      <w:kern w:val="2"/>
                      <w:szCs w:val="24"/>
                    </w:rPr>
                    <w:t>排放废气含有毒有害污染物</w:t>
                  </w:r>
                  <w:r>
                    <w:rPr>
                      <w:rFonts w:hint="eastAsia"/>
                      <w:color w:val="000000"/>
                      <w:kern w:val="2"/>
                      <w:szCs w:val="24"/>
                      <w:vertAlign w:val="superscript"/>
                    </w:rPr>
                    <w:t>1</w:t>
                  </w:r>
                  <w:r>
                    <w:rPr>
                      <w:rFonts w:hint="eastAsia"/>
                      <w:color w:val="000000"/>
                      <w:kern w:val="2"/>
                      <w:szCs w:val="24"/>
                    </w:rPr>
                    <w:t>、二噁英、苯并[a]芘、氰化物、氯气且厂界外500米范围内有环境空气保护目标</w:t>
                  </w:r>
                  <w:r>
                    <w:rPr>
                      <w:rFonts w:hint="eastAsia"/>
                      <w:color w:val="000000"/>
                      <w:kern w:val="2"/>
                      <w:szCs w:val="24"/>
                      <w:vertAlign w:val="superscript"/>
                    </w:rPr>
                    <w:t>2</w:t>
                  </w:r>
                  <w:r>
                    <w:rPr>
                      <w:rFonts w:hint="eastAsia"/>
                      <w:color w:val="000000"/>
                      <w:kern w:val="2"/>
                      <w:szCs w:val="24"/>
                    </w:rPr>
                    <w:t>的建设项目</w:t>
                  </w:r>
                </w:p>
              </w:tc>
              <w:tc>
                <w:tcPr>
                  <w:tcW w:w="1115" w:type="pct"/>
                  <w:vAlign w:val="center"/>
                </w:tcPr>
                <w:p>
                  <w:pPr>
                    <w:pStyle w:val="37"/>
                    <w:rPr>
                      <w:color w:val="000000"/>
                      <w:kern w:val="2"/>
                      <w:szCs w:val="24"/>
                    </w:rPr>
                  </w:pPr>
                  <w:r>
                    <w:rPr>
                      <w:rFonts w:hint="eastAsia"/>
                      <w:color w:val="000000"/>
                      <w:kern w:val="2"/>
                      <w:szCs w:val="24"/>
                    </w:rPr>
                    <w:t>项目不涉及有毒有害污染物</w:t>
                  </w:r>
                </w:p>
              </w:tc>
              <w:tc>
                <w:tcPr>
                  <w:tcW w:w="610" w:type="pct"/>
                  <w:vAlign w:val="center"/>
                </w:tcPr>
                <w:p>
                  <w:pPr>
                    <w:pStyle w:val="37"/>
                    <w:rPr>
                      <w:color w:val="000000"/>
                      <w:kern w:val="2"/>
                      <w:szCs w:val="24"/>
                    </w:rPr>
                  </w:pPr>
                  <w:r>
                    <w:rPr>
                      <w:rFonts w:hint="eastAsia"/>
                      <w:color w:val="000000"/>
                      <w:kern w:val="2"/>
                      <w:szCs w:val="24"/>
                    </w:rPr>
                    <w:t>不开展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pPr>
                    <w:pStyle w:val="37"/>
                    <w:rPr>
                      <w:color w:val="000000"/>
                      <w:kern w:val="2"/>
                      <w:szCs w:val="24"/>
                    </w:rPr>
                  </w:pPr>
                  <w:r>
                    <w:rPr>
                      <w:rFonts w:hint="eastAsia"/>
                      <w:color w:val="000000"/>
                      <w:kern w:val="2"/>
                      <w:szCs w:val="24"/>
                    </w:rPr>
                    <w:t>地表水</w:t>
                  </w:r>
                </w:p>
              </w:tc>
              <w:tc>
                <w:tcPr>
                  <w:tcW w:w="2539" w:type="pct"/>
                  <w:vAlign w:val="center"/>
                </w:tcPr>
                <w:p>
                  <w:pPr>
                    <w:pStyle w:val="37"/>
                    <w:jc w:val="left"/>
                    <w:rPr>
                      <w:color w:val="000000"/>
                      <w:kern w:val="2"/>
                      <w:szCs w:val="24"/>
                    </w:rPr>
                  </w:pPr>
                  <w:r>
                    <w:rPr>
                      <w:rFonts w:hint="eastAsia"/>
                      <w:color w:val="000000"/>
                      <w:kern w:val="2"/>
                      <w:szCs w:val="24"/>
                    </w:rPr>
                    <w:t>新增工业废水直排建设项目（槽罐车外送污水处理厂的除外）；</w:t>
                  </w:r>
                </w:p>
                <w:p>
                  <w:pPr>
                    <w:pStyle w:val="37"/>
                    <w:jc w:val="left"/>
                    <w:rPr>
                      <w:color w:val="000000"/>
                      <w:kern w:val="2"/>
                      <w:szCs w:val="24"/>
                    </w:rPr>
                  </w:pPr>
                  <w:r>
                    <w:rPr>
                      <w:rFonts w:hint="eastAsia"/>
                      <w:color w:val="000000"/>
                      <w:kern w:val="2"/>
                      <w:szCs w:val="24"/>
                    </w:rPr>
                    <w:t>新增废水直排的污水集中处理厂</w:t>
                  </w:r>
                </w:p>
              </w:tc>
              <w:tc>
                <w:tcPr>
                  <w:tcW w:w="1115" w:type="pct"/>
                  <w:vAlign w:val="center"/>
                </w:tcPr>
                <w:p>
                  <w:pPr>
                    <w:pStyle w:val="37"/>
                    <w:rPr>
                      <w:color w:val="000000"/>
                      <w:kern w:val="2"/>
                      <w:szCs w:val="24"/>
                    </w:rPr>
                  </w:pPr>
                  <w:r>
                    <w:rPr>
                      <w:rFonts w:hint="eastAsia"/>
                      <w:color w:val="000000"/>
                      <w:kern w:val="2"/>
                      <w:szCs w:val="24"/>
                    </w:rPr>
                    <w:t>项目不涉及工业废水直接排放</w:t>
                  </w:r>
                </w:p>
              </w:tc>
              <w:tc>
                <w:tcPr>
                  <w:tcW w:w="610" w:type="pct"/>
                  <w:vAlign w:val="center"/>
                </w:tcPr>
                <w:p>
                  <w:pPr>
                    <w:pStyle w:val="37"/>
                    <w:rPr>
                      <w:color w:val="000000"/>
                      <w:kern w:val="2"/>
                      <w:szCs w:val="24"/>
                    </w:rPr>
                  </w:pPr>
                  <w:r>
                    <w:rPr>
                      <w:rFonts w:hint="eastAsia"/>
                      <w:color w:val="000000"/>
                      <w:kern w:val="2"/>
                      <w:szCs w:val="24"/>
                    </w:rPr>
                    <w:t>不开展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pPr>
                    <w:pStyle w:val="37"/>
                    <w:rPr>
                      <w:color w:val="000000"/>
                      <w:kern w:val="2"/>
                      <w:szCs w:val="24"/>
                    </w:rPr>
                  </w:pPr>
                  <w:r>
                    <w:rPr>
                      <w:rFonts w:hint="eastAsia"/>
                      <w:color w:val="000000"/>
                      <w:kern w:val="2"/>
                      <w:szCs w:val="24"/>
                    </w:rPr>
                    <w:t>环境风险</w:t>
                  </w:r>
                </w:p>
              </w:tc>
              <w:tc>
                <w:tcPr>
                  <w:tcW w:w="2539" w:type="pct"/>
                  <w:vAlign w:val="center"/>
                </w:tcPr>
                <w:p>
                  <w:pPr>
                    <w:pStyle w:val="37"/>
                    <w:jc w:val="left"/>
                    <w:rPr>
                      <w:color w:val="000000"/>
                      <w:kern w:val="2"/>
                      <w:szCs w:val="24"/>
                    </w:rPr>
                  </w:pPr>
                  <w:r>
                    <w:rPr>
                      <w:rFonts w:hint="eastAsia"/>
                      <w:color w:val="000000"/>
                      <w:kern w:val="2"/>
                      <w:szCs w:val="24"/>
                    </w:rPr>
                    <w:t>有毒有害和易燃易爆危险物质存储量超过临界量</w:t>
                  </w:r>
                  <w:r>
                    <w:rPr>
                      <w:rFonts w:hint="eastAsia"/>
                      <w:color w:val="000000"/>
                      <w:kern w:val="2"/>
                      <w:szCs w:val="24"/>
                      <w:vertAlign w:val="superscript"/>
                    </w:rPr>
                    <w:t>3</w:t>
                  </w:r>
                  <w:r>
                    <w:rPr>
                      <w:rFonts w:hint="eastAsia"/>
                      <w:color w:val="000000"/>
                      <w:kern w:val="2"/>
                      <w:szCs w:val="24"/>
                    </w:rPr>
                    <w:t>的建设项目</w:t>
                  </w:r>
                </w:p>
              </w:tc>
              <w:tc>
                <w:tcPr>
                  <w:tcW w:w="1115" w:type="pct"/>
                  <w:vAlign w:val="center"/>
                </w:tcPr>
                <w:p>
                  <w:pPr>
                    <w:pStyle w:val="37"/>
                    <w:rPr>
                      <w:color w:val="000000"/>
                      <w:kern w:val="2"/>
                      <w:szCs w:val="24"/>
                    </w:rPr>
                  </w:pPr>
                  <w:r>
                    <w:rPr>
                      <w:rFonts w:hint="eastAsia"/>
                      <w:color w:val="000000"/>
                      <w:kern w:val="2"/>
                      <w:szCs w:val="24"/>
                    </w:rPr>
                    <w:t>有毒有害和易燃易爆危险物质储存未超过临界量</w:t>
                  </w:r>
                </w:p>
              </w:tc>
              <w:tc>
                <w:tcPr>
                  <w:tcW w:w="610" w:type="pct"/>
                  <w:vAlign w:val="center"/>
                </w:tcPr>
                <w:p>
                  <w:pPr>
                    <w:pStyle w:val="37"/>
                    <w:rPr>
                      <w:color w:val="000000"/>
                      <w:kern w:val="2"/>
                      <w:szCs w:val="24"/>
                    </w:rPr>
                  </w:pPr>
                  <w:r>
                    <w:rPr>
                      <w:rFonts w:hint="eastAsia"/>
                      <w:color w:val="000000"/>
                      <w:kern w:val="2"/>
                      <w:szCs w:val="24"/>
                    </w:rPr>
                    <w:t>不开展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pPr>
                    <w:pStyle w:val="37"/>
                    <w:rPr>
                      <w:color w:val="000000"/>
                      <w:kern w:val="2"/>
                      <w:szCs w:val="24"/>
                    </w:rPr>
                  </w:pPr>
                  <w:r>
                    <w:rPr>
                      <w:rFonts w:hint="eastAsia"/>
                      <w:color w:val="000000"/>
                      <w:kern w:val="2"/>
                      <w:szCs w:val="24"/>
                    </w:rPr>
                    <w:t>生态</w:t>
                  </w:r>
                </w:p>
              </w:tc>
              <w:tc>
                <w:tcPr>
                  <w:tcW w:w="2539" w:type="pct"/>
                  <w:vAlign w:val="center"/>
                </w:tcPr>
                <w:p>
                  <w:pPr>
                    <w:pStyle w:val="37"/>
                    <w:jc w:val="left"/>
                    <w:rPr>
                      <w:color w:val="000000"/>
                      <w:kern w:val="2"/>
                      <w:szCs w:val="24"/>
                    </w:rPr>
                  </w:pPr>
                  <w:r>
                    <w:rPr>
                      <w:rFonts w:hint="eastAsia"/>
                      <w:color w:val="000000"/>
                      <w:kern w:val="2"/>
                      <w:szCs w:val="24"/>
                    </w:rPr>
                    <w:t>取水口下游500米范围内有重要水生生物的自然产卵场、索饵场、越冬场和洄游通道的新增河道取水的污染类建设项目</w:t>
                  </w:r>
                </w:p>
              </w:tc>
              <w:tc>
                <w:tcPr>
                  <w:tcW w:w="1115" w:type="pct"/>
                  <w:vAlign w:val="center"/>
                </w:tcPr>
                <w:p>
                  <w:pPr>
                    <w:pStyle w:val="37"/>
                    <w:rPr>
                      <w:color w:val="000000"/>
                      <w:kern w:val="2"/>
                      <w:szCs w:val="24"/>
                    </w:rPr>
                  </w:pPr>
                  <w:r>
                    <w:rPr>
                      <w:rFonts w:hint="eastAsia"/>
                      <w:color w:val="000000"/>
                      <w:kern w:val="2"/>
                      <w:szCs w:val="24"/>
                    </w:rPr>
                    <w:t>不涉及</w:t>
                  </w:r>
                </w:p>
              </w:tc>
              <w:tc>
                <w:tcPr>
                  <w:tcW w:w="610" w:type="pct"/>
                  <w:vAlign w:val="center"/>
                </w:tcPr>
                <w:p>
                  <w:pPr>
                    <w:pStyle w:val="37"/>
                    <w:rPr>
                      <w:color w:val="000000"/>
                      <w:kern w:val="2"/>
                      <w:szCs w:val="24"/>
                    </w:rPr>
                  </w:pPr>
                  <w:r>
                    <w:rPr>
                      <w:rFonts w:hint="eastAsia"/>
                      <w:color w:val="000000"/>
                      <w:kern w:val="2"/>
                      <w:szCs w:val="24"/>
                    </w:rPr>
                    <w:t>不开展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pPr>
                    <w:pStyle w:val="37"/>
                    <w:rPr>
                      <w:color w:val="000000"/>
                      <w:kern w:val="2"/>
                      <w:szCs w:val="24"/>
                    </w:rPr>
                  </w:pPr>
                  <w:r>
                    <w:rPr>
                      <w:rFonts w:hint="eastAsia"/>
                      <w:color w:val="000000"/>
                      <w:kern w:val="2"/>
                      <w:szCs w:val="24"/>
                    </w:rPr>
                    <w:t>海洋</w:t>
                  </w:r>
                </w:p>
              </w:tc>
              <w:tc>
                <w:tcPr>
                  <w:tcW w:w="2539" w:type="pct"/>
                  <w:vAlign w:val="center"/>
                </w:tcPr>
                <w:p>
                  <w:pPr>
                    <w:pStyle w:val="37"/>
                    <w:jc w:val="left"/>
                    <w:rPr>
                      <w:color w:val="000000"/>
                      <w:kern w:val="2"/>
                      <w:szCs w:val="24"/>
                    </w:rPr>
                  </w:pPr>
                  <w:r>
                    <w:rPr>
                      <w:rFonts w:hint="eastAsia"/>
                      <w:color w:val="000000"/>
                      <w:kern w:val="2"/>
                      <w:szCs w:val="24"/>
                    </w:rPr>
                    <w:t>直接向海排放污染物的海洋工程建设项目</w:t>
                  </w:r>
                </w:p>
              </w:tc>
              <w:tc>
                <w:tcPr>
                  <w:tcW w:w="1115" w:type="pct"/>
                  <w:vAlign w:val="center"/>
                </w:tcPr>
                <w:p>
                  <w:pPr>
                    <w:pStyle w:val="37"/>
                    <w:rPr>
                      <w:color w:val="000000"/>
                      <w:kern w:val="2"/>
                      <w:szCs w:val="24"/>
                    </w:rPr>
                  </w:pPr>
                  <w:r>
                    <w:rPr>
                      <w:rFonts w:hint="eastAsia"/>
                      <w:color w:val="000000"/>
                      <w:kern w:val="2"/>
                      <w:szCs w:val="24"/>
                    </w:rPr>
                    <w:t>不涉及</w:t>
                  </w:r>
                </w:p>
              </w:tc>
              <w:tc>
                <w:tcPr>
                  <w:tcW w:w="610" w:type="pct"/>
                  <w:vAlign w:val="center"/>
                </w:tcPr>
                <w:p>
                  <w:pPr>
                    <w:pStyle w:val="37"/>
                    <w:rPr>
                      <w:color w:val="000000"/>
                      <w:kern w:val="2"/>
                      <w:szCs w:val="24"/>
                    </w:rPr>
                  </w:pPr>
                  <w:r>
                    <w:rPr>
                      <w:rFonts w:hint="eastAsia"/>
                      <w:color w:val="000000"/>
                      <w:kern w:val="2"/>
                      <w:szCs w:val="24"/>
                    </w:rPr>
                    <w:t>不开展</w:t>
                  </w:r>
                </w:p>
              </w:tc>
            </w:tr>
          </w:tbl>
          <w:p>
            <w:pPr>
              <w:widowControl/>
              <w:spacing w:line="240" w:lineRule="auto"/>
              <w:ind w:firstLine="0" w:firstLineChars="0"/>
              <w:jc w:val="left"/>
              <w:rPr>
                <w:rStyle w:val="35"/>
                <w:color w:val="000000"/>
                <w:sz w:val="18"/>
                <w:szCs w:val="18"/>
              </w:rPr>
            </w:pPr>
            <w:r>
              <w:rPr>
                <w:rStyle w:val="35"/>
                <w:rFonts w:hint="eastAsia"/>
                <w:color w:val="000000"/>
                <w:sz w:val="18"/>
                <w:szCs w:val="18"/>
              </w:rPr>
              <w:t>注：1.废气中有毒有害污染物指纳入《有毒有害大气污染物名录》的污染物（不包括无排放标准的污染物）。</w:t>
            </w:r>
          </w:p>
          <w:p>
            <w:pPr>
              <w:widowControl/>
              <w:spacing w:line="240" w:lineRule="auto"/>
              <w:ind w:firstLine="0" w:firstLineChars="0"/>
              <w:jc w:val="left"/>
              <w:rPr>
                <w:rStyle w:val="35"/>
                <w:color w:val="000000"/>
                <w:sz w:val="18"/>
                <w:szCs w:val="18"/>
              </w:rPr>
            </w:pPr>
            <w:r>
              <w:rPr>
                <w:rStyle w:val="35"/>
                <w:rFonts w:hint="eastAsia"/>
                <w:color w:val="000000"/>
                <w:sz w:val="18"/>
                <w:szCs w:val="18"/>
              </w:rPr>
              <w:t>2.环境空气保护目标指自然保护区、风景名胜区、居住区、文化区和农村地区中人群较集中的区域。</w:t>
            </w:r>
          </w:p>
          <w:p>
            <w:pPr>
              <w:widowControl/>
              <w:spacing w:line="240" w:lineRule="auto"/>
              <w:ind w:firstLine="0" w:firstLineChars="0"/>
              <w:jc w:val="left"/>
              <w:rPr>
                <w:color w:val="000000"/>
              </w:rPr>
            </w:pPr>
            <w:r>
              <w:rPr>
                <w:rStyle w:val="35"/>
                <w:rFonts w:hint="eastAsia"/>
                <w:color w:val="000000"/>
                <w:sz w:val="18"/>
                <w:szCs w:val="18"/>
              </w:rPr>
              <w:t>3.临界量及其计算方法可参考《建设项目环境风险评价技术导则》（HJ 169）附录B、附录C。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9" w:type="dxa"/>
            <w:vAlign w:val="center"/>
          </w:tcPr>
          <w:p>
            <w:pPr>
              <w:pStyle w:val="41"/>
              <w:snapToGrid w:val="0"/>
              <w:spacing w:line="400" w:lineRule="exact"/>
              <w:rPr>
                <w:b/>
                <w:bCs/>
                <w:color w:val="000000"/>
              </w:rPr>
            </w:pPr>
            <w:r>
              <w:rPr>
                <w:b/>
                <w:bCs/>
                <w:color w:val="000000"/>
              </w:rPr>
              <w:t>规划情况</w:t>
            </w:r>
          </w:p>
        </w:tc>
        <w:tc>
          <w:tcPr>
            <w:tcW w:w="7016" w:type="dxa"/>
            <w:gridSpan w:val="3"/>
            <w:vAlign w:val="center"/>
          </w:tcPr>
          <w:p>
            <w:pPr>
              <w:ind w:firstLine="480"/>
              <w:rPr>
                <w:color w:val="000000"/>
              </w:rPr>
            </w:pPr>
            <w:r>
              <w:rPr>
                <w:rFonts w:hint="eastAsia"/>
                <w:color w:val="000000"/>
              </w:rPr>
              <w:t>（1）</w:t>
            </w:r>
            <w:r>
              <w:rPr>
                <w:color w:val="000000"/>
              </w:rPr>
              <w:t>规划</w:t>
            </w:r>
            <w:r>
              <w:rPr>
                <w:rFonts w:hint="eastAsia"/>
                <w:color w:val="000000"/>
              </w:rPr>
              <w:t>名称</w:t>
            </w:r>
            <w:r>
              <w:rPr>
                <w:color w:val="000000"/>
              </w:rPr>
              <w:t>：</w:t>
            </w:r>
            <w:r>
              <w:rPr>
                <w:rFonts w:hint="eastAsia" w:hAnsi="宋体"/>
                <w:snapToGrid w:val="0"/>
                <w:color w:val="000000"/>
              </w:rPr>
              <w:t>《南昌小蓝经济技术开发区规划（2016-2030）》</w:t>
            </w:r>
            <w:r>
              <w:rPr>
                <w:color w:val="000000"/>
              </w:rPr>
              <w:t>；</w:t>
            </w:r>
          </w:p>
          <w:p>
            <w:pPr>
              <w:ind w:firstLine="480"/>
              <w:rPr>
                <w:color w:val="000000"/>
              </w:rPr>
            </w:pPr>
            <w:r>
              <w:rPr>
                <w:rFonts w:hint="eastAsia"/>
                <w:color w:val="000000"/>
              </w:rPr>
              <w:t>（2）</w:t>
            </w:r>
            <w:r>
              <w:rPr>
                <w:color w:val="000000"/>
              </w:rPr>
              <w:t>审批机关及文号：</w:t>
            </w:r>
            <w:r>
              <w:rPr>
                <w:rFonts w:hint="eastAsia"/>
                <w:color w:val="000000"/>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9" w:type="dxa"/>
            <w:vAlign w:val="center"/>
          </w:tcPr>
          <w:p>
            <w:pPr>
              <w:pStyle w:val="41"/>
              <w:rPr>
                <w:b/>
                <w:bCs/>
                <w:color w:val="000000"/>
              </w:rPr>
            </w:pPr>
            <w:r>
              <w:rPr>
                <w:b/>
                <w:bCs/>
                <w:color w:val="000000"/>
              </w:rPr>
              <w:t>规划环境影响评价情况</w:t>
            </w:r>
          </w:p>
        </w:tc>
        <w:tc>
          <w:tcPr>
            <w:tcW w:w="7016" w:type="dxa"/>
            <w:gridSpan w:val="3"/>
            <w:vAlign w:val="center"/>
          </w:tcPr>
          <w:p>
            <w:pPr>
              <w:ind w:firstLine="480"/>
              <w:rPr>
                <w:color w:val="000000"/>
              </w:rPr>
            </w:pPr>
            <w:r>
              <w:rPr>
                <w:rFonts w:hint="eastAsia"/>
                <w:color w:val="000000"/>
              </w:rPr>
              <w:t>（1）</w:t>
            </w:r>
            <w:r>
              <w:rPr>
                <w:color w:val="000000"/>
              </w:rPr>
              <w:t>规划环境影响评价文件：《</w:t>
            </w:r>
            <w:r>
              <w:rPr>
                <w:rFonts w:hint="eastAsia"/>
                <w:color w:val="000000"/>
              </w:rPr>
              <w:t>南昌小蓝经济技术开发区规划环境影响报告书</w:t>
            </w:r>
            <w:r>
              <w:rPr>
                <w:color w:val="000000"/>
              </w:rPr>
              <w:t>》；</w:t>
            </w:r>
          </w:p>
          <w:p>
            <w:pPr>
              <w:ind w:firstLine="480"/>
              <w:rPr>
                <w:color w:val="000000"/>
              </w:rPr>
            </w:pPr>
            <w:r>
              <w:rPr>
                <w:rFonts w:hint="eastAsia"/>
                <w:color w:val="000000"/>
              </w:rPr>
              <w:t>（2）</w:t>
            </w:r>
            <w:r>
              <w:rPr>
                <w:color w:val="000000"/>
              </w:rPr>
              <w:t>审批机关：</w:t>
            </w:r>
            <w:r>
              <w:rPr>
                <w:rFonts w:hint="eastAsia"/>
                <w:color w:val="000000"/>
              </w:rPr>
              <w:t>中华人民共和国生态环境部</w:t>
            </w:r>
            <w:r>
              <w:rPr>
                <w:color w:val="000000"/>
              </w:rPr>
              <w:t>；</w:t>
            </w:r>
          </w:p>
          <w:p>
            <w:pPr>
              <w:ind w:firstLine="480"/>
              <w:rPr>
                <w:color w:val="000000"/>
              </w:rPr>
            </w:pPr>
            <w:r>
              <w:rPr>
                <w:rFonts w:hint="eastAsia"/>
                <w:color w:val="000000"/>
              </w:rPr>
              <w:t>（3）</w:t>
            </w:r>
            <w:r>
              <w:rPr>
                <w:color w:val="000000"/>
              </w:rPr>
              <w:t>审查文件名称：关于《</w:t>
            </w:r>
            <w:r>
              <w:rPr>
                <w:rFonts w:hint="eastAsia"/>
                <w:color w:val="000000"/>
              </w:rPr>
              <w:t>南昌小蓝经济技术开发区规划环境影响报告书</w:t>
            </w:r>
            <w:r>
              <w:rPr>
                <w:color w:val="000000"/>
              </w:rPr>
              <w:t>》的审查意见（环审[</w:t>
            </w:r>
            <w:r>
              <w:rPr>
                <w:rFonts w:hint="eastAsia"/>
                <w:color w:val="000000"/>
              </w:rPr>
              <w:t>2019</w:t>
            </w:r>
            <w:r>
              <w:rPr>
                <w:color w:val="000000"/>
              </w:rPr>
              <w:t>]</w:t>
            </w:r>
            <w:r>
              <w:rPr>
                <w:rFonts w:hint="eastAsia"/>
                <w:color w:val="000000"/>
              </w:rPr>
              <w:t>151</w:t>
            </w:r>
            <w:r>
              <w:rPr>
                <w:color w:val="000000"/>
              </w:rPr>
              <w:t>号）</w:t>
            </w:r>
            <w:r>
              <w:rPr>
                <w:rFonts w:hint="eastAsia"/>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18" w:hRule="atLeast"/>
          <w:jc w:val="center"/>
        </w:trPr>
        <w:tc>
          <w:tcPr>
            <w:tcW w:w="1859" w:type="dxa"/>
            <w:vAlign w:val="center"/>
          </w:tcPr>
          <w:p>
            <w:pPr>
              <w:pStyle w:val="41"/>
              <w:rPr>
                <w:b/>
                <w:bCs/>
                <w:color w:val="000000"/>
              </w:rPr>
            </w:pPr>
            <w:r>
              <w:rPr>
                <w:b/>
                <w:bCs/>
                <w:color w:val="000000"/>
              </w:rPr>
              <w:t>规划及规划环境影响评价符合性分析</w:t>
            </w:r>
          </w:p>
        </w:tc>
        <w:tc>
          <w:tcPr>
            <w:tcW w:w="7016" w:type="dxa"/>
            <w:gridSpan w:val="3"/>
            <w:vAlign w:val="center"/>
          </w:tcPr>
          <w:p>
            <w:pPr>
              <w:numPr>
                <w:ilvl w:val="0"/>
                <w:numId w:val="1"/>
              </w:numPr>
              <w:snapToGrid w:val="0"/>
              <w:ind w:firstLine="482"/>
              <w:rPr>
                <w:b/>
                <w:color w:val="000000"/>
              </w:rPr>
            </w:pPr>
            <w:r>
              <w:rPr>
                <w:rFonts w:hint="eastAsia"/>
                <w:b/>
                <w:color w:val="000000"/>
              </w:rPr>
              <w:t>与园区规划相符性分析</w:t>
            </w:r>
          </w:p>
          <w:p>
            <w:pPr>
              <w:ind w:firstLine="480"/>
              <w:rPr>
                <w:color w:val="000000"/>
              </w:rPr>
            </w:pPr>
            <w:r>
              <w:rPr>
                <w:rFonts w:hint="eastAsia"/>
                <w:color w:val="000000"/>
              </w:rPr>
              <w:t>根据《南昌小蓝经济技术开发区规划（2016-2030）》，南昌小蓝经济技术开发区规划范围由北部的东莲路、西部的赣江、南部的莲溪大道，东部的迎宾大道围合而成，具体包括小蓝经济技术开发区以及莲塘镇、东新乡、富山乡部分区域，开发区整个规划面积为84.09平方公里。</w:t>
            </w:r>
          </w:p>
          <w:p>
            <w:pPr>
              <w:ind w:firstLine="480"/>
              <w:rPr>
                <w:color w:val="000000"/>
              </w:rPr>
            </w:pPr>
            <w:r>
              <w:rPr>
                <w:rFonts w:hint="eastAsia"/>
                <w:color w:val="000000"/>
              </w:rPr>
              <w:t>根据《南昌小蓝经济技术开发区规划（2016-2030）》用地布局规划图，扩建项目位于南昌小蓝经济技术开发区小蓝汽车城，本次建设内容汽车零部件制造符合规划要求。根据建设单位提供的土地证（赣[2022]南昌县不动产权第0031152号），扩建项目用地类型规划为工业用途。</w:t>
            </w:r>
          </w:p>
          <w:p>
            <w:pPr>
              <w:numPr>
                <w:ilvl w:val="0"/>
                <w:numId w:val="1"/>
              </w:numPr>
              <w:snapToGrid w:val="0"/>
              <w:ind w:firstLine="482"/>
              <w:rPr>
                <w:b/>
                <w:color w:val="000000"/>
              </w:rPr>
            </w:pPr>
            <w:r>
              <w:rPr>
                <w:rFonts w:hint="eastAsia"/>
                <w:b/>
                <w:color w:val="000000"/>
              </w:rPr>
              <w:t>与园区规划环评产业相符性分析</w:t>
            </w:r>
          </w:p>
          <w:p>
            <w:pPr>
              <w:ind w:firstLine="480"/>
              <w:rPr>
                <w:color w:val="000000"/>
              </w:rPr>
            </w:pPr>
            <w:r>
              <w:rPr>
                <w:color w:val="000000"/>
              </w:rPr>
              <w:t>根据《</w:t>
            </w:r>
            <w:r>
              <w:rPr>
                <w:rFonts w:hint="eastAsia"/>
                <w:color w:val="000000"/>
              </w:rPr>
              <w:t>南昌小蓝经济技术开发区</w:t>
            </w:r>
            <w:r>
              <w:rPr>
                <w:color w:val="000000"/>
              </w:rPr>
              <w:t>环境影响报告书》，</w:t>
            </w:r>
            <w:r>
              <w:rPr>
                <w:rFonts w:hint="eastAsia"/>
                <w:color w:val="000000"/>
              </w:rPr>
              <w:t>南昌小蓝经济技术开发区</w:t>
            </w:r>
            <w:r>
              <w:rPr>
                <w:color w:val="000000"/>
              </w:rPr>
              <w:t>形成</w:t>
            </w:r>
            <w:r>
              <w:rPr>
                <w:rFonts w:hint="eastAsia"/>
                <w:color w:val="000000"/>
              </w:rPr>
              <w:t>“一城四园”的产业布局规划</w:t>
            </w:r>
            <w:r>
              <w:rPr>
                <w:color w:val="000000"/>
              </w:rPr>
              <w:t>：</w:t>
            </w:r>
            <w:r>
              <w:rPr>
                <w:rFonts w:hint="eastAsia"/>
                <w:color w:val="000000"/>
              </w:rPr>
              <w:t>“一城”指小蓝汽车城，“四园”为综合产业园、创新型产业园、滨江高新技术产业园、智能制造装备产业园</w:t>
            </w:r>
            <w:r>
              <w:rPr>
                <w:rFonts w:hint="eastAsia" w:ascii="宋体" w:hAnsi="宋体"/>
                <w:color w:val="000000"/>
                <w:kern w:val="0"/>
              </w:rPr>
              <w:t>。</w:t>
            </w:r>
          </w:p>
          <w:p>
            <w:pPr>
              <w:autoSpaceDE w:val="0"/>
              <w:autoSpaceDN w:val="0"/>
              <w:adjustRightInd w:val="0"/>
              <w:snapToGrid w:val="0"/>
              <w:ind w:firstLine="482"/>
              <w:rPr>
                <w:color w:val="000000"/>
              </w:rPr>
            </w:pPr>
            <w:r>
              <w:rPr>
                <w:rFonts w:hint="eastAsia"/>
                <w:b/>
                <w:bCs/>
                <w:color w:val="000000"/>
              </w:rPr>
              <w:t>小蓝汽车城：</w:t>
            </w:r>
            <w:r>
              <w:rPr>
                <w:rFonts w:hint="eastAsia"/>
                <w:color w:val="000000"/>
              </w:rPr>
              <w:t>规划约21.2平方公里，规划建设</w:t>
            </w:r>
            <w:r>
              <w:rPr>
                <w:rFonts w:hint="eastAsia"/>
                <w:b/>
                <w:bCs/>
                <w:color w:val="000000"/>
              </w:rPr>
              <w:t>整车及零部件配套区</w:t>
            </w:r>
            <w:r>
              <w:rPr>
                <w:rFonts w:hint="eastAsia"/>
                <w:color w:val="000000"/>
              </w:rPr>
              <w:t>、生活配套区、生态走廊和以汽车文化为主题的特色小镇，将打造成为集城市文明、工业文明和生态文明为一体，环境优美、产城融合发展的汽车产业发展示范区</w:t>
            </w:r>
            <w:r>
              <w:rPr>
                <w:color w:val="000000"/>
              </w:rPr>
              <w:t>。</w:t>
            </w:r>
          </w:p>
          <w:p>
            <w:pPr>
              <w:pStyle w:val="2"/>
              <w:snapToGrid w:val="0"/>
              <w:ind w:firstLine="480"/>
              <w:rPr>
                <w:kern w:val="2"/>
              </w:rPr>
            </w:pPr>
            <w:r>
              <w:rPr>
                <w:rFonts w:hint="eastAsia"/>
              </w:rPr>
              <w:t>扩建</w:t>
            </w:r>
            <w:r>
              <w:rPr>
                <w:kern w:val="2"/>
              </w:rPr>
              <w:t>项目位于</w:t>
            </w:r>
            <w:r>
              <w:rPr>
                <w:rFonts w:hint="eastAsia"/>
              </w:rPr>
              <w:t>南昌小蓝经济技术开发区</w:t>
            </w:r>
            <w:r>
              <w:rPr>
                <w:kern w:val="2"/>
              </w:rPr>
              <w:t>-</w:t>
            </w:r>
            <w:r>
              <w:rPr>
                <w:rFonts w:hint="eastAsia"/>
              </w:rPr>
              <w:t>小蓝汽车城</w:t>
            </w:r>
            <w:r>
              <w:rPr>
                <w:rFonts w:hint="eastAsia"/>
                <w:kern w:val="2"/>
              </w:rPr>
              <w:t>，主要对新能源新车型车架进行焊接工作等</w:t>
            </w:r>
            <w:r>
              <w:rPr>
                <w:kern w:val="2"/>
              </w:rPr>
              <w:t>，</w:t>
            </w:r>
            <w:r>
              <w:rPr>
                <w:rFonts w:hint="eastAsia"/>
                <w:kern w:val="2"/>
              </w:rPr>
              <w:t>属于汽车制造的配套产业，符合</w:t>
            </w:r>
            <w:r>
              <w:rPr>
                <w:rFonts w:hint="eastAsia"/>
              </w:rPr>
              <w:t>小蓝汽车城产业规划要求。</w:t>
            </w:r>
          </w:p>
          <w:p>
            <w:pPr>
              <w:snapToGrid w:val="0"/>
              <w:ind w:firstLine="482"/>
              <w:rPr>
                <w:b/>
                <w:color w:val="000000"/>
              </w:rPr>
            </w:pPr>
            <w:r>
              <w:rPr>
                <w:rFonts w:hint="eastAsia"/>
                <w:b/>
                <w:color w:val="000000"/>
              </w:rPr>
              <w:t>（3）与园区规划环评审查意见要求相符性分析</w:t>
            </w:r>
          </w:p>
          <w:p>
            <w:pPr>
              <w:ind w:firstLine="480"/>
              <w:rPr>
                <w:color w:val="000000"/>
              </w:rPr>
            </w:pPr>
            <w:r>
              <w:rPr>
                <w:rFonts w:hint="eastAsia"/>
                <w:color w:val="000000"/>
              </w:rPr>
              <w:t>扩建项目位于南昌小蓝经济技术开发区小蓝汽车城，根据《南昌小蓝经济技术开发区规划</w:t>
            </w:r>
            <w:r>
              <w:rPr>
                <w:color w:val="000000"/>
              </w:rPr>
              <w:t>环境影响报告书</w:t>
            </w:r>
            <w:r>
              <w:rPr>
                <w:rFonts w:hint="eastAsia"/>
                <w:color w:val="000000"/>
              </w:rPr>
              <w:t>》审查意见（</w:t>
            </w:r>
            <w:r>
              <w:rPr>
                <w:color w:val="000000"/>
              </w:rPr>
              <w:t>环审</w:t>
            </w:r>
            <w:r>
              <w:rPr>
                <w:rFonts w:hint="eastAsia"/>
                <w:color w:val="000000"/>
              </w:rPr>
              <w:t>[</w:t>
            </w:r>
            <w:r>
              <w:rPr>
                <w:color w:val="000000"/>
              </w:rPr>
              <w:t>201</w:t>
            </w:r>
            <w:r>
              <w:rPr>
                <w:rFonts w:hint="eastAsia"/>
                <w:color w:val="000000"/>
              </w:rPr>
              <w:t>9]151</w:t>
            </w:r>
            <w:r>
              <w:rPr>
                <w:color w:val="000000"/>
              </w:rPr>
              <w:t>号</w:t>
            </w:r>
            <w:r>
              <w:rPr>
                <w:rFonts w:hint="eastAsia"/>
                <w:color w:val="000000"/>
              </w:rPr>
              <w:t>），扩建项目与园区规划环评审查意见相符性分析如下。</w:t>
            </w:r>
          </w:p>
          <w:p>
            <w:pPr>
              <w:pStyle w:val="38"/>
              <w:rPr>
                <w:color w:val="000000"/>
                <w:szCs w:val="21"/>
              </w:rPr>
            </w:pPr>
            <w:r>
              <w:rPr>
                <w:rFonts w:hint="eastAsia"/>
                <w:color w:val="000000"/>
                <w:szCs w:val="21"/>
              </w:rPr>
              <w:t>表1-2  扩建</w:t>
            </w:r>
            <w:r>
              <w:rPr>
                <w:color w:val="000000"/>
                <w:szCs w:val="21"/>
              </w:rPr>
              <w:t>项目与</w:t>
            </w:r>
            <w:r>
              <w:rPr>
                <w:rFonts w:hint="eastAsia"/>
                <w:color w:val="000000"/>
                <w:szCs w:val="21"/>
              </w:rPr>
              <w:t>园区</w:t>
            </w:r>
            <w:r>
              <w:rPr>
                <w:color w:val="000000"/>
                <w:szCs w:val="21"/>
              </w:rPr>
              <w:t>规划环评审查意见相符性分析</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5"/>
              <w:gridCol w:w="1768"/>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3262" w:type="pct"/>
                  <w:vAlign w:val="center"/>
                </w:tcPr>
                <w:p>
                  <w:pPr>
                    <w:pStyle w:val="37"/>
                    <w:rPr>
                      <w:b/>
                      <w:bCs/>
                      <w:color w:val="000000"/>
                    </w:rPr>
                  </w:pPr>
                  <w:r>
                    <w:rPr>
                      <w:b/>
                      <w:bCs/>
                      <w:color w:val="000000"/>
                    </w:rPr>
                    <w:t>具体要求</w:t>
                  </w:r>
                </w:p>
              </w:tc>
              <w:tc>
                <w:tcPr>
                  <w:tcW w:w="1266" w:type="pct"/>
                  <w:vAlign w:val="center"/>
                </w:tcPr>
                <w:p>
                  <w:pPr>
                    <w:pStyle w:val="37"/>
                    <w:rPr>
                      <w:b/>
                      <w:bCs/>
                      <w:color w:val="000000"/>
                    </w:rPr>
                  </w:pPr>
                  <w:r>
                    <w:rPr>
                      <w:b/>
                      <w:bCs/>
                      <w:color w:val="000000"/>
                    </w:rPr>
                    <w:t>项目建设情况</w:t>
                  </w:r>
                </w:p>
              </w:tc>
              <w:tc>
                <w:tcPr>
                  <w:tcW w:w="471" w:type="pct"/>
                  <w:vAlign w:val="center"/>
                </w:tcPr>
                <w:p>
                  <w:pPr>
                    <w:pStyle w:val="37"/>
                    <w:rPr>
                      <w:b/>
                      <w:bCs/>
                      <w:color w:val="000000"/>
                    </w:rPr>
                  </w:pPr>
                  <w:r>
                    <w:rPr>
                      <w:b/>
                      <w:bCs/>
                      <w:color w:val="000000"/>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vAlign w:val="center"/>
                </w:tcPr>
                <w:p>
                  <w:pPr>
                    <w:pStyle w:val="37"/>
                    <w:jc w:val="both"/>
                    <w:rPr>
                      <w:color w:val="000000"/>
                    </w:rPr>
                  </w:pPr>
                  <w:r>
                    <w:rPr>
                      <w:rFonts w:hint="eastAsia"/>
                      <w:color w:val="000000"/>
                    </w:rPr>
                    <w:t>加强《规划》引导，坚持绿色发展和协调发展理念。开发区应根据国家、区域发展战略，坚持生态优先、高效集约发展。做好与南昌市、南昌县国土空间规划、现行城市总体规划和土地利用规划、区域“三线一单”的协调衔接，按照国务院对开发区的批复要求和最新环境管理要求，着力推动开发区产业转型升级和结构优化，现有不符合开发区发展定位和用地规划的企业应逐步升级改造或搬迁、淘汰，确保产业发展与区域生态环境保护、人居环境质量保障相协调。</w:t>
                  </w:r>
                </w:p>
              </w:tc>
              <w:tc>
                <w:tcPr>
                  <w:tcW w:w="1266" w:type="pct"/>
                  <w:vAlign w:val="center"/>
                </w:tcPr>
                <w:p>
                  <w:pPr>
                    <w:pStyle w:val="37"/>
                    <w:jc w:val="both"/>
                    <w:rPr>
                      <w:color w:val="000000"/>
                    </w:rPr>
                  </w:pPr>
                  <w:r>
                    <w:rPr>
                      <w:rFonts w:hint="eastAsia"/>
                      <w:color w:val="000000"/>
                      <w:kern w:val="2"/>
                    </w:rPr>
                    <w:t>项目属于汽车零部件及配件制造业，且用地为工业用途，符合</w:t>
                  </w:r>
                  <w:r>
                    <w:rPr>
                      <w:rFonts w:hint="eastAsia"/>
                      <w:color w:val="000000"/>
                    </w:rPr>
                    <w:t>开发区发展定位和用地规划。</w:t>
                  </w:r>
                </w:p>
              </w:tc>
              <w:tc>
                <w:tcPr>
                  <w:tcW w:w="471" w:type="pct"/>
                  <w:vAlign w:val="center"/>
                </w:tcPr>
                <w:p>
                  <w:pPr>
                    <w:pStyle w:val="37"/>
                    <w:rPr>
                      <w:color w:val="000000"/>
                    </w:rPr>
                  </w:pPr>
                  <w:r>
                    <w:rPr>
                      <w:color w:val="00000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vAlign w:val="center"/>
                </w:tcPr>
                <w:p>
                  <w:pPr>
                    <w:pStyle w:val="37"/>
                    <w:jc w:val="both"/>
                    <w:rPr>
                      <w:color w:val="000000"/>
                    </w:rPr>
                  </w:pPr>
                  <w:r>
                    <w:rPr>
                      <w:rFonts w:hint="eastAsia"/>
                      <w:color w:val="000000"/>
                    </w:rPr>
                    <w:t>优化空间布局，加强生态系统保护。加强区内重要湿地、重要水体等生态空间保护，严禁不符合管控要求的各类开发建设活动。做好生产、生活空间之间的隔离和管控，以改善和保障人居环境质量为目标切实解决居住与工业布局混杂问题。</w:t>
                  </w:r>
                </w:p>
              </w:tc>
              <w:tc>
                <w:tcPr>
                  <w:tcW w:w="1266" w:type="pct"/>
                  <w:vAlign w:val="center"/>
                </w:tcPr>
                <w:p>
                  <w:pPr>
                    <w:pStyle w:val="37"/>
                    <w:jc w:val="both"/>
                    <w:rPr>
                      <w:color w:val="000000"/>
                    </w:rPr>
                  </w:pPr>
                  <w:r>
                    <w:rPr>
                      <w:rFonts w:hint="eastAsia"/>
                      <w:color w:val="000000"/>
                    </w:rPr>
                    <w:t>项目位于小蓝汽车城，</w:t>
                  </w:r>
                  <w:r>
                    <w:rPr>
                      <w:color w:val="000000"/>
                    </w:rPr>
                    <w:t>用地不涉及南昌市生态红线管控区</w:t>
                  </w:r>
                  <w:r>
                    <w:rPr>
                      <w:rFonts w:hint="eastAsia"/>
                      <w:color w:val="000000"/>
                    </w:rPr>
                    <w:t>，且污染物经处理后均可达标排放，对周边环境保护影响较低。</w:t>
                  </w:r>
                </w:p>
              </w:tc>
              <w:tc>
                <w:tcPr>
                  <w:tcW w:w="471" w:type="pct"/>
                  <w:vAlign w:val="center"/>
                </w:tcPr>
                <w:p>
                  <w:pPr>
                    <w:pStyle w:val="37"/>
                    <w:rPr>
                      <w:color w:val="000000"/>
                    </w:rPr>
                  </w:pPr>
                  <w:r>
                    <w:rPr>
                      <w:color w:val="00000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vAlign w:val="center"/>
                </w:tcPr>
                <w:p>
                  <w:pPr>
                    <w:pStyle w:val="37"/>
                    <w:jc w:val="both"/>
                    <w:rPr>
                      <w:color w:val="000000"/>
                    </w:rPr>
                  </w:pPr>
                  <w:r>
                    <w:rPr>
                      <w:rFonts w:hint="eastAsia"/>
                      <w:color w:val="000000"/>
                    </w:rPr>
                    <w:t>严守环境质量底线，根据国家、江西省和南昌市关于大气、水、土壤污染防治相关要求，制定开发区污染减排方案及污染物总量管控要求。采取有效措施减少主要污染物和特征污染物的排放量，确保区域环境质量持续改善，实现产业发展与城市发展、生态环境保护协调。</w:t>
                  </w:r>
                </w:p>
              </w:tc>
              <w:tc>
                <w:tcPr>
                  <w:tcW w:w="1266" w:type="pct"/>
                  <w:vAlign w:val="center"/>
                </w:tcPr>
                <w:p>
                  <w:pPr>
                    <w:pStyle w:val="37"/>
                    <w:jc w:val="both"/>
                    <w:rPr>
                      <w:color w:val="000000"/>
                    </w:rPr>
                  </w:pPr>
                  <w:r>
                    <w:rPr>
                      <w:rFonts w:hint="eastAsia"/>
                      <w:color w:val="000000"/>
                    </w:rPr>
                    <w:t>项目位于小蓝汽车城，污染物经处理后达标排放，均可满足总量管控要求。</w:t>
                  </w:r>
                </w:p>
              </w:tc>
              <w:tc>
                <w:tcPr>
                  <w:tcW w:w="471" w:type="pct"/>
                  <w:vAlign w:val="center"/>
                </w:tcPr>
                <w:p>
                  <w:pPr>
                    <w:pStyle w:val="37"/>
                    <w:rPr>
                      <w:color w:val="000000"/>
                    </w:rPr>
                  </w:pPr>
                  <w:r>
                    <w:rPr>
                      <w:color w:val="00000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vAlign w:val="center"/>
                </w:tcPr>
                <w:p>
                  <w:pPr>
                    <w:pStyle w:val="37"/>
                    <w:jc w:val="both"/>
                    <w:rPr>
                      <w:color w:val="000000"/>
                    </w:rPr>
                  </w:pPr>
                  <w:r>
                    <w:rPr>
                      <w:rFonts w:hint="eastAsia"/>
                      <w:color w:val="000000"/>
                    </w:rPr>
                    <w:t>严格入区项目生态环境准入，推动高质量发展。落实《报告书》生态环境准入要求，限制与主导产业不相关、污染物排放量大的项目入区。引进项目的生产工艺、设备，以及单位产品能耗、物耗、污染物排放和资源利用等均需达到同行业国际先进水平。</w:t>
                  </w:r>
                </w:p>
              </w:tc>
              <w:tc>
                <w:tcPr>
                  <w:tcW w:w="1266" w:type="pct"/>
                  <w:vAlign w:val="center"/>
                </w:tcPr>
                <w:p>
                  <w:pPr>
                    <w:pStyle w:val="37"/>
                    <w:jc w:val="both"/>
                    <w:rPr>
                      <w:color w:val="000000"/>
                    </w:rPr>
                  </w:pPr>
                  <w:r>
                    <w:rPr>
                      <w:rFonts w:hint="eastAsia"/>
                      <w:color w:val="000000"/>
                    </w:rPr>
                    <w:t>项目符合入区产业和环境准入要求；采用先进的生产工艺和设备，同时项目产生的污染物经处理后均可达标排放。</w:t>
                  </w:r>
                </w:p>
              </w:tc>
              <w:tc>
                <w:tcPr>
                  <w:tcW w:w="471" w:type="pct"/>
                  <w:vAlign w:val="center"/>
                </w:tcPr>
                <w:p>
                  <w:pPr>
                    <w:pStyle w:val="37"/>
                    <w:rPr>
                      <w:color w:val="000000"/>
                    </w:rPr>
                  </w:pPr>
                  <w:r>
                    <w:rPr>
                      <w:color w:val="00000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vAlign w:val="center"/>
                </w:tcPr>
                <w:p>
                  <w:pPr>
                    <w:pStyle w:val="37"/>
                    <w:jc w:val="both"/>
                    <w:rPr>
                      <w:color w:val="000000"/>
                    </w:rPr>
                  </w:pPr>
                  <w:r>
                    <w:rPr>
                      <w:rFonts w:hint="eastAsia"/>
                      <w:color w:val="000000"/>
                    </w:rPr>
                    <w:t>组织制定生态环境保护规划，统筹考虑区内污染防治、环境风险防范、环境管理等事宜。建立健全环境风险防范体系，建立应急响应联动机制，提升开发区环境风险防控和应急响应能力。按照污染地块土壤环境管理的有关规定，做好污染企业退出地块的管控。</w:t>
                  </w:r>
                </w:p>
              </w:tc>
              <w:tc>
                <w:tcPr>
                  <w:tcW w:w="1266" w:type="pct"/>
                  <w:vAlign w:val="center"/>
                </w:tcPr>
                <w:p>
                  <w:pPr>
                    <w:pStyle w:val="37"/>
                    <w:rPr>
                      <w:color w:val="000000"/>
                    </w:rPr>
                  </w:pPr>
                  <w:r>
                    <w:rPr>
                      <w:rFonts w:hint="eastAsia"/>
                      <w:color w:val="000000"/>
                    </w:rPr>
                    <w:t>/</w:t>
                  </w:r>
                </w:p>
              </w:tc>
              <w:tc>
                <w:tcPr>
                  <w:tcW w:w="471" w:type="pct"/>
                  <w:vAlign w:val="center"/>
                </w:tcPr>
                <w:p>
                  <w:pPr>
                    <w:pStyle w:val="37"/>
                    <w:rPr>
                      <w:color w:val="000000"/>
                    </w:rPr>
                  </w:pPr>
                  <w:r>
                    <w:rPr>
                      <w:color w:val="00000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vAlign w:val="center"/>
                </w:tcPr>
                <w:p>
                  <w:pPr>
                    <w:pStyle w:val="37"/>
                    <w:jc w:val="both"/>
                    <w:rPr>
                      <w:color w:val="000000"/>
                    </w:rPr>
                  </w:pPr>
                  <w:r>
                    <w:rPr>
                      <w:rFonts w:hint="eastAsia"/>
                      <w:color w:val="000000"/>
                    </w:rPr>
                    <w:t>完善开发区环境基础设施建设。加快推进污水处理厂和污水管网建设，提升开发区中水回用水平。固体废物应依法依规处理处置，危险废物交由有资质的单位统一收集处理</w:t>
                  </w:r>
                </w:p>
              </w:tc>
              <w:tc>
                <w:tcPr>
                  <w:tcW w:w="1266" w:type="pct"/>
                  <w:vAlign w:val="center"/>
                </w:tcPr>
                <w:p>
                  <w:pPr>
                    <w:pStyle w:val="37"/>
                    <w:jc w:val="both"/>
                    <w:rPr>
                      <w:color w:val="000000"/>
                    </w:rPr>
                  </w:pPr>
                  <w:r>
                    <w:rPr>
                      <w:rFonts w:hint="eastAsia"/>
                      <w:color w:val="000000"/>
                    </w:rPr>
                    <w:t>项目园区内已完善配套污水管网设施，厂区内产生的废水均可达标排放；固体废物均可妥善处置。</w:t>
                  </w:r>
                </w:p>
              </w:tc>
              <w:tc>
                <w:tcPr>
                  <w:tcW w:w="471" w:type="pct"/>
                  <w:vAlign w:val="center"/>
                </w:tcPr>
                <w:p>
                  <w:pPr>
                    <w:pStyle w:val="37"/>
                    <w:rPr>
                      <w:color w:val="000000"/>
                    </w:rPr>
                  </w:pPr>
                  <w:r>
                    <w:rPr>
                      <w:color w:val="000000"/>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vAlign w:val="center"/>
                </w:tcPr>
                <w:p>
                  <w:pPr>
                    <w:pStyle w:val="37"/>
                    <w:jc w:val="both"/>
                    <w:rPr>
                      <w:color w:val="000000"/>
                    </w:rPr>
                  </w:pPr>
                  <w:r>
                    <w:rPr>
                      <w:rFonts w:hint="eastAsia"/>
                      <w:color w:val="000000"/>
                    </w:rPr>
                    <w:t>完善环境监测体系，明确实施时限、责任主体等，做好开发区内大气、地表水、地下水、土壤等的长期跟踪监测与管理，根据跟踪监测评价结果适时优化调整《规划》内容。</w:t>
                  </w:r>
                </w:p>
              </w:tc>
              <w:tc>
                <w:tcPr>
                  <w:tcW w:w="1266" w:type="pct"/>
                  <w:vAlign w:val="center"/>
                </w:tcPr>
                <w:p>
                  <w:pPr>
                    <w:pStyle w:val="37"/>
                    <w:rPr>
                      <w:color w:val="000000"/>
                    </w:rPr>
                  </w:pPr>
                  <w:r>
                    <w:rPr>
                      <w:rFonts w:hint="eastAsia"/>
                      <w:color w:val="000000"/>
                    </w:rPr>
                    <w:t>本次评价已对该项目提出了自行监测的要求。</w:t>
                  </w:r>
                </w:p>
              </w:tc>
              <w:tc>
                <w:tcPr>
                  <w:tcW w:w="471" w:type="pct"/>
                  <w:vAlign w:val="center"/>
                </w:tcPr>
                <w:p>
                  <w:pPr>
                    <w:pStyle w:val="37"/>
                    <w:rPr>
                      <w:color w:val="000000"/>
                    </w:rPr>
                  </w:pPr>
                  <w:r>
                    <w:rPr>
                      <w:color w:val="000000"/>
                    </w:rPr>
                    <w:t>相符</w:t>
                  </w:r>
                </w:p>
              </w:tc>
            </w:tr>
          </w:tbl>
          <w:p>
            <w:pPr>
              <w:ind w:firstLine="480"/>
              <w:rPr>
                <w:color w:val="000000"/>
              </w:rPr>
            </w:pPr>
            <w:r>
              <w:rPr>
                <w:rFonts w:hint="eastAsia"/>
                <w:color w:val="000000"/>
              </w:rPr>
              <w:t>由上表可知，扩建项目建设符合南昌小蓝经济技术开发区规划环评审查意见的相关要求。</w:t>
            </w:r>
          </w:p>
          <w:p>
            <w:pPr>
              <w:ind w:firstLine="482"/>
              <w:rPr>
                <w:b/>
                <w:color w:val="000000"/>
              </w:rPr>
            </w:pPr>
            <w:r>
              <w:rPr>
                <w:rFonts w:hint="eastAsia"/>
                <w:b/>
                <w:color w:val="000000"/>
              </w:rPr>
              <w:t>（4）与园区规划环评环境准入产业负面清单相符性分析</w:t>
            </w:r>
          </w:p>
          <w:p>
            <w:pPr>
              <w:ind w:firstLine="482"/>
              <w:rPr>
                <w:rFonts w:hAnsi="宋体"/>
                <w:b/>
                <w:bCs/>
                <w:color w:val="000000"/>
              </w:rPr>
            </w:pPr>
            <w:r>
              <w:rPr>
                <w:rFonts w:hint="eastAsia" w:hAnsi="宋体"/>
                <w:b/>
                <w:bCs/>
                <w:color w:val="000000"/>
              </w:rPr>
              <w:t>1、园区环境准入负面清单</w:t>
            </w:r>
          </w:p>
          <w:p>
            <w:pPr>
              <w:ind w:firstLine="480"/>
              <w:rPr>
                <w:color w:val="000000"/>
              </w:rPr>
            </w:pPr>
            <w:r>
              <w:rPr>
                <w:rFonts w:hint="eastAsia"/>
                <w:color w:val="000000"/>
              </w:rPr>
              <w:t>扩建</w:t>
            </w:r>
            <w:r>
              <w:rPr>
                <w:rFonts w:hint="eastAsia" w:hAnsi="宋体"/>
                <w:color w:val="000000"/>
              </w:rPr>
              <w:t>项目与《南昌小蓝经济技术开发区规划环境影响报告书（报批稿）》中南昌小蓝经济技术开发区总体要求符合性分析见下表。</w:t>
            </w:r>
          </w:p>
          <w:p>
            <w:pPr>
              <w:pStyle w:val="38"/>
              <w:rPr>
                <w:color w:val="000000"/>
              </w:rPr>
            </w:pPr>
            <w:r>
              <w:rPr>
                <w:rFonts w:hint="eastAsia"/>
                <w:color w:val="000000"/>
              </w:rPr>
              <w:t>表1-3  扩建项目与南昌小蓝经济技术开发区总体要求符合性分析</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3400"/>
              <w:gridCol w:w="2562"/>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 w:type="pct"/>
                  <w:tcBorders>
                    <w:tl2br w:val="nil"/>
                    <w:tr2bl w:val="nil"/>
                  </w:tcBorders>
                  <w:vAlign w:val="center"/>
                </w:tcPr>
                <w:p>
                  <w:pPr>
                    <w:pStyle w:val="37"/>
                    <w:rPr>
                      <w:b/>
                      <w:bCs/>
                      <w:color w:val="000000"/>
                    </w:rPr>
                  </w:pPr>
                  <w:r>
                    <w:rPr>
                      <w:b/>
                      <w:bCs/>
                      <w:color w:val="000000"/>
                    </w:rPr>
                    <w:t>序号</w:t>
                  </w:r>
                </w:p>
              </w:tc>
              <w:tc>
                <w:tcPr>
                  <w:tcW w:w="2434" w:type="pct"/>
                  <w:tcBorders>
                    <w:tl2br w:val="nil"/>
                    <w:tr2bl w:val="nil"/>
                  </w:tcBorders>
                  <w:vAlign w:val="center"/>
                </w:tcPr>
                <w:p>
                  <w:pPr>
                    <w:pStyle w:val="37"/>
                    <w:rPr>
                      <w:b/>
                      <w:bCs/>
                      <w:color w:val="000000"/>
                    </w:rPr>
                  </w:pPr>
                  <w:r>
                    <w:rPr>
                      <w:b/>
                      <w:bCs/>
                      <w:color w:val="000000"/>
                    </w:rPr>
                    <w:t>南昌小蓝经济技术开发区总体要求</w:t>
                  </w:r>
                </w:p>
                <w:p>
                  <w:pPr>
                    <w:pStyle w:val="37"/>
                    <w:rPr>
                      <w:b/>
                      <w:bCs/>
                      <w:color w:val="000000"/>
                    </w:rPr>
                  </w:pPr>
                  <w:r>
                    <w:rPr>
                      <w:b/>
                      <w:bCs/>
                      <w:color w:val="000000"/>
                    </w:rPr>
                    <w:t>（环境准入负面清单）</w:t>
                  </w:r>
                </w:p>
              </w:tc>
              <w:tc>
                <w:tcPr>
                  <w:tcW w:w="1834" w:type="pct"/>
                  <w:tcBorders>
                    <w:tl2br w:val="nil"/>
                    <w:tr2bl w:val="nil"/>
                  </w:tcBorders>
                  <w:vAlign w:val="center"/>
                </w:tcPr>
                <w:p>
                  <w:pPr>
                    <w:pStyle w:val="37"/>
                    <w:rPr>
                      <w:b/>
                      <w:bCs/>
                      <w:color w:val="000000"/>
                    </w:rPr>
                  </w:pPr>
                  <w:r>
                    <w:rPr>
                      <w:b/>
                      <w:bCs/>
                      <w:color w:val="000000"/>
                    </w:rPr>
                    <w:t>项目情况</w:t>
                  </w:r>
                </w:p>
              </w:tc>
              <w:tc>
                <w:tcPr>
                  <w:tcW w:w="418" w:type="pct"/>
                  <w:tcBorders>
                    <w:tl2br w:val="nil"/>
                    <w:tr2bl w:val="nil"/>
                  </w:tcBorders>
                  <w:vAlign w:val="center"/>
                </w:tcPr>
                <w:p>
                  <w:pPr>
                    <w:pStyle w:val="37"/>
                    <w:rPr>
                      <w:b/>
                      <w:bCs/>
                      <w:color w:val="000000"/>
                    </w:rPr>
                  </w:pPr>
                  <w:r>
                    <w:rPr>
                      <w:b/>
                      <w:bCs/>
                      <w:color w:val="00000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tcBorders>
                    <w:tl2br w:val="nil"/>
                    <w:tr2bl w:val="nil"/>
                  </w:tcBorders>
                  <w:vAlign w:val="center"/>
                </w:tcPr>
                <w:p>
                  <w:pPr>
                    <w:pStyle w:val="37"/>
                    <w:rPr>
                      <w:color w:val="000000"/>
                    </w:rPr>
                  </w:pPr>
                  <w:r>
                    <w:rPr>
                      <w:rFonts w:hint="eastAsia"/>
                      <w:color w:val="000000"/>
                    </w:rPr>
                    <w:t>1</w:t>
                  </w:r>
                </w:p>
              </w:tc>
              <w:tc>
                <w:tcPr>
                  <w:tcW w:w="2434" w:type="pct"/>
                  <w:tcBorders>
                    <w:tl2br w:val="nil"/>
                    <w:tr2bl w:val="nil"/>
                  </w:tcBorders>
                  <w:vAlign w:val="center"/>
                </w:tcPr>
                <w:p>
                  <w:pPr>
                    <w:pStyle w:val="37"/>
                    <w:jc w:val="left"/>
                    <w:rPr>
                      <w:color w:val="000000"/>
                    </w:rPr>
                  </w:pPr>
                  <w:r>
                    <w:rPr>
                      <w:color w:val="000000"/>
                    </w:rPr>
                    <w:t>《产业结构调整指导目录》（2019年本）中限制、淘汰类项目</w:t>
                  </w:r>
                  <w:r>
                    <w:rPr>
                      <w:rFonts w:hint="eastAsia"/>
                      <w:color w:val="000000"/>
                    </w:rPr>
                    <w:t>。</w:t>
                  </w:r>
                </w:p>
              </w:tc>
              <w:tc>
                <w:tcPr>
                  <w:tcW w:w="1834" w:type="pct"/>
                  <w:tcBorders>
                    <w:tl2br w:val="nil"/>
                    <w:tr2bl w:val="nil"/>
                  </w:tcBorders>
                  <w:vAlign w:val="center"/>
                </w:tcPr>
                <w:p>
                  <w:pPr>
                    <w:pStyle w:val="37"/>
                    <w:jc w:val="left"/>
                    <w:rPr>
                      <w:color w:val="000000"/>
                    </w:rPr>
                  </w:pPr>
                  <w:r>
                    <w:rPr>
                      <w:color w:val="000000"/>
                    </w:rPr>
                    <w:t>项目不属于《产业结构调整指导目录》（20</w:t>
                  </w:r>
                  <w:r>
                    <w:rPr>
                      <w:rFonts w:hint="eastAsia"/>
                      <w:color w:val="000000"/>
                    </w:rPr>
                    <w:t>24年</w:t>
                  </w:r>
                  <w:r>
                    <w:rPr>
                      <w:rFonts w:hint="eastAsia"/>
                    </w:rPr>
                    <w:t>本</w:t>
                  </w:r>
                  <w:r>
                    <w:rPr>
                      <w:rFonts w:hint="eastAsia"/>
                      <w:color w:val="000000"/>
                    </w:rPr>
                    <w:t>）</w:t>
                  </w:r>
                  <w:r>
                    <w:rPr>
                      <w:color w:val="000000"/>
                    </w:rPr>
                    <w:t>中鼓励类、限制类、淘汰类，为允许类。</w:t>
                  </w:r>
                </w:p>
              </w:tc>
              <w:tc>
                <w:tcPr>
                  <w:tcW w:w="418" w:type="pct"/>
                  <w:tcBorders>
                    <w:tl2br w:val="nil"/>
                    <w:tr2bl w:val="nil"/>
                  </w:tcBorders>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tcBorders>
                    <w:tl2br w:val="nil"/>
                    <w:tr2bl w:val="nil"/>
                  </w:tcBorders>
                  <w:vAlign w:val="center"/>
                </w:tcPr>
                <w:p>
                  <w:pPr>
                    <w:pStyle w:val="37"/>
                    <w:rPr>
                      <w:color w:val="000000"/>
                    </w:rPr>
                  </w:pPr>
                  <w:r>
                    <w:rPr>
                      <w:rFonts w:hint="eastAsia"/>
                      <w:color w:val="000000"/>
                    </w:rPr>
                    <w:t>2</w:t>
                  </w:r>
                </w:p>
              </w:tc>
              <w:tc>
                <w:tcPr>
                  <w:tcW w:w="2434" w:type="pct"/>
                  <w:tcBorders>
                    <w:tl2br w:val="nil"/>
                    <w:tr2bl w:val="nil"/>
                  </w:tcBorders>
                  <w:vAlign w:val="center"/>
                </w:tcPr>
                <w:p>
                  <w:pPr>
                    <w:pStyle w:val="37"/>
                    <w:jc w:val="left"/>
                    <w:rPr>
                      <w:color w:val="000000"/>
                    </w:rPr>
                  </w:pPr>
                  <w:r>
                    <w:rPr>
                      <w:color w:val="000000"/>
                    </w:rPr>
                    <w:t>《外商投资产业指导目录》（2019年）中限制、淘汰类项目</w:t>
                  </w:r>
                  <w:r>
                    <w:rPr>
                      <w:rFonts w:hint="eastAsia"/>
                      <w:color w:val="000000"/>
                    </w:rPr>
                    <w:t>。</w:t>
                  </w:r>
                </w:p>
              </w:tc>
              <w:tc>
                <w:tcPr>
                  <w:tcW w:w="1834" w:type="pct"/>
                  <w:tcBorders>
                    <w:tl2br w:val="nil"/>
                    <w:tr2bl w:val="nil"/>
                  </w:tcBorders>
                  <w:vAlign w:val="center"/>
                </w:tcPr>
                <w:p>
                  <w:pPr>
                    <w:pStyle w:val="37"/>
                    <w:jc w:val="left"/>
                    <w:rPr>
                      <w:color w:val="000000"/>
                    </w:rPr>
                  </w:pPr>
                  <w:r>
                    <w:rPr>
                      <w:color w:val="000000"/>
                    </w:rPr>
                    <w:t>不属于《外商投资产业指导目录》（2019年）中限制、淘汰类项目</w:t>
                  </w:r>
                  <w:r>
                    <w:rPr>
                      <w:rFonts w:hint="eastAsia"/>
                      <w:color w:val="000000"/>
                    </w:rPr>
                    <w:t>。</w:t>
                  </w:r>
                </w:p>
              </w:tc>
              <w:tc>
                <w:tcPr>
                  <w:tcW w:w="418" w:type="pct"/>
                  <w:tcBorders>
                    <w:tl2br w:val="nil"/>
                    <w:tr2bl w:val="nil"/>
                  </w:tcBorders>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tcBorders>
                    <w:tl2br w:val="nil"/>
                    <w:tr2bl w:val="nil"/>
                  </w:tcBorders>
                  <w:vAlign w:val="center"/>
                </w:tcPr>
                <w:p>
                  <w:pPr>
                    <w:pStyle w:val="37"/>
                    <w:rPr>
                      <w:color w:val="000000"/>
                    </w:rPr>
                  </w:pPr>
                  <w:r>
                    <w:rPr>
                      <w:rFonts w:hint="eastAsia"/>
                      <w:color w:val="000000"/>
                    </w:rPr>
                    <w:t>3</w:t>
                  </w:r>
                </w:p>
              </w:tc>
              <w:tc>
                <w:tcPr>
                  <w:tcW w:w="2434" w:type="pct"/>
                  <w:tcBorders>
                    <w:tl2br w:val="nil"/>
                    <w:tr2bl w:val="nil"/>
                  </w:tcBorders>
                  <w:vAlign w:val="center"/>
                </w:tcPr>
                <w:p>
                  <w:pPr>
                    <w:pStyle w:val="37"/>
                    <w:jc w:val="left"/>
                    <w:rPr>
                      <w:color w:val="000000"/>
                    </w:rPr>
                  </w:pPr>
                  <w:r>
                    <w:rPr>
                      <w:color w:val="000000"/>
                    </w:rPr>
                    <w:t>《国土资源部禁止和限制用地项目名录</w:t>
                  </w:r>
                  <w:r>
                    <w:rPr>
                      <w:rFonts w:hint="eastAsia"/>
                      <w:color w:val="000000"/>
                    </w:rPr>
                    <w:t>（</w:t>
                  </w:r>
                  <w:r>
                    <w:rPr>
                      <w:color w:val="000000"/>
                    </w:rPr>
                    <w:t>2012年本</w:t>
                  </w:r>
                  <w:r>
                    <w:rPr>
                      <w:rFonts w:hint="eastAsia"/>
                      <w:color w:val="000000"/>
                    </w:rPr>
                    <w:t>）</w:t>
                  </w:r>
                  <w:r>
                    <w:rPr>
                      <w:color w:val="000000"/>
                    </w:rPr>
                    <w:t>》中的项目</w:t>
                  </w:r>
                  <w:r>
                    <w:rPr>
                      <w:rFonts w:hint="eastAsia"/>
                      <w:color w:val="000000"/>
                    </w:rPr>
                    <w:t>。</w:t>
                  </w:r>
                </w:p>
              </w:tc>
              <w:tc>
                <w:tcPr>
                  <w:tcW w:w="1834" w:type="pct"/>
                  <w:tcBorders>
                    <w:tl2br w:val="nil"/>
                    <w:tr2bl w:val="nil"/>
                  </w:tcBorders>
                  <w:vAlign w:val="center"/>
                </w:tcPr>
                <w:p>
                  <w:pPr>
                    <w:pStyle w:val="37"/>
                    <w:jc w:val="left"/>
                    <w:rPr>
                      <w:color w:val="000000"/>
                    </w:rPr>
                  </w:pPr>
                  <w:r>
                    <w:rPr>
                      <w:color w:val="000000"/>
                    </w:rPr>
                    <w:t>不属于禁止入驻项目</w:t>
                  </w:r>
                  <w:r>
                    <w:rPr>
                      <w:rFonts w:hint="eastAsia"/>
                      <w:color w:val="000000"/>
                    </w:rPr>
                    <w:t>。</w:t>
                  </w:r>
                </w:p>
              </w:tc>
              <w:tc>
                <w:tcPr>
                  <w:tcW w:w="418" w:type="pct"/>
                  <w:tcBorders>
                    <w:tl2br w:val="nil"/>
                    <w:tr2bl w:val="nil"/>
                  </w:tcBorders>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tcBorders>
                    <w:tl2br w:val="nil"/>
                    <w:tr2bl w:val="nil"/>
                  </w:tcBorders>
                  <w:vAlign w:val="center"/>
                </w:tcPr>
                <w:p>
                  <w:pPr>
                    <w:pStyle w:val="37"/>
                    <w:rPr>
                      <w:color w:val="000000"/>
                    </w:rPr>
                  </w:pPr>
                  <w:r>
                    <w:rPr>
                      <w:rFonts w:hint="eastAsia"/>
                      <w:color w:val="000000"/>
                    </w:rPr>
                    <w:t>4</w:t>
                  </w:r>
                </w:p>
              </w:tc>
              <w:tc>
                <w:tcPr>
                  <w:tcW w:w="2434" w:type="pct"/>
                  <w:tcBorders>
                    <w:tl2br w:val="nil"/>
                    <w:tr2bl w:val="nil"/>
                  </w:tcBorders>
                  <w:vAlign w:val="center"/>
                </w:tcPr>
                <w:p>
                  <w:pPr>
                    <w:pStyle w:val="37"/>
                    <w:jc w:val="left"/>
                    <w:rPr>
                      <w:color w:val="000000"/>
                    </w:rPr>
                  </w:pPr>
                  <w:r>
                    <w:rPr>
                      <w:rFonts w:hint="eastAsia"/>
                      <w:color w:val="000000"/>
                    </w:rPr>
                    <w:t>与国务院大气、水、土壤污染防治十条措施相违背的项目。</w:t>
                  </w:r>
                </w:p>
              </w:tc>
              <w:tc>
                <w:tcPr>
                  <w:tcW w:w="1834" w:type="pct"/>
                  <w:tcBorders>
                    <w:tl2br w:val="nil"/>
                    <w:tr2bl w:val="nil"/>
                  </w:tcBorders>
                  <w:vAlign w:val="center"/>
                </w:tcPr>
                <w:p>
                  <w:pPr>
                    <w:pStyle w:val="37"/>
                    <w:jc w:val="left"/>
                    <w:rPr>
                      <w:color w:val="000000"/>
                    </w:rPr>
                  </w:pPr>
                  <w:r>
                    <w:rPr>
                      <w:rFonts w:hint="eastAsia"/>
                      <w:color w:val="000000"/>
                    </w:rPr>
                    <w:t>不属于国务院大气、水、土壤污染防治十条措施相违背的项目。</w:t>
                  </w:r>
                </w:p>
              </w:tc>
              <w:tc>
                <w:tcPr>
                  <w:tcW w:w="418" w:type="pct"/>
                  <w:tcBorders>
                    <w:tl2br w:val="nil"/>
                    <w:tr2bl w:val="nil"/>
                  </w:tcBorders>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tcBorders>
                    <w:tl2br w:val="nil"/>
                    <w:tr2bl w:val="nil"/>
                  </w:tcBorders>
                  <w:vAlign w:val="center"/>
                </w:tcPr>
                <w:p>
                  <w:pPr>
                    <w:pStyle w:val="37"/>
                    <w:rPr>
                      <w:color w:val="000000"/>
                    </w:rPr>
                  </w:pPr>
                  <w:r>
                    <w:rPr>
                      <w:rFonts w:hint="eastAsia"/>
                      <w:color w:val="000000"/>
                    </w:rPr>
                    <w:t>5</w:t>
                  </w:r>
                </w:p>
              </w:tc>
              <w:tc>
                <w:tcPr>
                  <w:tcW w:w="2434" w:type="pct"/>
                  <w:tcBorders>
                    <w:tl2br w:val="nil"/>
                    <w:tr2bl w:val="nil"/>
                  </w:tcBorders>
                  <w:vAlign w:val="center"/>
                </w:tcPr>
                <w:p>
                  <w:pPr>
                    <w:pStyle w:val="37"/>
                    <w:jc w:val="left"/>
                    <w:rPr>
                      <w:color w:val="000000"/>
                    </w:rPr>
                  </w:pPr>
                  <w:r>
                    <w:rPr>
                      <w:rFonts w:hint="eastAsia"/>
                      <w:color w:val="000000"/>
                    </w:rPr>
                    <w:t>涉及生态红线且不符合国家、地方生态红线管理办法的项目。</w:t>
                  </w:r>
                </w:p>
              </w:tc>
              <w:tc>
                <w:tcPr>
                  <w:tcW w:w="1834" w:type="pct"/>
                  <w:tcBorders>
                    <w:tl2br w:val="nil"/>
                    <w:tr2bl w:val="nil"/>
                  </w:tcBorders>
                  <w:vAlign w:val="center"/>
                </w:tcPr>
                <w:p>
                  <w:pPr>
                    <w:pStyle w:val="37"/>
                    <w:jc w:val="left"/>
                    <w:rPr>
                      <w:color w:val="000000"/>
                    </w:rPr>
                  </w:pPr>
                  <w:r>
                    <w:rPr>
                      <w:rFonts w:hint="eastAsia"/>
                      <w:color w:val="000000"/>
                    </w:rPr>
                    <w:t>项目位于南昌市南昌县小蓝经济开发区江铃汽车股份有限公司（小蓝分公司）现有厂区内，不涉及生态红线。</w:t>
                  </w:r>
                </w:p>
              </w:tc>
              <w:tc>
                <w:tcPr>
                  <w:tcW w:w="418" w:type="pct"/>
                  <w:tcBorders>
                    <w:tl2br w:val="nil"/>
                    <w:tr2bl w:val="nil"/>
                  </w:tcBorders>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tcBorders>
                    <w:tl2br w:val="nil"/>
                    <w:tr2bl w:val="nil"/>
                  </w:tcBorders>
                  <w:vAlign w:val="center"/>
                </w:tcPr>
                <w:p>
                  <w:pPr>
                    <w:pStyle w:val="37"/>
                    <w:rPr>
                      <w:color w:val="000000"/>
                    </w:rPr>
                  </w:pPr>
                  <w:r>
                    <w:rPr>
                      <w:rFonts w:hint="eastAsia"/>
                      <w:color w:val="000000"/>
                    </w:rPr>
                    <w:t>6</w:t>
                  </w:r>
                </w:p>
              </w:tc>
              <w:tc>
                <w:tcPr>
                  <w:tcW w:w="2434" w:type="pct"/>
                  <w:tcBorders>
                    <w:tl2br w:val="nil"/>
                    <w:tr2bl w:val="nil"/>
                  </w:tcBorders>
                  <w:vAlign w:val="center"/>
                </w:tcPr>
                <w:p>
                  <w:pPr>
                    <w:pStyle w:val="37"/>
                    <w:jc w:val="left"/>
                    <w:rPr>
                      <w:color w:val="000000"/>
                    </w:rPr>
                  </w:pPr>
                  <w:r>
                    <w:rPr>
                      <w:rFonts w:hint="eastAsia"/>
                      <w:color w:val="000000"/>
                    </w:rPr>
                    <w:t>《江西省人民政府办公厅转发省发改委省环保局关于加强高能耗高排放项目准入管理实施意见的通知》（赣府厅[2008]58号）文中的高污染、高能耗项目。</w:t>
                  </w:r>
                </w:p>
              </w:tc>
              <w:tc>
                <w:tcPr>
                  <w:tcW w:w="1834" w:type="pct"/>
                  <w:tcBorders>
                    <w:tl2br w:val="nil"/>
                    <w:tr2bl w:val="nil"/>
                  </w:tcBorders>
                  <w:vAlign w:val="center"/>
                </w:tcPr>
                <w:p>
                  <w:pPr>
                    <w:pStyle w:val="37"/>
                    <w:jc w:val="left"/>
                    <w:rPr>
                      <w:color w:val="000000"/>
                    </w:rPr>
                  </w:pPr>
                  <w:r>
                    <w:rPr>
                      <w:rFonts w:hint="eastAsia"/>
                      <w:color w:val="000000"/>
                    </w:rPr>
                    <w:t>不属于高污染、高能耗项目。</w:t>
                  </w:r>
                </w:p>
              </w:tc>
              <w:tc>
                <w:tcPr>
                  <w:tcW w:w="418" w:type="pct"/>
                  <w:tcBorders>
                    <w:tl2br w:val="nil"/>
                    <w:tr2bl w:val="nil"/>
                  </w:tcBorders>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tcBorders>
                    <w:tl2br w:val="nil"/>
                    <w:tr2bl w:val="nil"/>
                  </w:tcBorders>
                  <w:vAlign w:val="center"/>
                </w:tcPr>
                <w:p>
                  <w:pPr>
                    <w:pStyle w:val="37"/>
                    <w:rPr>
                      <w:color w:val="000000"/>
                    </w:rPr>
                  </w:pPr>
                  <w:r>
                    <w:rPr>
                      <w:rFonts w:hint="eastAsia"/>
                      <w:color w:val="000000"/>
                    </w:rPr>
                    <w:t>7</w:t>
                  </w:r>
                </w:p>
              </w:tc>
              <w:tc>
                <w:tcPr>
                  <w:tcW w:w="2434" w:type="pct"/>
                  <w:tcBorders>
                    <w:tl2br w:val="nil"/>
                    <w:tr2bl w:val="nil"/>
                  </w:tcBorders>
                  <w:vAlign w:val="center"/>
                </w:tcPr>
                <w:p>
                  <w:pPr>
                    <w:pStyle w:val="37"/>
                    <w:jc w:val="left"/>
                    <w:rPr>
                      <w:color w:val="000000"/>
                    </w:rPr>
                  </w:pPr>
                  <w:r>
                    <w:rPr>
                      <w:rFonts w:hint="eastAsia"/>
                      <w:color w:val="000000"/>
                    </w:rPr>
                    <w:t>其他类型项目：</w:t>
                  </w:r>
                </w:p>
                <w:p>
                  <w:pPr>
                    <w:pStyle w:val="37"/>
                    <w:jc w:val="left"/>
                    <w:rPr>
                      <w:color w:val="000000"/>
                    </w:rPr>
                  </w:pPr>
                  <w:r>
                    <w:rPr>
                      <w:rFonts w:hint="eastAsia"/>
                      <w:color w:val="000000"/>
                    </w:rPr>
                    <w:t>新增铅、汞、镉、铬、砷等重金属排放且无总量来源的项目。</w:t>
                  </w:r>
                </w:p>
                <w:p>
                  <w:pPr>
                    <w:pStyle w:val="37"/>
                    <w:jc w:val="left"/>
                    <w:rPr>
                      <w:color w:val="000000"/>
                    </w:rPr>
                  </w:pPr>
                  <w:r>
                    <w:rPr>
                      <w:rFonts w:hint="eastAsia"/>
                      <w:color w:val="000000"/>
                    </w:rPr>
                    <w:t>排放高盐废水或高浓度有机废水，且不能有效处置的项目。</w:t>
                  </w:r>
                </w:p>
                <w:p>
                  <w:pPr>
                    <w:pStyle w:val="37"/>
                    <w:jc w:val="left"/>
                    <w:rPr>
                      <w:color w:val="000000"/>
                    </w:rPr>
                  </w:pPr>
                  <w:r>
                    <w:rPr>
                      <w:rFonts w:hint="eastAsia"/>
                      <w:color w:val="000000"/>
                    </w:rPr>
                    <w:t>排放异味或高浓度有机废气，且不能有效处置的项目。</w:t>
                  </w:r>
                </w:p>
                <w:p>
                  <w:pPr>
                    <w:pStyle w:val="37"/>
                    <w:jc w:val="left"/>
                    <w:rPr>
                      <w:color w:val="000000"/>
                    </w:rPr>
                  </w:pPr>
                  <w:r>
                    <w:rPr>
                      <w:rFonts w:hint="eastAsia"/>
                      <w:color w:val="000000"/>
                    </w:rPr>
                    <w:t>新建、扩建、改建水泥制造项目。</w:t>
                  </w:r>
                </w:p>
                <w:p>
                  <w:pPr>
                    <w:pStyle w:val="37"/>
                    <w:jc w:val="left"/>
                    <w:rPr>
                      <w:color w:val="000000"/>
                    </w:rPr>
                  </w:pPr>
                  <w:r>
                    <w:rPr>
                      <w:rFonts w:hint="eastAsia"/>
                      <w:color w:val="000000"/>
                    </w:rPr>
                    <w:t>染料、染料中间体、有机染料、印染助剂生产项目。</w:t>
                  </w:r>
                </w:p>
                <w:p>
                  <w:pPr>
                    <w:pStyle w:val="37"/>
                    <w:jc w:val="left"/>
                    <w:rPr>
                      <w:color w:val="000000"/>
                    </w:rPr>
                  </w:pPr>
                  <w:r>
                    <w:rPr>
                      <w:rFonts w:hint="eastAsia"/>
                      <w:color w:val="000000"/>
                    </w:rPr>
                    <w:t>燃煤、重油、渣油及直接燃用生物质锅炉项目。</w:t>
                  </w:r>
                </w:p>
                <w:p>
                  <w:pPr>
                    <w:pStyle w:val="37"/>
                    <w:jc w:val="left"/>
                    <w:rPr>
                      <w:color w:val="000000"/>
                    </w:rPr>
                  </w:pPr>
                  <w:r>
                    <w:rPr>
                      <w:rFonts w:hint="eastAsia"/>
                      <w:color w:val="000000"/>
                    </w:rPr>
                    <w:t>高环境风险的危险废物综合利用及处置项目（园区配套项目除外）。</w:t>
                  </w:r>
                </w:p>
                <w:p>
                  <w:pPr>
                    <w:pStyle w:val="37"/>
                    <w:jc w:val="left"/>
                    <w:rPr>
                      <w:color w:val="000000"/>
                    </w:rPr>
                  </w:pPr>
                  <w:r>
                    <w:rPr>
                      <w:rFonts w:hint="eastAsia"/>
                      <w:color w:val="000000"/>
                    </w:rPr>
                    <w:t>单纯电镀加工项目（产业中工序配套需要的除外）。</w:t>
                  </w:r>
                </w:p>
                <w:p>
                  <w:pPr>
                    <w:pStyle w:val="37"/>
                    <w:jc w:val="left"/>
                    <w:rPr>
                      <w:color w:val="000000"/>
                    </w:rPr>
                  </w:pPr>
                  <w:r>
                    <w:rPr>
                      <w:rFonts w:hint="eastAsia"/>
                      <w:color w:val="000000"/>
                    </w:rPr>
                    <w:t>与开发区内文教区和生活区较近、排放恶臭、异味和噪声较大的项目。</w:t>
                  </w:r>
                </w:p>
                <w:p>
                  <w:pPr>
                    <w:pStyle w:val="37"/>
                    <w:jc w:val="left"/>
                    <w:rPr>
                      <w:color w:val="000000"/>
                    </w:rPr>
                  </w:pPr>
                  <w:r>
                    <w:rPr>
                      <w:rFonts w:hint="eastAsia"/>
                      <w:color w:val="000000"/>
                    </w:rPr>
                    <w:t>对开发区生态敏感目标产生生态影响的项目。</w:t>
                  </w:r>
                </w:p>
              </w:tc>
              <w:tc>
                <w:tcPr>
                  <w:tcW w:w="1834" w:type="pct"/>
                  <w:tcBorders>
                    <w:tl2br w:val="nil"/>
                    <w:tr2bl w:val="nil"/>
                  </w:tcBorders>
                  <w:vAlign w:val="center"/>
                </w:tcPr>
                <w:p>
                  <w:pPr>
                    <w:pStyle w:val="37"/>
                    <w:jc w:val="left"/>
                    <w:rPr>
                      <w:color w:val="000000"/>
                    </w:rPr>
                  </w:pPr>
                  <w:r>
                    <w:rPr>
                      <w:rFonts w:hint="eastAsia"/>
                      <w:color w:val="000000"/>
                    </w:rPr>
                    <w:t>项目不涉及铅、汞、镉、铬、砷等总量控制重金属排放。</w:t>
                  </w:r>
                </w:p>
                <w:p>
                  <w:pPr>
                    <w:pStyle w:val="37"/>
                    <w:jc w:val="left"/>
                    <w:rPr>
                      <w:color w:val="000000"/>
                    </w:rPr>
                  </w:pPr>
                  <w:r>
                    <w:rPr>
                      <w:rFonts w:hint="eastAsia"/>
                      <w:color w:val="000000"/>
                    </w:rPr>
                    <w:t>不属于排放高盐废水或高浓度有机废水的项目。</w:t>
                  </w:r>
                </w:p>
                <w:p>
                  <w:pPr>
                    <w:pStyle w:val="37"/>
                    <w:jc w:val="left"/>
                    <w:rPr>
                      <w:color w:val="000000"/>
                    </w:rPr>
                  </w:pPr>
                  <w:r>
                    <w:rPr>
                      <w:rFonts w:hint="eastAsia"/>
                      <w:color w:val="000000"/>
                    </w:rPr>
                    <w:t>不属于排放异味或高浓度有机废气，且不能有效处置的项目。</w:t>
                  </w:r>
                </w:p>
                <w:p>
                  <w:pPr>
                    <w:pStyle w:val="37"/>
                    <w:jc w:val="left"/>
                    <w:rPr>
                      <w:color w:val="000000"/>
                    </w:rPr>
                  </w:pPr>
                  <w:r>
                    <w:rPr>
                      <w:rFonts w:hint="eastAsia"/>
                      <w:color w:val="000000"/>
                    </w:rPr>
                    <w:t>不属于新建、扩建、改建水泥制造项目。</w:t>
                  </w:r>
                </w:p>
                <w:p>
                  <w:pPr>
                    <w:pStyle w:val="37"/>
                    <w:jc w:val="left"/>
                    <w:rPr>
                      <w:color w:val="000000"/>
                    </w:rPr>
                  </w:pPr>
                  <w:r>
                    <w:rPr>
                      <w:rFonts w:hint="eastAsia"/>
                      <w:color w:val="000000"/>
                    </w:rPr>
                    <w:t>不属于染料、染料中间体、有机染料、印染助剂生产项目。</w:t>
                  </w:r>
                </w:p>
                <w:p>
                  <w:pPr>
                    <w:pStyle w:val="37"/>
                    <w:jc w:val="left"/>
                    <w:rPr>
                      <w:color w:val="000000"/>
                    </w:rPr>
                  </w:pPr>
                  <w:r>
                    <w:rPr>
                      <w:rFonts w:hint="eastAsia"/>
                      <w:color w:val="000000"/>
                    </w:rPr>
                    <w:t>不属于燃煤、重油、渣油及直接燃用生物质锅炉项目。</w:t>
                  </w:r>
                </w:p>
                <w:p>
                  <w:pPr>
                    <w:pStyle w:val="37"/>
                    <w:jc w:val="left"/>
                    <w:rPr>
                      <w:color w:val="000000"/>
                    </w:rPr>
                  </w:pPr>
                  <w:r>
                    <w:rPr>
                      <w:rFonts w:hint="eastAsia"/>
                      <w:color w:val="000000"/>
                    </w:rPr>
                    <w:t>不属于高环境风险的危险废物综合利用及处置项目。</w:t>
                  </w:r>
                </w:p>
                <w:p>
                  <w:pPr>
                    <w:pStyle w:val="37"/>
                    <w:jc w:val="left"/>
                    <w:rPr>
                      <w:color w:val="000000"/>
                    </w:rPr>
                  </w:pPr>
                  <w:r>
                    <w:rPr>
                      <w:rFonts w:hint="eastAsia"/>
                      <w:color w:val="000000"/>
                    </w:rPr>
                    <w:t>不属于电镀加工项目。</w:t>
                  </w:r>
                </w:p>
                <w:p>
                  <w:pPr>
                    <w:pStyle w:val="37"/>
                    <w:jc w:val="left"/>
                    <w:rPr>
                      <w:color w:val="000000"/>
                    </w:rPr>
                  </w:pPr>
                  <w:r>
                    <w:rPr>
                      <w:rFonts w:hint="eastAsia"/>
                      <w:color w:val="000000"/>
                    </w:rPr>
                    <w:t>项目离周边文教区和生活区较远，不属于排放恶臭、异味和噪声较大的项目，且项目产生的废气能得到有效处置。</w:t>
                  </w:r>
                </w:p>
                <w:p>
                  <w:pPr>
                    <w:pStyle w:val="37"/>
                    <w:jc w:val="left"/>
                    <w:rPr>
                      <w:color w:val="000000"/>
                    </w:rPr>
                  </w:pPr>
                  <w:r>
                    <w:rPr>
                      <w:rFonts w:hint="eastAsia"/>
                      <w:color w:val="000000"/>
                    </w:rPr>
                    <w:t>项目对开发区生态敏感目标不会产生影响。</w:t>
                  </w:r>
                </w:p>
              </w:tc>
              <w:tc>
                <w:tcPr>
                  <w:tcW w:w="418" w:type="pct"/>
                  <w:tcBorders>
                    <w:tl2br w:val="nil"/>
                    <w:tr2bl w:val="nil"/>
                  </w:tcBorders>
                  <w:vAlign w:val="center"/>
                </w:tcPr>
                <w:p>
                  <w:pPr>
                    <w:pStyle w:val="37"/>
                    <w:rPr>
                      <w:color w:val="000000"/>
                    </w:rPr>
                  </w:pPr>
                  <w:r>
                    <w:rPr>
                      <w:rFonts w:hint="eastAsia"/>
                      <w:color w:val="000000"/>
                    </w:rPr>
                    <w:t>符合</w:t>
                  </w:r>
                </w:p>
              </w:tc>
            </w:tr>
          </w:tbl>
          <w:p>
            <w:pPr>
              <w:ind w:firstLine="480"/>
              <w:rPr>
                <w:b/>
                <w:bCs/>
                <w:color w:val="000000"/>
              </w:rPr>
            </w:pPr>
            <w:r>
              <w:rPr>
                <w:rFonts w:hint="eastAsia"/>
                <w:color w:val="000000"/>
              </w:rPr>
              <w:t>由上表可知</w:t>
            </w:r>
            <w:r>
              <w:rPr>
                <w:rFonts w:hAnsi="宋体"/>
                <w:color w:val="000000"/>
              </w:rPr>
              <w:t>，</w:t>
            </w:r>
            <w:r>
              <w:rPr>
                <w:rFonts w:hint="eastAsia"/>
                <w:color w:val="000000"/>
              </w:rPr>
              <w:t>扩建</w:t>
            </w:r>
            <w:r>
              <w:rPr>
                <w:rFonts w:hAnsi="宋体"/>
                <w:color w:val="000000"/>
              </w:rPr>
              <w:t>项目</w:t>
            </w:r>
            <w:r>
              <w:rPr>
                <w:rFonts w:hint="eastAsia" w:hAnsi="宋体"/>
                <w:color w:val="000000"/>
              </w:rPr>
              <w:t>建设</w:t>
            </w:r>
            <w:r>
              <w:rPr>
                <w:rFonts w:hAnsi="宋体"/>
                <w:color w:val="000000"/>
              </w:rPr>
              <w:t>符合南昌小蓝经济技术开发区总体要求</w:t>
            </w:r>
            <w:r>
              <w:rPr>
                <w:rFonts w:hint="eastAsia" w:hAnsi="宋体"/>
                <w:color w:val="000000"/>
              </w:rPr>
              <w:t>。</w:t>
            </w:r>
          </w:p>
          <w:p>
            <w:pPr>
              <w:ind w:firstLine="482"/>
              <w:rPr>
                <w:b/>
                <w:bCs/>
                <w:color w:val="000000"/>
              </w:rPr>
            </w:pPr>
            <w:r>
              <w:rPr>
                <w:rFonts w:hint="eastAsia"/>
                <w:b/>
                <w:bCs/>
                <w:color w:val="000000"/>
              </w:rPr>
              <w:t>2、园区生态环境准入要求</w:t>
            </w:r>
          </w:p>
          <w:p>
            <w:pPr>
              <w:ind w:firstLine="480"/>
              <w:rPr>
                <w:color w:val="000000"/>
              </w:rPr>
            </w:pPr>
            <w:r>
              <w:rPr>
                <w:rFonts w:hint="eastAsia"/>
                <w:color w:val="000000"/>
              </w:rPr>
              <w:t>扩建</w:t>
            </w:r>
            <w:r>
              <w:rPr>
                <w:rFonts w:hint="eastAsia" w:hAnsi="宋体"/>
                <w:color w:val="000000"/>
              </w:rPr>
              <w:t>项目与《南昌小蓝经济技术开发区规划环境影响报告书（报批稿）》中的南昌小蓝经济技术开发区生态环境准入要求符合性分析见下表。</w:t>
            </w:r>
          </w:p>
          <w:p>
            <w:pPr>
              <w:pStyle w:val="38"/>
              <w:rPr>
                <w:color w:val="000000"/>
              </w:rPr>
            </w:pPr>
            <w:r>
              <w:rPr>
                <w:rFonts w:hint="eastAsia"/>
                <w:color w:val="000000"/>
              </w:rPr>
              <w:t>表1-4  与南昌小蓝经济技术开发区生态环境准入要求符合性分析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721"/>
              <w:gridCol w:w="2758"/>
              <w:gridCol w:w="2390"/>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blHeader/>
              </w:trPr>
              <w:tc>
                <w:tcPr>
                  <w:tcW w:w="338" w:type="pct"/>
                  <w:vAlign w:val="center"/>
                </w:tcPr>
                <w:p>
                  <w:pPr>
                    <w:pStyle w:val="37"/>
                    <w:rPr>
                      <w:b/>
                      <w:bCs/>
                      <w:color w:val="000000"/>
                    </w:rPr>
                  </w:pPr>
                  <w:r>
                    <w:rPr>
                      <w:b/>
                      <w:bCs/>
                      <w:color w:val="000000"/>
                    </w:rPr>
                    <w:t>类型</w:t>
                  </w:r>
                </w:p>
              </w:tc>
              <w:tc>
                <w:tcPr>
                  <w:tcW w:w="516" w:type="pct"/>
                  <w:vAlign w:val="center"/>
                </w:tcPr>
                <w:p>
                  <w:pPr>
                    <w:pStyle w:val="37"/>
                    <w:rPr>
                      <w:b/>
                      <w:bCs/>
                      <w:color w:val="000000"/>
                    </w:rPr>
                  </w:pPr>
                  <w:r>
                    <w:rPr>
                      <w:b/>
                      <w:bCs/>
                      <w:color w:val="000000"/>
                    </w:rPr>
                    <w:t>管控类型</w:t>
                  </w:r>
                </w:p>
              </w:tc>
              <w:tc>
                <w:tcPr>
                  <w:tcW w:w="1975" w:type="pct"/>
                  <w:vAlign w:val="center"/>
                </w:tcPr>
                <w:p>
                  <w:pPr>
                    <w:pStyle w:val="37"/>
                    <w:rPr>
                      <w:b/>
                      <w:bCs/>
                      <w:color w:val="000000"/>
                    </w:rPr>
                  </w:pPr>
                  <w:r>
                    <w:rPr>
                      <w:b/>
                      <w:bCs/>
                      <w:color w:val="000000"/>
                    </w:rPr>
                    <w:t>生态环境准入要求</w:t>
                  </w:r>
                </w:p>
              </w:tc>
              <w:tc>
                <w:tcPr>
                  <w:tcW w:w="1711" w:type="pct"/>
                  <w:vAlign w:val="center"/>
                </w:tcPr>
                <w:p>
                  <w:pPr>
                    <w:pStyle w:val="37"/>
                    <w:rPr>
                      <w:b/>
                      <w:bCs/>
                      <w:color w:val="000000"/>
                    </w:rPr>
                  </w:pPr>
                  <w:r>
                    <w:rPr>
                      <w:b/>
                      <w:bCs/>
                      <w:color w:val="000000"/>
                    </w:rPr>
                    <w:t>项目情况</w:t>
                  </w:r>
                </w:p>
              </w:tc>
              <w:tc>
                <w:tcPr>
                  <w:tcW w:w="459" w:type="pct"/>
                  <w:vAlign w:val="center"/>
                </w:tcPr>
                <w:p>
                  <w:pPr>
                    <w:pStyle w:val="37"/>
                    <w:rPr>
                      <w:b/>
                      <w:bCs/>
                      <w:color w:val="000000"/>
                    </w:rPr>
                  </w:pPr>
                  <w:r>
                    <w:rPr>
                      <w:b/>
                      <w:bCs/>
                      <w:color w:val="00000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38" w:type="pct"/>
                  <w:vMerge w:val="restart"/>
                  <w:vAlign w:val="center"/>
                </w:tcPr>
                <w:p>
                  <w:pPr>
                    <w:pStyle w:val="37"/>
                    <w:rPr>
                      <w:color w:val="000000"/>
                    </w:rPr>
                  </w:pPr>
                  <w:r>
                    <w:rPr>
                      <w:color w:val="000000"/>
                    </w:rPr>
                    <w:t>空间布局约束要求</w:t>
                  </w:r>
                </w:p>
              </w:tc>
              <w:tc>
                <w:tcPr>
                  <w:tcW w:w="516" w:type="pct"/>
                  <w:vAlign w:val="center"/>
                </w:tcPr>
                <w:p>
                  <w:pPr>
                    <w:pStyle w:val="37"/>
                    <w:rPr>
                      <w:color w:val="000000"/>
                    </w:rPr>
                  </w:pPr>
                  <w:r>
                    <w:rPr>
                      <w:color w:val="000000"/>
                    </w:rPr>
                    <w:t>禁止开发建设活动要求</w:t>
                  </w:r>
                </w:p>
              </w:tc>
              <w:tc>
                <w:tcPr>
                  <w:tcW w:w="1975" w:type="pct"/>
                  <w:vAlign w:val="center"/>
                </w:tcPr>
                <w:p>
                  <w:pPr>
                    <w:pStyle w:val="37"/>
                    <w:jc w:val="both"/>
                    <w:rPr>
                      <w:color w:val="000000"/>
                    </w:rPr>
                  </w:pPr>
                  <w:r>
                    <w:rPr>
                      <w:color w:val="000000"/>
                    </w:rPr>
                    <w:t>1、不得新建单纯电镀工艺、金属冶炼工艺、农药制造、陶瓷、水泥制造、重化工等污染严重项目；</w:t>
                  </w:r>
                </w:p>
                <w:p>
                  <w:pPr>
                    <w:pStyle w:val="37"/>
                    <w:jc w:val="both"/>
                    <w:rPr>
                      <w:color w:val="000000"/>
                    </w:rPr>
                  </w:pPr>
                  <w:r>
                    <w:rPr>
                      <w:color w:val="000000"/>
                    </w:rPr>
                    <w:t>2、不得在赣江干流5公里范围内再新布局重化工园区，1公里范围内新上钢铁（铁合金）、电石、水泥、造纸（制浆）、农药（原药生产）、电镀、皮革、焦化、有色金属冶炼、化工、印染、陶瓷、化纤（黏胶）、医药原料药等重污染项目；</w:t>
                  </w:r>
                </w:p>
                <w:p>
                  <w:pPr>
                    <w:pStyle w:val="37"/>
                    <w:jc w:val="both"/>
                    <w:rPr>
                      <w:color w:val="000000"/>
                    </w:rPr>
                  </w:pPr>
                  <w:r>
                    <w:rPr>
                      <w:color w:val="000000"/>
                    </w:rPr>
                    <w:t>3、开发区内原料药企业保持现有规模，禁止新引进的化学原料药制造行业，现有原料药企业搬迁企业应实现污染物排放减量。</w:t>
                  </w:r>
                </w:p>
                <w:p>
                  <w:pPr>
                    <w:pStyle w:val="37"/>
                    <w:jc w:val="both"/>
                    <w:rPr>
                      <w:color w:val="000000"/>
                    </w:rPr>
                  </w:pPr>
                  <w:r>
                    <w:rPr>
                      <w:color w:val="000000"/>
                    </w:rPr>
                    <w:t>4、禁止新建、改建和扩建不符合国家和省级批准的港口规划的码头项目；</w:t>
                  </w:r>
                </w:p>
                <w:p>
                  <w:pPr>
                    <w:pStyle w:val="37"/>
                    <w:jc w:val="both"/>
                    <w:rPr>
                      <w:color w:val="000000"/>
                    </w:rPr>
                  </w:pPr>
                  <w:r>
                    <w:rPr>
                      <w:color w:val="000000"/>
                    </w:rPr>
                    <w:t>5、禁止新建、扩建不符合国家石化、现代煤化工等产业布局规划的项目；</w:t>
                  </w:r>
                </w:p>
                <w:p>
                  <w:pPr>
                    <w:pStyle w:val="37"/>
                    <w:jc w:val="both"/>
                    <w:rPr>
                      <w:color w:val="000000"/>
                    </w:rPr>
                  </w:pPr>
                  <w:r>
                    <w:rPr>
                      <w:color w:val="000000"/>
                    </w:rPr>
                    <w:t>6、禁止新建、扩建法律法规和相关政策明令禁止的落后产能项目；</w:t>
                  </w:r>
                </w:p>
                <w:p>
                  <w:pPr>
                    <w:pStyle w:val="37"/>
                    <w:jc w:val="both"/>
                    <w:rPr>
                      <w:color w:val="000000"/>
                    </w:rPr>
                  </w:pPr>
                  <w:r>
                    <w:rPr>
                      <w:color w:val="000000"/>
                    </w:rPr>
                    <w:t>7、禁止新建、扩建不符合国家产能置换要求的严重过剩产能行业的项目；</w:t>
                  </w:r>
                </w:p>
                <w:p>
                  <w:pPr>
                    <w:pStyle w:val="37"/>
                    <w:jc w:val="both"/>
                    <w:rPr>
                      <w:color w:val="000000"/>
                    </w:rPr>
                  </w:pPr>
                  <w:r>
                    <w:rPr>
                      <w:color w:val="000000"/>
                    </w:rPr>
                    <w:t>8、禁止秸秆焚烧，推广秸秆综合利用示范工程；</w:t>
                  </w:r>
                </w:p>
                <w:p>
                  <w:pPr>
                    <w:pStyle w:val="37"/>
                    <w:jc w:val="both"/>
                    <w:rPr>
                      <w:color w:val="000000"/>
                    </w:rPr>
                  </w:pPr>
                  <w:r>
                    <w:rPr>
                      <w:color w:val="000000"/>
                    </w:rPr>
                    <w:t>9、禁止设施采取冲滩方式进行船舶拆解的作业场所；</w:t>
                  </w:r>
                </w:p>
                <w:p>
                  <w:pPr>
                    <w:pStyle w:val="37"/>
                    <w:jc w:val="both"/>
                    <w:rPr>
                      <w:color w:val="000000"/>
                    </w:rPr>
                  </w:pPr>
                  <w:r>
                    <w:rPr>
                      <w:color w:val="000000"/>
                    </w:rPr>
                    <w:t>10、不得新建不符合园区主导产业定位的重污染企业；</w:t>
                  </w:r>
                </w:p>
                <w:p>
                  <w:pPr>
                    <w:pStyle w:val="37"/>
                    <w:jc w:val="both"/>
                    <w:rPr>
                      <w:color w:val="000000"/>
                    </w:rPr>
                  </w:pPr>
                  <w:r>
                    <w:rPr>
                      <w:color w:val="000000"/>
                    </w:rPr>
                    <w:t>11、禁止占用区内永久基本农田。不得在基本农田集中区域边界建设有色金属冶炼、石油加工、化工、焦化、电镀、制革、危险废物利用等项目</w:t>
                  </w:r>
                </w:p>
              </w:tc>
              <w:tc>
                <w:tcPr>
                  <w:tcW w:w="1711" w:type="pct"/>
                  <w:vAlign w:val="center"/>
                </w:tcPr>
                <w:p>
                  <w:pPr>
                    <w:pStyle w:val="37"/>
                    <w:jc w:val="both"/>
                    <w:rPr>
                      <w:color w:val="000000"/>
                    </w:rPr>
                  </w:pPr>
                  <w:r>
                    <w:rPr>
                      <w:color w:val="000000"/>
                    </w:rPr>
                    <w:t>1、不属于电镀工艺、金属冶炼工艺、农药制造、陶瓷、水泥制造、重化工等污染严重项目；</w:t>
                  </w:r>
                </w:p>
                <w:p>
                  <w:pPr>
                    <w:pStyle w:val="37"/>
                    <w:jc w:val="both"/>
                    <w:rPr>
                      <w:color w:val="000000"/>
                    </w:rPr>
                  </w:pPr>
                  <w:r>
                    <w:rPr>
                      <w:color w:val="000000"/>
                    </w:rPr>
                    <w:t>2、项目</w:t>
                  </w:r>
                  <w:r>
                    <w:rPr>
                      <w:rFonts w:hint="eastAsia"/>
                      <w:color w:val="000000"/>
                    </w:rPr>
                    <w:t>位于</w:t>
                  </w:r>
                  <w:r>
                    <w:rPr>
                      <w:color w:val="000000"/>
                    </w:rPr>
                    <w:t>南昌小蓝经济技术开发区，</w:t>
                  </w:r>
                  <w:r>
                    <w:rPr>
                      <w:rFonts w:hint="eastAsia"/>
                      <w:color w:val="000000"/>
                    </w:rPr>
                    <w:t>不属于化工项目</w:t>
                  </w:r>
                  <w:r>
                    <w:rPr>
                      <w:color w:val="000000"/>
                    </w:rPr>
                    <w:t>；</w:t>
                  </w:r>
                </w:p>
                <w:p>
                  <w:pPr>
                    <w:pStyle w:val="37"/>
                    <w:jc w:val="both"/>
                    <w:rPr>
                      <w:color w:val="000000"/>
                    </w:rPr>
                  </w:pPr>
                  <w:r>
                    <w:rPr>
                      <w:color w:val="000000"/>
                    </w:rPr>
                    <w:t>3、</w:t>
                  </w:r>
                  <w:r>
                    <w:rPr>
                      <w:rFonts w:hint="eastAsia"/>
                      <w:color w:val="000000"/>
                    </w:rPr>
                    <w:t>项目</w:t>
                  </w:r>
                  <w:r>
                    <w:rPr>
                      <w:color w:val="000000"/>
                    </w:rPr>
                    <w:t>属于</w:t>
                  </w:r>
                  <w:r>
                    <w:rPr>
                      <w:rFonts w:hint="eastAsia"/>
                      <w:color w:val="000000"/>
                    </w:rPr>
                    <w:t>汽车零部件及配件制造行业</w:t>
                  </w:r>
                  <w:r>
                    <w:rPr>
                      <w:color w:val="000000"/>
                    </w:rPr>
                    <w:t>，不属于化学原料药制造行业；</w:t>
                  </w:r>
                </w:p>
                <w:p>
                  <w:pPr>
                    <w:pStyle w:val="37"/>
                    <w:jc w:val="both"/>
                    <w:rPr>
                      <w:color w:val="000000"/>
                    </w:rPr>
                  </w:pPr>
                  <w:r>
                    <w:rPr>
                      <w:color w:val="000000"/>
                    </w:rPr>
                    <w:t>4、</w:t>
                  </w:r>
                  <w:r>
                    <w:rPr>
                      <w:rFonts w:hint="eastAsia"/>
                      <w:color w:val="000000"/>
                    </w:rPr>
                    <w:t>项目</w:t>
                  </w:r>
                  <w:r>
                    <w:rPr>
                      <w:color w:val="000000"/>
                    </w:rPr>
                    <w:t>属于</w:t>
                  </w:r>
                  <w:r>
                    <w:rPr>
                      <w:rFonts w:hint="eastAsia"/>
                      <w:color w:val="000000"/>
                    </w:rPr>
                    <w:t>汽车零部件及配件制造行业</w:t>
                  </w:r>
                  <w:r>
                    <w:rPr>
                      <w:color w:val="000000"/>
                    </w:rPr>
                    <w:t>，不属于新建、改建和扩建不符合国家和省级批准的港口规划的码头项目；</w:t>
                  </w:r>
                </w:p>
                <w:p>
                  <w:pPr>
                    <w:pStyle w:val="37"/>
                    <w:jc w:val="both"/>
                    <w:rPr>
                      <w:color w:val="000000"/>
                    </w:rPr>
                  </w:pPr>
                  <w:r>
                    <w:rPr>
                      <w:color w:val="000000"/>
                    </w:rPr>
                    <w:t>5、</w:t>
                  </w:r>
                  <w:r>
                    <w:rPr>
                      <w:rFonts w:hint="eastAsia"/>
                      <w:color w:val="000000"/>
                    </w:rPr>
                    <w:t>项目</w:t>
                  </w:r>
                  <w:r>
                    <w:rPr>
                      <w:color w:val="000000"/>
                    </w:rPr>
                    <w:t>属于</w:t>
                  </w:r>
                  <w:r>
                    <w:rPr>
                      <w:rFonts w:hint="eastAsia"/>
                      <w:color w:val="000000"/>
                    </w:rPr>
                    <w:t>汽车零部件及配件制造行业</w:t>
                  </w:r>
                  <w:r>
                    <w:rPr>
                      <w:color w:val="000000"/>
                    </w:rPr>
                    <w:t>，不属于新建、扩建不符合国家石化、现代煤化工等产业布局规划的项目；</w:t>
                  </w:r>
                </w:p>
                <w:p>
                  <w:pPr>
                    <w:pStyle w:val="37"/>
                    <w:jc w:val="both"/>
                    <w:rPr>
                      <w:color w:val="000000"/>
                    </w:rPr>
                  </w:pPr>
                  <w:r>
                    <w:rPr>
                      <w:color w:val="000000"/>
                    </w:rPr>
                    <w:t>6、不属于</w:t>
                  </w:r>
                  <w:r>
                    <w:rPr>
                      <w:rFonts w:hint="eastAsia"/>
                      <w:color w:val="000000"/>
                    </w:rPr>
                    <w:t>新</w:t>
                  </w:r>
                  <w:r>
                    <w:rPr>
                      <w:color w:val="000000"/>
                    </w:rPr>
                    <w:t>建、扩建法律法规和相关政策明令禁止的落后产能项目；</w:t>
                  </w:r>
                </w:p>
                <w:p>
                  <w:pPr>
                    <w:pStyle w:val="37"/>
                    <w:jc w:val="both"/>
                    <w:rPr>
                      <w:color w:val="000000"/>
                    </w:rPr>
                  </w:pPr>
                  <w:r>
                    <w:rPr>
                      <w:color w:val="000000"/>
                    </w:rPr>
                    <w:t>7、不属于新建、扩建不符合国家产能置换要求的严重过剩产能行业的项目；</w:t>
                  </w:r>
                </w:p>
                <w:p>
                  <w:pPr>
                    <w:pStyle w:val="37"/>
                    <w:jc w:val="both"/>
                    <w:rPr>
                      <w:color w:val="000000"/>
                    </w:rPr>
                  </w:pPr>
                  <w:r>
                    <w:rPr>
                      <w:color w:val="000000"/>
                    </w:rPr>
                    <w:t>8、项目不</w:t>
                  </w:r>
                  <w:r>
                    <w:rPr>
                      <w:rFonts w:hint="eastAsia"/>
                      <w:color w:val="000000"/>
                    </w:rPr>
                    <w:t>属于</w:t>
                  </w:r>
                  <w:r>
                    <w:rPr>
                      <w:color w:val="000000"/>
                    </w:rPr>
                    <w:t>秸秆焚烧，推广秸秆综合利用示范工程；</w:t>
                  </w:r>
                </w:p>
                <w:p>
                  <w:pPr>
                    <w:pStyle w:val="37"/>
                    <w:jc w:val="both"/>
                    <w:rPr>
                      <w:color w:val="000000"/>
                    </w:rPr>
                  </w:pPr>
                  <w:r>
                    <w:rPr>
                      <w:color w:val="000000"/>
                    </w:rPr>
                    <w:t>9、项目</w:t>
                  </w:r>
                  <w:r>
                    <w:rPr>
                      <w:rFonts w:hint="eastAsia"/>
                      <w:color w:val="000000"/>
                    </w:rPr>
                    <w:t>未</w:t>
                  </w:r>
                  <w:r>
                    <w:rPr>
                      <w:color w:val="000000"/>
                    </w:rPr>
                    <w:t>设施采取冲滩方式进行船舶拆解的作业场所；</w:t>
                  </w:r>
                </w:p>
                <w:p>
                  <w:pPr>
                    <w:pStyle w:val="37"/>
                    <w:jc w:val="both"/>
                    <w:rPr>
                      <w:color w:val="000000"/>
                    </w:rPr>
                  </w:pPr>
                  <w:r>
                    <w:rPr>
                      <w:color w:val="000000"/>
                    </w:rPr>
                    <w:t>10、</w:t>
                  </w:r>
                  <w:r>
                    <w:rPr>
                      <w:rFonts w:hint="eastAsia"/>
                      <w:color w:val="000000"/>
                    </w:rPr>
                    <w:t>项目</w:t>
                  </w:r>
                  <w:r>
                    <w:rPr>
                      <w:color w:val="000000"/>
                    </w:rPr>
                    <w:t>属于</w:t>
                  </w:r>
                  <w:r>
                    <w:rPr>
                      <w:rFonts w:hint="eastAsia"/>
                      <w:color w:val="000000"/>
                    </w:rPr>
                    <w:t>汽车零部件及配件制造行业</w:t>
                  </w:r>
                  <w:r>
                    <w:rPr>
                      <w:color w:val="000000"/>
                    </w:rPr>
                    <w:t>，不属于新建不符合园区主导产业定位的重污染企业；</w:t>
                  </w:r>
                </w:p>
                <w:p>
                  <w:pPr>
                    <w:pStyle w:val="37"/>
                    <w:jc w:val="both"/>
                    <w:rPr>
                      <w:color w:val="000000"/>
                    </w:rPr>
                  </w:pPr>
                  <w:r>
                    <w:rPr>
                      <w:color w:val="000000"/>
                    </w:rPr>
                    <w:t>11、项目建设地址为南昌小蓝经济技术开发区，为工业区，且不属于有色金属冶炼、石油加工、化工、焦化、电镀、制革、危险废物利用等项目。</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限制开发建设活动要求</w:t>
                  </w:r>
                </w:p>
              </w:tc>
              <w:tc>
                <w:tcPr>
                  <w:tcW w:w="1975" w:type="pct"/>
                  <w:vAlign w:val="center"/>
                </w:tcPr>
                <w:p>
                  <w:pPr>
                    <w:pStyle w:val="37"/>
                    <w:jc w:val="both"/>
                    <w:rPr>
                      <w:color w:val="000000"/>
                    </w:rPr>
                  </w:pPr>
                  <w:r>
                    <w:rPr>
                      <w:rFonts w:hint="eastAsia"/>
                      <w:color w:val="000000"/>
                    </w:rPr>
                    <w:t>1、</w:t>
                  </w:r>
                  <w:r>
                    <w:rPr>
                      <w:color w:val="000000"/>
                    </w:rPr>
                    <w:t>不</w:t>
                  </w:r>
                  <w:r>
                    <w:rPr>
                      <w:rFonts w:hint="eastAsia"/>
                      <w:color w:val="000000"/>
                    </w:rPr>
                    <w:t>得</w:t>
                  </w:r>
                  <w:r>
                    <w:rPr>
                      <w:color w:val="000000"/>
                    </w:rPr>
                    <w:t>在重要水体和湿地内从事网箱养殖、工业开发等可能影响水环境、生态功能的活动。</w:t>
                  </w:r>
                </w:p>
                <w:p>
                  <w:pPr>
                    <w:pStyle w:val="37"/>
                    <w:jc w:val="both"/>
                    <w:rPr>
                      <w:color w:val="000000"/>
                    </w:rPr>
                  </w:pPr>
                  <w:r>
                    <w:rPr>
                      <w:color w:val="000000"/>
                    </w:rPr>
                    <w:t>2、优化调整VOC排放产业布局，原则上集中式居民区和商务片区上风向、侧上风向不得新建和扩建VOC排放量大的医药（化学原料药）、表面涂装等行业企业。</w:t>
                  </w:r>
                </w:p>
                <w:p>
                  <w:pPr>
                    <w:pStyle w:val="37"/>
                    <w:jc w:val="both"/>
                    <w:rPr>
                      <w:color w:val="000000"/>
                    </w:rPr>
                  </w:pPr>
                  <w:r>
                    <w:rPr>
                      <w:color w:val="000000"/>
                    </w:rPr>
                    <w:t>3、新增重金属排放的项目，区域重金属总量应等量替代或者减量替代。</w:t>
                  </w:r>
                </w:p>
                <w:p>
                  <w:pPr>
                    <w:pStyle w:val="37"/>
                    <w:jc w:val="both"/>
                    <w:rPr>
                      <w:color w:val="000000"/>
                    </w:rPr>
                  </w:pPr>
                  <w:r>
                    <w:rPr>
                      <w:color w:val="000000"/>
                    </w:rPr>
                    <w:t>4、现有涉磷企业行业医药（原料药）、汽车制造、造纸等磷排放量只减不增。</w:t>
                  </w:r>
                </w:p>
                <w:p>
                  <w:pPr>
                    <w:pStyle w:val="37"/>
                    <w:jc w:val="both"/>
                    <w:rPr>
                      <w:color w:val="000000"/>
                    </w:rPr>
                  </w:pPr>
                  <w:r>
                    <w:rPr>
                      <w:color w:val="000000"/>
                    </w:rPr>
                    <w:t>5、不得在林地、草地、园地施用高毒、高残留农药。</w:t>
                  </w:r>
                </w:p>
                <w:p>
                  <w:pPr>
                    <w:pStyle w:val="37"/>
                    <w:jc w:val="both"/>
                    <w:rPr>
                      <w:color w:val="000000"/>
                    </w:rPr>
                  </w:pPr>
                  <w:r>
                    <w:rPr>
                      <w:color w:val="000000"/>
                    </w:rPr>
                    <w:t>6、投资强度小于360万元/亩。</w:t>
                  </w:r>
                </w:p>
              </w:tc>
              <w:tc>
                <w:tcPr>
                  <w:tcW w:w="1711" w:type="pct"/>
                  <w:vAlign w:val="center"/>
                </w:tcPr>
                <w:p>
                  <w:pPr>
                    <w:pStyle w:val="37"/>
                    <w:jc w:val="both"/>
                    <w:rPr>
                      <w:color w:val="000000"/>
                    </w:rPr>
                  </w:pPr>
                  <w:r>
                    <w:rPr>
                      <w:color w:val="000000"/>
                    </w:rPr>
                    <w:t>1、项目位于小蓝经济开发区内，不属于在重要水体和湿地内从事网箱养殖、工业开发等可能影响水环境、生态功能的活动；</w:t>
                  </w:r>
                </w:p>
                <w:p>
                  <w:pPr>
                    <w:pStyle w:val="37"/>
                    <w:jc w:val="both"/>
                    <w:rPr>
                      <w:color w:val="000000"/>
                    </w:rPr>
                  </w:pPr>
                  <w:r>
                    <w:rPr>
                      <w:color w:val="000000"/>
                    </w:rPr>
                    <w:t>2、</w:t>
                  </w:r>
                  <w:r>
                    <w:rPr>
                      <w:rFonts w:hint="eastAsia"/>
                      <w:color w:val="000000"/>
                    </w:rPr>
                    <w:t>不属于</w:t>
                  </w:r>
                  <w:r>
                    <w:rPr>
                      <w:color w:val="000000"/>
                    </w:rPr>
                    <w:t>VOC排放量大的医药（化学原料药）、表面涂装等</w:t>
                  </w:r>
                  <w:r>
                    <w:rPr>
                      <w:rFonts w:hint="eastAsia"/>
                      <w:color w:val="000000"/>
                    </w:rPr>
                    <w:t>项目</w:t>
                  </w:r>
                  <w:r>
                    <w:rPr>
                      <w:color w:val="000000"/>
                    </w:rPr>
                    <w:t>；</w:t>
                  </w:r>
                </w:p>
                <w:p>
                  <w:pPr>
                    <w:pStyle w:val="37"/>
                    <w:jc w:val="both"/>
                    <w:rPr>
                      <w:color w:val="000000"/>
                    </w:rPr>
                  </w:pPr>
                  <w:r>
                    <w:rPr>
                      <w:color w:val="000000"/>
                    </w:rPr>
                    <w:t>3、不属于新增重金属排放项目；</w:t>
                  </w:r>
                </w:p>
                <w:p>
                  <w:pPr>
                    <w:pStyle w:val="37"/>
                    <w:jc w:val="both"/>
                    <w:rPr>
                      <w:color w:val="000000"/>
                    </w:rPr>
                  </w:pPr>
                  <w:r>
                    <w:rPr>
                      <w:color w:val="000000"/>
                    </w:rPr>
                    <w:t>4、</w:t>
                  </w:r>
                  <w:r>
                    <w:rPr>
                      <w:rFonts w:hint="eastAsia"/>
                      <w:color w:val="000000"/>
                    </w:rPr>
                    <w:t>项目</w:t>
                  </w:r>
                  <w:r>
                    <w:rPr>
                      <w:color w:val="000000"/>
                    </w:rPr>
                    <w:t>不属于涉磷企业；</w:t>
                  </w:r>
                </w:p>
                <w:p>
                  <w:pPr>
                    <w:pStyle w:val="37"/>
                    <w:jc w:val="both"/>
                    <w:rPr>
                      <w:color w:val="000000"/>
                    </w:rPr>
                  </w:pPr>
                  <w:r>
                    <w:rPr>
                      <w:color w:val="000000"/>
                    </w:rPr>
                    <w:t>5、项目不会在林地、草地、园地施用高毒、高残留农药；</w:t>
                  </w:r>
                </w:p>
                <w:p>
                  <w:pPr>
                    <w:pStyle w:val="37"/>
                    <w:jc w:val="both"/>
                    <w:rPr>
                      <w:color w:val="000000"/>
                    </w:rPr>
                  </w:pPr>
                  <w:r>
                    <w:rPr>
                      <w:color w:val="000000"/>
                    </w:rPr>
                    <w:t>6、项目</w:t>
                  </w:r>
                  <w:r>
                    <w:rPr>
                      <w:rFonts w:hint="eastAsia"/>
                      <w:color w:val="000000"/>
                    </w:rPr>
                    <w:t>投资强度为3111</w:t>
                  </w:r>
                  <w:r>
                    <w:rPr>
                      <w:color w:val="000000"/>
                    </w:rPr>
                    <w:t>万元/亩。</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不符合空间规划布局要求活动退出要求</w:t>
                  </w:r>
                </w:p>
              </w:tc>
              <w:tc>
                <w:tcPr>
                  <w:tcW w:w="1975" w:type="pct"/>
                  <w:vAlign w:val="center"/>
                </w:tcPr>
                <w:p>
                  <w:pPr>
                    <w:pStyle w:val="37"/>
                    <w:jc w:val="both"/>
                    <w:rPr>
                      <w:color w:val="000000"/>
                    </w:rPr>
                  </w:pPr>
                  <w:r>
                    <w:rPr>
                      <w:color w:val="000000"/>
                    </w:rPr>
                    <w:t>1、现有不符合城市用地规定的企业应逐步搬迁至园区内相应产业园区内。</w:t>
                  </w:r>
                </w:p>
                <w:p>
                  <w:pPr>
                    <w:pStyle w:val="37"/>
                    <w:jc w:val="both"/>
                    <w:rPr>
                      <w:color w:val="000000"/>
                    </w:rPr>
                  </w:pPr>
                  <w:r>
                    <w:rPr>
                      <w:color w:val="000000"/>
                    </w:rPr>
                    <w:t>2、现有能源、环保、安全、技术达不到标准或生产不合格产品或淘汰产能依法依规关停退出。</w:t>
                  </w:r>
                </w:p>
                <w:p>
                  <w:pPr>
                    <w:pStyle w:val="37"/>
                    <w:jc w:val="both"/>
                    <w:rPr>
                      <w:color w:val="000000"/>
                    </w:rPr>
                  </w:pPr>
                  <w:r>
                    <w:rPr>
                      <w:color w:val="000000"/>
                    </w:rPr>
                    <w:t>3、区内10t/h及以下的燃煤锅炉，禁燃区按照计划淘汰拆除不符合要求的锅炉。</w:t>
                  </w:r>
                </w:p>
              </w:tc>
              <w:tc>
                <w:tcPr>
                  <w:tcW w:w="1711" w:type="pct"/>
                  <w:vAlign w:val="center"/>
                </w:tcPr>
                <w:p>
                  <w:pPr>
                    <w:pStyle w:val="37"/>
                    <w:jc w:val="both"/>
                    <w:rPr>
                      <w:color w:val="000000"/>
                    </w:rPr>
                  </w:pPr>
                  <w:r>
                    <w:rPr>
                      <w:color w:val="000000"/>
                    </w:rPr>
                    <w:t>1、项目位于小蓝经济开发区；</w:t>
                  </w:r>
                </w:p>
                <w:p>
                  <w:pPr>
                    <w:pStyle w:val="37"/>
                    <w:jc w:val="both"/>
                    <w:rPr>
                      <w:color w:val="000000"/>
                    </w:rPr>
                  </w:pPr>
                  <w:r>
                    <w:rPr>
                      <w:color w:val="000000"/>
                    </w:rPr>
                    <w:t>2、项目无能源、环保、安全、技术达不到标准或生产不合格产品或淘汰产能此类情况；</w:t>
                  </w:r>
                </w:p>
                <w:p>
                  <w:pPr>
                    <w:pStyle w:val="37"/>
                    <w:jc w:val="both"/>
                    <w:rPr>
                      <w:color w:val="000000"/>
                    </w:rPr>
                  </w:pPr>
                  <w:r>
                    <w:rPr>
                      <w:color w:val="000000"/>
                    </w:rPr>
                    <w:t>3</w:t>
                  </w:r>
                  <w:r>
                    <w:rPr>
                      <w:rFonts w:hint="eastAsia"/>
                      <w:color w:val="000000"/>
                    </w:rPr>
                    <w:t>、</w:t>
                  </w:r>
                  <w:r>
                    <w:rPr>
                      <w:color w:val="000000"/>
                    </w:rPr>
                    <w:t>项目无燃煤锅炉。</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restart"/>
                  <w:vAlign w:val="center"/>
                </w:tcPr>
                <w:p>
                  <w:pPr>
                    <w:pStyle w:val="37"/>
                    <w:rPr>
                      <w:color w:val="000000"/>
                    </w:rPr>
                  </w:pPr>
                  <w:r>
                    <w:rPr>
                      <w:color w:val="000000"/>
                    </w:rPr>
                    <w:t>污染物排放管控</w:t>
                  </w:r>
                </w:p>
              </w:tc>
              <w:tc>
                <w:tcPr>
                  <w:tcW w:w="516" w:type="pct"/>
                  <w:vAlign w:val="center"/>
                </w:tcPr>
                <w:p>
                  <w:pPr>
                    <w:pStyle w:val="37"/>
                    <w:rPr>
                      <w:color w:val="000000"/>
                    </w:rPr>
                  </w:pPr>
                  <w:r>
                    <w:rPr>
                      <w:color w:val="000000"/>
                    </w:rPr>
                    <w:t>污染物允许排放量</w:t>
                  </w:r>
                </w:p>
              </w:tc>
              <w:tc>
                <w:tcPr>
                  <w:tcW w:w="1975" w:type="pct"/>
                  <w:vAlign w:val="center"/>
                </w:tcPr>
                <w:p>
                  <w:pPr>
                    <w:pStyle w:val="37"/>
                    <w:jc w:val="both"/>
                    <w:rPr>
                      <w:color w:val="000000"/>
                    </w:rPr>
                  </w:pPr>
                  <w:r>
                    <w:rPr>
                      <w:color w:val="000000"/>
                    </w:rPr>
                    <w:t>2020年二氧化硫、氨氮较2015年削减24%，6.01%；2030年区域SO2、NOx、COD、NH3-N排放量不超过450t/a，450t/a，3000t/a，400t/a，万元工业增加值COD、氨氮、二氧化硫、氮氧化物排放量分别不超过0.3kg、0.03kg、0.15kg、0.45kg。</w:t>
                  </w:r>
                </w:p>
              </w:tc>
              <w:tc>
                <w:tcPr>
                  <w:tcW w:w="1711" w:type="pct"/>
                  <w:vAlign w:val="center"/>
                </w:tcPr>
                <w:p>
                  <w:pPr>
                    <w:pStyle w:val="37"/>
                    <w:jc w:val="both"/>
                    <w:rPr>
                      <w:color w:val="000000"/>
                    </w:rPr>
                  </w:pPr>
                  <w:r>
                    <w:rPr>
                      <w:color w:val="000000"/>
                    </w:rPr>
                    <w:t>项目废气</w:t>
                  </w:r>
                  <w:r>
                    <w:rPr>
                      <w:rFonts w:hint="eastAsia"/>
                      <w:color w:val="000000"/>
                    </w:rPr>
                    <w:t>、废水</w:t>
                  </w:r>
                  <w:r>
                    <w:rPr>
                      <w:color w:val="000000"/>
                    </w:rPr>
                    <w:t>总量</w:t>
                  </w:r>
                  <w:r>
                    <w:rPr>
                      <w:rFonts w:hint="eastAsia"/>
                      <w:color w:val="000000"/>
                    </w:rPr>
                    <w:t>可满足</w:t>
                  </w:r>
                  <w:r>
                    <w:rPr>
                      <w:color w:val="000000"/>
                    </w:rPr>
                    <w:t>生态环境主管部门下达的总量控制要求。</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现有源提标升级改造</w:t>
                  </w:r>
                </w:p>
              </w:tc>
              <w:tc>
                <w:tcPr>
                  <w:tcW w:w="1975" w:type="pct"/>
                  <w:vAlign w:val="center"/>
                </w:tcPr>
                <w:p>
                  <w:pPr>
                    <w:pStyle w:val="37"/>
                    <w:numPr>
                      <w:ilvl w:val="0"/>
                      <w:numId w:val="2"/>
                    </w:numPr>
                    <w:jc w:val="both"/>
                    <w:rPr>
                      <w:color w:val="000000"/>
                    </w:rPr>
                  </w:pPr>
                  <w:r>
                    <w:rPr>
                      <w:color w:val="000000"/>
                    </w:rPr>
                    <w:t>现有企业废水需预处理达到污水集中处理设施接管标准排入污水处理厂集中处理</w:t>
                  </w:r>
                  <w:r>
                    <w:rPr>
                      <w:rFonts w:hint="eastAsia"/>
                      <w:color w:val="000000"/>
                    </w:rPr>
                    <w:t>。</w:t>
                  </w:r>
                </w:p>
                <w:p>
                  <w:pPr>
                    <w:pStyle w:val="37"/>
                    <w:jc w:val="both"/>
                    <w:rPr>
                      <w:color w:val="000000"/>
                    </w:rPr>
                  </w:pPr>
                  <w:r>
                    <w:rPr>
                      <w:color w:val="000000"/>
                    </w:rPr>
                    <w:t>2、现有医药、有机化工等重点行业应提高有机废气收集率，到2020年全面完成主要行业VOCs治理，实现达标排放。</w:t>
                  </w:r>
                </w:p>
                <w:p>
                  <w:pPr>
                    <w:pStyle w:val="37"/>
                    <w:jc w:val="both"/>
                    <w:rPr>
                      <w:color w:val="000000"/>
                    </w:rPr>
                  </w:pPr>
                  <w:r>
                    <w:rPr>
                      <w:color w:val="000000"/>
                    </w:rPr>
                    <w:t>3、2020年底区内污水处理厂应逐步进行提标改造，其废水排放达一级A标准。</w:t>
                  </w:r>
                </w:p>
              </w:tc>
              <w:tc>
                <w:tcPr>
                  <w:tcW w:w="1711" w:type="pct"/>
                  <w:vAlign w:val="center"/>
                </w:tcPr>
                <w:p>
                  <w:pPr>
                    <w:pStyle w:val="37"/>
                    <w:numPr>
                      <w:ilvl w:val="0"/>
                      <w:numId w:val="3"/>
                    </w:numPr>
                    <w:jc w:val="both"/>
                    <w:rPr>
                      <w:color w:val="000000"/>
                    </w:rPr>
                  </w:pPr>
                  <w:r>
                    <w:rPr>
                      <w:rFonts w:hint="eastAsia"/>
                      <w:color w:val="000000"/>
                    </w:rPr>
                    <w:t>现有项目废水经厂区废水处理设施处理后均可达标排放；</w:t>
                  </w:r>
                </w:p>
                <w:p>
                  <w:pPr>
                    <w:pStyle w:val="37"/>
                    <w:numPr>
                      <w:ilvl w:val="0"/>
                      <w:numId w:val="3"/>
                    </w:numPr>
                    <w:jc w:val="both"/>
                    <w:rPr>
                      <w:color w:val="000000"/>
                    </w:rPr>
                  </w:pPr>
                  <w:r>
                    <w:rPr>
                      <w:rFonts w:hint="eastAsia"/>
                      <w:color w:val="000000"/>
                    </w:rPr>
                    <w:t>现有项目产生VOCs经处理后均可达标排放。</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新增源等量或倍量替代</w:t>
                  </w:r>
                </w:p>
              </w:tc>
              <w:tc>
                <w:tcPr>
                  <w:tcW w:w="1975" w:type="pct"/>
                  <w:vAlign w:val="center"/>
                </w:tcPr>
                <w:p>
                  <w:pPr>
                    <w:pStyle w:val="37"/>
                    <w:jc w:val="both"/>
                    <w:rPr>
                      <w:color w:val="000000"/>
                    </w:rPr>
                  </w:pPr>
                  <w:r>
                    <w:rPr>
                      <w:color w:val="000000"/>
                    </w:rPr>
                    <w:t>1、新建项目污染物排放量应实施全市区域平衡，全区域污染物排放总量不增加。</w:t>
                  </w:r>
                </w:p>
              </w:tc>
              <w:tc>
                <w:tcPr>
                  <w:tcW w:w="1711" w:type="pct"/>
                  <w:vAlign w:val="center"/>
                </w:tcPr>
                <w:p>
                  <w:pPr>
                    <w:pStyle w:val="37"/>
                    <w:jc w:val="both"/>
                    <w:rPr>
                      <w:color w:val="000000"/>
                    </w:rPr>
                  </w:pPr>
                  <w:r>
                    <w:rPr>
                      <w:color w:val="000000"/>
                    </w:rPr>
                    <w:t>项目总量控制</w:t>
                  </w:r>
                  <w:r>
                    <w:rPr>
                      <w:rFonts w:hint="eastAsia"/>
                      <w:color w:val="000000"/>
                    </w:rPr>
                    <w:t>可满足</w:t>
                  </w:r>
                  <w:r>
                    <w:rPr>
                      <w:color w:val="000000"/>
                    </w:rPr>
                    <w:t>生态环境主管部门下达的总量控制要求。</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新增源排放标准限制</w:t>
                  </w:r>
                </w:p>
              </w:tc>
              <w:tc>
                <w:tcPr>
                  <w:tcW w:w="1975" w:type="pct"/>
                  <w:vAlign w:val="center"/>
                </w:tcPr>
                <w:p>
                  <w:pPr>
                    <w:pStyle w:val="37"/>
                    <w:jc w:val="both"/>
                    <w:rPr>
                      <w:color w:val="000000"/>
                    </w:rPr>
                  </w:pPr>
                  <w:r>
                    <w:rPr>
                      <w:color w:val="000000"/>
                    </w:rPr>
                    <w:t>1、新建项目污染物排放应达工业污水接管标准或综合排放标准，特殊污染物应达相应行业标准。</w:t>
                  </w:r>
                </w:p>
              </w:tc>
              <w:tc>
                <w:tcPr>
                  <w:tcW w:w="1711" w:type="pct"/>
                  <w:vAlign w:val="center"/>
                </w:tcPr>
                <w:p>
                  <w:pPr>
                    <w:pStyle w:val="37"/>
                    <w:jc w:val="both"/>
                    <w:rPr>
                      <w:color w:val="000000"/>
                    </w:rPr>
                  </w:pPr>
                  <w:r>
                    <w:rPr>
                      <w:rFonts w:hint="eastAsia"/>
                      <w:color w:val="000000"/>
                    </w:rPr>
                    <w:t>项目无生产废水产生；全厂不新增员工，故不新增生活污水的排放。</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污染物排放绩效水平准入要求</w:t>
                  </w:r>
                </w:p>
              </w:tc>
              <w:tc>
                <w:tcPr>
                  <w:tcW w:w="1975" w:type="pct"/>
                  <w:vAlign w:val="center"/>
                </w:tcPr>
                <w:p>
                  <w:pPr>
                    <w:pStyle w:val="37"/>
                    <w:numPr>
                      <w:ilvl w:val="0"/>
                      <w:numId w:val="4"/>
                    </w:numPr>
                    <w:jc w:val="both"/>
                    <w:rPr>
                      <w:color w:val="000000"/>
                    </w:rPr>
                  </w:pPr>
                  <w:r>
                    <w:rPr>
                      <w:color w:val="000000"/>
                    </w:rPr>
                    <w:t>污染物排放应达到相应行业准入要求和清洁生产二级及以上水平</w:t>
                  </w:r>
                  <w:r>
                    <w:rPr>
                      <w:rFonts w:hint="eastAsia"/>
                      <w:color w:val="000000"/>
                    </w:rPr>
                    <w:t>。</w:t>
                  </w:r>
                </w:p>
                <w:p>
                  <w:pPr>
                    <w:pStyle w:val="37"/>
                    <w:jc w:val="both"/>
                    <w:rPr>
                      <w:color w:val="000000"/>
                    </w:rPr>
                  </w:pPr>
                  <w:r>
                    <w:rPr>
                      <w:color w:val="000000"/>
                    </w:rPr>
                    <w:t>2、到2020年，园区内污水收集处理率不低于95%</w:t>
                  </w:r>
                  <w:r>
                    <w:rPr>
                      <w:rFonts w:hint="eastAsia"/>
                      <w:color w:val="000000"/>
                    </w:rPr>
                    <w:t>。</w:t>
                  </w:r>
                </w:p>
              </w:tc>
              <w:tc>
                <w:tcPr>
                  <w:tcW w:w="1711" w:type="pct"/>
                  <w:vAlign w:val="center"/>
                </w:tcPr>
                <w:p>
                  <w:pPr>
                    <w:pStyle w:val="37"/>
                    <w:jc w:val="both"/>
                    <w:rPr>
                      <w:color w:val="000000"/>
                    </w:rPr>
                  </w:pPr>
                  <w:r>
                    <w:rPr>
                      <w:rFonts w:hint="eastAsia"/>
                      <w:color w:val="000000"/>
                    </w:rPr>
                    <w:t>项目无生产废水产生；全厂不新增员工，故不新增生活污水的排放。</w:t>
                  </w:r>
                  <w:r>
                    <w:rPr>
                      <w:color w:val="000000"/>
                    </w:rPr>
                    <w:t>废气经治理后达标排放。</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restart"/>
                  <w:vAlign w:val="center"/>
                </w:tcPr>
                <w:p>
                  <w:pPr>
                    <w:pStyle w:val="37"/>
                    <w:rPr>
                      <w:color w:val="000000"/>
                    </w:rPr>
                  </w:pPr>
                  <w:r>
                    <w:rPr>
                      <w:color w:val="000000"/>
                    </w:rPr>
                    <w:t>风险管控要求</w:t>
                  </w:r>
                </w:p>
              </w:tc>
              <w:tc>
                <w:tcPr>
                  <w:tcW w:w="516" w:type="pct"/>
                  <w:vAlign w:val="center"/>
                </w:tcPr>
                <w:p>
                  <w:pPr>
                    <w:pStyle w:val="37"/>
                    <w:rPr>
                      <w:color w:val="000000"/>
                    </w:rPr>
                  </w:pPr>
                  <w:r>
                    <w:rPr>
                      <w:color w:val="000000"/>
                    </w:rPr>
                    <w:t>用地环境风险防控要求</w:t>
                  </w:r>
                </w:p>
              </w:tc>
              <w:tc>
                <w:tcPr>
                  <w:tcW w:w="1975" w:type="pct"/>
                  <w:vAlign w:val="center"/>
                </w:tcPr>
                <w:p>
                  <w:pPr>
                    <w:pStyle w:val="37"/>
                    <w:jc w:val="both"/>
                    <w:rPr>
                      <w:color w:val="000000"/>
                    </w:rPr>
                  </w:pPr>
                  <w:r>
                    <w:rPr>
                      <w:color w:val="000000"/>
                    </w:rPr>
                    <w:t>1、已污染地块，应当依法开展土壤污染状况调查、治理与修复，符合相应规划用地土壤环境质量要求后，方可进入用地程序。</w:t>
                  </w:r>
                </w:p>
              </w:tc>
              <w:tc>
                <w:tcPr>
                  <w:tcW w:w="1711" w:type="pct"/>
                  <w:vAlign w:val="center"/>
                </w:tcPr>
                <w:p>
                  <w:pPr>
                    <w:pStyle w:val="37"/>
                    <w:jc w:val="both"/>
                    <w:rPr>
                      <w:color w:val="000000"/>
                    </w:rPr>
                  </w:pPr>
                  <w:r>
                    <w:rPr>
                      <w:color w:val="000000"/>
                    </w:rPr>
                    <w:t>项目用地</w:t>
                  </w:r>
                  <w:r>
                    <w:rPr>
                      <w:rFonts w:hint="eastAsia"/>
                      <w:color w:val="000000"/>
                    </w:rPr>
                    <w:t>不属于已</w:t>
                  </w:r>
                  <w:r>
                    <w:rPr>
                      <w:color w:val="000000"/>
                    </w:rPr>
                    <w:t>污染地块</w:t>
                  </w:r>
                  <w:r>
                    <w:rPr>
                      <w:rFonts w:hint="eastAsia"/>
                      <w:color w:val="000000"/>
                    </w:rPr>
                    <w:t>。</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园区环境风险防控要求</w:t>
                  </w:r>
                </w:p>
              </w:tc>
              <w:tc>
                <w:tcPr>
                  <w:tcW w:w="1975" w:type="pct"/>
                  <w:vAlign w:val="center"/>
                </w:tcPr>
                <w:p>
                  <w:pPr>
                    <w:pStyle w:val="37"/>
                    <w:numPr>
                      <w:ilvl w:val="0"/>
                      <w:numId w:val="5"/>
                    </w:numPr>
                    <w:jc w:val="both"/>
                    <w:rPr>
                      <w:color w:val="000000"/>
                    </w:rPr>
                  </w:pPr>
                  <w:r>
                    <w:rPr>
                      <w:color w:val="000000"/>
                    </w:rPr>
                    <w:t>紧邻居住、科教、医院等环境敏感点的工业用地，禁止新建环境风险潜势等级高建设项目</w:t>
                  </w:r>
                  <w:r>
                    <w:rPr>
                      <w:rFonts w:hint="eastAsia"/>
                      <w:color w:val="000000"/>
                    </w:rPr>
                    <w:t>。</w:t>
                  </w:r>
                </w:p>
                <w:p>
                  <w:pPr>
                    <w:pStyle w:val="37"/>
                    <w:jc w:val="both"/>
                    <w:rPr>
                      <w:color w:val="000000"/>
                    </w:rPr>
                  </w:pPr>
                  <w:r>
                    <w:rPr>
                      <w:color w:val="000000"/>
                    </w:rPr>
                    <w:t>2、园区应建立具科学性、实效性和可操作性的风险应急预案和环境风险防控体系。</w:t>
                  </w:r>
                </w:p>
              </w:tc>
              <w:tc>
                <w:tcPr>
                  <w:tcW w:w="1711" w:type="pct"/>
                  <w:vAlign w:val="center"/>
                </w:tcPr>
                <w:p>
                  <w:pPr>
                    <w:pStyle w:val="37"/>
                    <w:jc w:val="both"/>
                    <w:rPr>
                      <w:color w:val="000000"/>
                    </w:rPr>
                  </w:pPr>
                  <w:r>
                    <w:rPr>
                      <w:color w:val="000000"/>
                    </w:rPr>
                    <w:t>1、项目位于小蓝经济开发区，环境风险潜势为Ⅰ</w:t>
                  </w:r>
                  <w:r>
                    <w:rPr>
                      <w:rFonts w:hint="eastAsia"/>
                      <w:color w:val="000000"/>
                    </w:rPr>
                    <w:t>，不属于</w:t>
                  </w:r>
                  <w:r>
                    <w:rPr>
                      <w:color w:val="000000"/>
                    </w:rPr>
                    <w:t>环境风险潜势等级高建设项目，且不存在紧邻居住、科教、医院等环境敏感点</w:t>
                  </w:r>
                  <w:r>
                    <w:rPr>
                      <w:rFonts w:hint="eastAsia"/>
                      <w:color w:val="000000"/>
                    </w:rPr>
                    <w:t>。</w:t>
                  </w:r>
                </w:p>
                <w:p>
                  <w:pPr>
                    <w:pStyle w:val="37"/>
                    <w:jc w:val="both"/>
                    <w:rPr>
                      <w:color w:val="000000"/>
                    </w:rPr>
                  </w:pPr>
                  <w:r>
                    <w:rPr>
                      <w:color w:val="000000"/>
                    </w:rPr>
                    <w:t>2、园区已建立具科学性、实效性和可操作性的风险应急预案和环境风险防控体系。</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企业环境风险防控要求</w:t>
                  </w:r>
                </w:p>
              </w:tc>
              <w:tc>
                <w:tcPr>
                  <w:tcW w:w="1975" w:type="pct"/>
                  <w:vAlign w:val="center"/>
                </w:tcPr>
                <w:p>
                  <w:pPr>
                    <w:pStyle w:val="37"/>
                    <w:numPr>
                      <w:ilvl w:val="0"/>
                      <w:numId w:val="6"/>
                    </w:numPr>
                    <w:jc w:val="both"/>
                    <w:rPr>
                      <w:color w:val="000000"/>
                    </w:rPr>
                  </w:pPr>
                  <w:r>
                    <w:rPr>
                      <w:color w:val="000000"/>
                    </w:rPr>
                    <w:t>生产、存储危险化学品及产生大量废水的生物医药、轻工纺织企业，应配套有效措施，防止因渗漏污染地下水、土壤，以及因事故废水直排污染地表水体。</w:t>
                  </w:r>
                </w:p>
                <w:p>
                  <w:pPr>
                    <w:pStyle w:val="37"/>
                    <w:jc w:val="both"/>
                    <w:rPr>
                      <w:color w:val="000000"/>
                    </w:rPr>
                  </w:pPr>
                  <w:r>
                    <w:rPr>
                      <w:color w:val="000000"/>
                    </w:rPr>
                    <w:t>2、产生、利用或处置固体废物（含危险废物）的生物医药、轻工纺织、汽车制造企业，在贮存、转移、利用、处置固体废物（含危险废物）过程中，应配套防扬散、防流失、防渗漏及其他防止污染环境的措施。</w:t>
                  </w:r>
                </w:p>
              </w:tc>
              <w:tc>
                <w:tcPr>
                  <w:tcW w:w="1711" w:type="pct"/>
                  <w:vAlign w:val="center"/>
                </w:tcPr>
                <w:p>
                  <w:pPr>
                    <w:pStyle w:val="37"/>
                    <w:jc w:val="both"/>
                    <w:rPr>
                      <w:color w:val="000000"/>
                    </w:rPr>
                  </w:pPr>
                  <w:r>
                    <w:rPr>
                      <w:color w:val="000000"/>
                    </w:rPr>
                    <w:t>1、项目不属于生物医药、轻工纺织企业，企业针对相关必要区域采取了防腐防渗措施，项目设有一般固废暂存间和危险废物暂存间，一般固废暂存间、危险废物暂存间均按相关要求做好防渗要求。</w:t>
                  </w:r>
                </w:p>
                <w:p>
                  <w:pPr>
                    <w:pStyle w:val="37"/>
                    <w:jc w:val="both"/>
                    <w:rPr>
                      <w:color w:val="000000"/>
                    </w:rPr>
                  </w:pPr>
                  <w:r>
                    <w:rPr>
                      <w:color w:val="000000"/>
                    </w:rPr>
                    <w:t>2、固废均得到妥当的处置，实现零排放，并配套防扬散、防流失、防渗漏及其他防止污染环境的措施。</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restart"/>
                  <w:vAlign w:val="center"/>
                </w:tcPr>
                <w:p>
                  <w:pPr>
                    <w:pStyle w:val="37"/>
                    <w:rPr>
                      <w:color w:val="000000"/>
                    </w:rPr>
                  </w:pPr>
                  <w:r>
                    <w:rPr>
                      <w:color w:val="000000"/>
                    </w:rPr>
                    <w:t>资源开发效率要求</w:t>
                  </w:r>
                </w:p>
              </w:tc>
              <w:tc>
                <w:tcPr>
                  <w:tcW w:w="516" w:type="pct"/>
                  <w:vAlign w:val="center"/>
                </w:tcPr>
                <w:p>
                  <w:pPr>
                    <w:pStyle w:val="37"/>
                    <w:rPr>
                      <w:color w:val="000000"/>
                    </w:rPr>
                  </w:pPr>
                  <w:r>
                    <w:rPr>
                      <w:color w:val="000000"/>
                    </w:rPr>
                    <w:t>水资源利用效率要求</w:t>
                  </w:r>
                </w:p>
              </w:tc>
              <w:tc>
                <w:tcPr>
                  <w:tcW w:w="1975" w:type="pct"/>
                  <w:vAlign w:val="center"/>
                </w:tcPr>
                <w:p>
                  <w:pPr>
                    <w:pStyle w:val="37"/>
                    <w:jc w:val="both"/>
                    <w:rPr>
                      <w:color w:val="000000"/>
                    </w:rPr>
                  </w:pPr>
                  <w:r>
                    <w:rPr>
                      <w:color w:val="000000"/>
                    </w:rPr>
                    <w:t>1、2030年，园区工业用水重复利用率不得低于75%。</w:t>
                  </w:r>
                </w:p>
                <w:p>
                  <w:pPr>
                    <w:pStyle w:val="37"/>
                    <w:numPr>
                      <w:ilvl w:val="0"/>
                      <w:numId w:val="6"/>
                    </w:numPr>
                    <w:jc w:val="both"/>
                    <w:rPr>
                      <w:color w:val="000000"/>
                    </w:rPr>
                  </w:pPr>
                  <w:r>
                    <w:rPr>
                      <w:color w:val="000000"/>
                    </w:rPr>
                    <w:t>万元工业增加值新鲜水耗不高于8m</w:t>
                  </w:r>
                  <w:r>
                    <w:rPr>
                      <w:color w:val="000000"/>
                      <w:vertAlign w:val="superscript"/>
                    </w:rPr>
                    <w:t>3</w:t>
                  </w:r>
                  <w:r>
                    <w:rPr>
                      <w:rFonts w:hint="eastAsia"/>
                      <w:color w:val="000000"/>
                    </w:rPr>
                    <w:t>。</w:t>
                  </w:r>
                </w:p>
                <w:p>
                  <w:pPr>
                    <w:pStyle w:val="37"/>
                    <w:jc w:val="both"/>
                    <w:rPr>
                      <w:color w:val="000000"/>
                    </w:rPr>
                  </w:pPr>
                  <w:r>
                    <w:rPr>
                      <w:color w:val="000000"/>
                    </w:rPr>
                    <w:t>3、在用水不新增地下水取水用户，现有企业地下水井按照水务要求逐步关闭。</w:t>
                  </w:r>
                </w:p>
              </w:tc>
              <w:tc>
                <w:tcPr>
                  <w:tcW w:w="1711" w:type="pct"/>
                  <w:vAlign w:val="center"/>
                </w:tcPr>
                <w:p>
                  <w:pPr>
                    <w:pStyle w:val="37"/>
                    <w:jc w:val="both"/>
                    <w:rPr>
                      <w:color w:val="000000"/>
                    </w:rPr>
                  </w:pPr>
                  <w:r>
                    <w:rPr>
                      <w:rFonts w:hint="eastAsia"/>
                      <w:color w:val="000000"/>
                    </w:rPr>
                    <w:t>1</w:t>
                  </w:r>
                  <w:r>
                    <w:rPr>
                      <w:color w:val="000000"/>
                    </w:rPr>
                    <w:t>、</w:t>
                  </w:r>
                  <w:r>
                    <w:rPr>
                      <w:rFonts w:hint="eastAsia"/>
                      <w:color w:val="000000"/>
                    </w:rPr>
                    <w:t>项目不涉及工业用水；</w:t>
                  </w:r>
                </w:p>
                <w:p>
                  <w:pPr>
                    <w:pStyle w:val="37"/>
                    <w:jc w:val="both"/>
                    <w:rPr>
                      <w:color w:val="000000"/>
                    </w:rPr>
                  </w:pPr>
                  <w:r>
                    <w:rPr>
                      <w:rFonts w:hint="eastAsia"/>
                      <w:color w:val="000000"/>
                    </w:rPr>
                    <w:t>2、项目建成后全厂不新增新鲜水用水量。</w:t>
                  </w:r>
                </w:p>
                <w:p>
                  <w:pPr>
                    <w:pStyle w:val="37"/>
                    <w:jc w:val="both"/>
                    <w:rPr>
                      <w:color w:val="000000"/>
                    </w:rPr>
                  </w:pPr>
                  <w:r>
                    <w:rPr>
                      <w:rFonts w:hint="eastAsia"/>
                      <w:color w:val="000000"/>
                    </w:rPr>
                    <w:t>3、</w:t>
                  </w:r>
                  <w:r>
                    <w:rPr>
                      <w:color w:val="000000"/>
                    </w:rPr>
                    <w:t>项目不涉及地下水</w:t>
                  </w:r>
                  <w:r>
                    <w:rPr>
                      <w:rFonts w:hint="eastAsia"/>
                      <w:color w:val="000000"/>
                    </w:rPr>
                    <w:t>的</w:t>
                  </w:r>
                  <w:r>
                    <w:rPr>
                      <w:color w:val="000000"/>
                    </w:rPr>
                    <w:t>使用</w:t>
                  </w:r>
                  <w:r>
                    <w:rPr>
                      <w:rFonts w:hint="eastAsia"/>
                      <w:color w:val="000000"/>
                    </w:rPr>
                    <w:t>。</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能源消耗</w:t>
                  </w:r>
                </w:p>
              </w:tc>
              <w:tc>
                <w:tcPr>
                  <w:tcW w:w="1975" w:type="pct"/>
                  <w:vAlign w:val="center"/>
                </w:tcPr>
                <w:p>
                  <w:pPr>
                    <w:pStyle w:val="37"/>
                    <w:jc w:val="both"/>
                    <w:rPr>
                      <w:color w:val="000000"/>
                    </w:rPr>
                  </w:pPr>
                  <w:r>
                    <w:rPr>
                      <w:color w:val="000000"/>
                    </w:rPr>
                    <w:t>1、2020年煤炭占能源消费比重降到65%以下，逐步提高天然气占一次能源消费比重。单位工业增加值能耗、水耗分别不超过0.5吨标煤，8m</w:t>
                  </w:r>
                  <w:r>
                    <w:rPr>
                      <w:color w:val="000000"/>
                      <w:vertAlign w:val="superscript"/>
                    </w:rPr>
                    <w:t>3</w:t>
                  </w:r>
                  <w:r>
                    <w:rPr>
                      <w:rFonts w:hint="eastAsia"/>
                      <w:color w:val="000000"/>
                    </w:rPr>
                    <w:t>。</w:t>
                  </w:r>
                </w:p>
              </w:tc>
              <w:tc>
                <w:tcPr>
                  <w:tcW w:w="1711" w:type="pct"/>
                  <w:vAlign w:val="center"/>
                </w:tcPr>
                <w:p>
                  <w:pPr>
                    <w:pStyle w:val="37"/>
                    <w:jc w:val="both"/>
                    <w:rPr>
                      <w:color w:val="000000"/>
                    </w:rPr>
                  </w:pPr>
                  <w:r>
                    <w:rPr>
                      <w:color w:val="000000"/>
                    </w:rPr>
                    <w:t>项目不使用煤炭。单位工业增加值能耗、水耗低于0.5吨标煤，8m</w:t>
                  </w:r>
                  <w:r>
                    <w:rPr>
                      <w:color w:val="000000"/>
                      <w:vertAlign w:val="superscript"/>
                    </w:rPr>
                    <w:t>3</w:t>
                  </w:r>
                  <w:r>
                    <w:rPr>
                      <w:color w:val="000000"/>
                    </w:rPr>
                    <w:t>。</w:t>
                  </w:r>
                </w:p>
              </w:tc>
              <w:tc>
                <w:tcPr>
                  <w:tcW w:w="459"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38" w:type="pct"/>
                  <w:vMerge w:val="continue"/>
                  <w:vAlign w:val="center"/>
                </w:tcPr>
                <w:p>
                  <w:pPr>
                    <w:pStyle w:val="37"/>
                    <w:rPr>
                      <w:color w:val="000000"/>
                    </w:rPr>
                  </w:pPr>
                </w:p>
              </w:tc>
              <w:tc>
                <w:tcPr>
                  <w:tcW w:w="516" w:type="pct"/>
                  <w:vAlign w:val="center"/>
                </w:tcPr>
                <w:p>
                  <w:pPr>
                    <w:pStyle w:val="37"/>
                    <w:rPr>
                      <w:color w:val="000000"/>
                    </w:rPr>
                  </w:pPr>
                  <w:r>
                    <w:rPr>
                      <w:color w:val="000000"/>
                    </w:rPr>
                    <w:t>禁燃区要求</w:t>
                  </w:r>
                </w:p>
              </w:tc>
              <w:tc>
                <w:tcPr>
                  <w:tcW w:w="1975" w:type="pct"/>
                  <w:vAlign w:val="center"/>
                </w:tcPr>
                <w:p>
                  <w:pPr>
                    <w:pStyle w:val="37"/>
                    <w:numPr>
                      <w:ilvl w:val="0"/>
                      <w:numId w:val="7"/>
                    </w:numPr>
                    <w:jc w:val="both"/>
                    <w:rPr>
                      <w:color w:val="000000"/>
                    </w:rPr>
                  </w:pPr>
                  <w:r>
                    <w:rPr>
                      <w:color w:val="000000"/>
                    </w:rPr>
                    <w:t>划定禁燃区</w:t>
                  </w:r>
                  <w:r>
                    <w:rPr>
                      <w:rFonts w:hint="eastAsia"/>
                      <w:color w:val="000000"/>
                    </w:rPr>
                    <w:t>。</w:t>
                  </w:r>
                </w:p>
                <w:p>
                  <w:pPr>
                    <w:pStyle w:val="37"/>
                    <w:jc w:val="both"/>
                    <w:rPr>
                      <w:color w:val="000000"/>
                    </w:rPr>
                  </w:pPr>
                  <w:r>
                    <w:rPr>
                      <w:color w:val="000000"/>
                    </w:rPr>
                    <w:t>2、禁燃区现有使用高污染</w:t>
                  </w:r>
                  <w:r>
                    <w:rPr>
                      <w:rFonts w:hint="eastAsia"/>
                      <w:color w:val="000000"/>
                    </w:rPr>
                    <w:t>燃料</w:t>
                  </w:r>
                  <w:r>
                    <w:rPr>
                      <w:color w:val="000000"/>
                    </w:rPr>
                    <w:t>的区域应分期、分批淘汰或者实施清洁能源改造。</w:t>
                  </w:r>
                </w:p>
              </w:tc>
              <w:tc>
                <w:tcPr>
                  <w:tcW w:w="1711" w:type="pct"/>
                  <w:vAlign w:val="center"/>
                </w:tcPr>
                <w:p>
                  <w:pPr>
                    <w:pStyle w:val="37"/>
                    <w:jc w:val="both"/>
                    <w:rPr>
                      <w:color w:val="000000"/>
                    </w:rPr>
                  </w:pPr>
                  <w:r>
                    <w:rPr>
                      <w:color w:val="000000"/>
                    </w:rPr>
                    <w:t>项目位于小蓝经济开发区内，不属于禁燃区</w:t>
                  </w:r>
                  <w:r>
                    <w:rPr>
                      <w:rFonts w:hint="eastAsia"/>
                      <w:color w:val="000000"/>
                    </w:rPr>
                    <w:t>；</w:t>
                  </w:r>
                  <w:r>
                    <w:rPr>
                      <w:color w:val="000000"/>
                    </w:rPr>
                    <w:t>且本项目不涉及使用高污染燃料。</w:t>
                  </w:r>
                </w:p>
              </w:tc>
              <w:tc>
                <w:tcPr>
                  <w:tcW w:w="459" w:type="pct"/>
                  <w:vAlign w:val="center"/>
                </w:tcPr>
                <w:p>
                  <w:pPr>
                    <w:pStyle w:val="37"/>
                    <w:rPr>
                      <w:color w:val="000000"/>
                    </w:rPr>
                  </w:pPr>
                  <w:r>
                    <w:rPr>
                      <w:rFonts w:hint="eastAsia"/>
                      <w:color w:val="000000"/>
                    </w:rPr>
                    <w:t>符合</w:t>
                  </w:r>
                </w:p>
              </w:tc>
            </w:tr>
          </w:tbl>
          <w:p>
            <w:pPr>
              <w:spacing w:beforeLines="50"/>
              <w:ind w:right="170" w:firstLine="480"/>
              <w:rPr>
                <w:rFonts w:hAnsi="宋体"/>
                <w:color w:val="000000"/>
              </w:rPr>
            </w:pPr>
            <w:r>
              <w:rPr>
                <w:rFonts w:hint="eastAsia"/>
                <w:color w:val="000000"/>
              </w:rPr>
              <w:t>由上表可知</w:t>
            </w:r>
            <w:r>
              <w:rPr>
                <w:rFonts w:hAnsi="宋体"/>
                <w:color w:val="000000"/>
              </w:rPr>
              <w:t>，</w:t>
            </w:r>
            <w:r>
              <w:rPr>
                <w:rFonts w:hint="eastAsia"/>
                <w:color w:val="000000"/>
              </w:rPr>
              <w:t>扩建</w:t>
            </w:r>
            <w:r>
              <w:rPr>
                <w:rFonts w:hAnsi="宋体"/>
                <w:color w:val="000000"/>
              </w:rPr>
              <w:t>项目</w:t>
            </w:r>
            <w:r>
              <w:rPr>
                <w:rFonts w:hint="eastAsia" w:hAnsi="宋体"/>
                <w:color w:val="000000"/>
              </w:rPr>
              <w:t>建设</w:t>
            </w:r>
            <w:r>
              <w:rPr>
                <w:rFonts w:hAnsi="宋体"/>
                <w:color w:val="000000"/>
              </w:rPr>
              <w:t>符合南昌小蓝经济技术开发区总体环境准入要求。</w:t>
            </w:r>
          </w:p>
          <w:p>
            <w:pPr>
              <w:ind w:firstLine="482"/>
              <w:rPr>
                <w:b/>
                <w:bCs/>
                <w:color w:val="000000"/>
              </w:rPr>
            </w:pPr>
            <w:r>
              <w:rPr>
                <w:rFonts w:hint="eastAsia"/>
                <w:b/>
                <w:bCs/>
                <w:color w:val="000000"/>
              </w:rPr>
              <w:t>3、扩建项目与产业组团准入清单相符性分析</w:t>
            </w:r>
          </w:p>
          <w:p>
            <w:pPr>
              <w:pStyle w:val="2"/>
              <w:snapToGrid w:val="0"/>
              <w:ind w:firstLine="480"/>
              <w:rPr>
                <w:kern w:val="2"/>
              </w:rPr>
            </w:pPr>
            <w:r>
              <w:rPr>
                <w:rFonts w:hint="eastAsia"/>
              </w:rPr>
              <w:t>小蓝汽车城</w:t>
            </w:r>
            <w:r>
              <w:rPr>
                <w:kern w:val="2"/>
              </w:rPr>
              <w:t>环境准入清单见表1-</w:t>
            </w:r>
            <w:r>
              <w:rPr>
                <w:rFonts w:hint="eastAsia"/>
                <w:kern w:val="2"/>
              </w:rPr>
              <w:t>5</w:t>
            </w:r>
            <w:r>
              <w:rPr>
                <w:kern w:val="2"/>
              </w:rPr>
              <w:t>。</w:t>
            </w:r>
          </w:p>
          <w:p>
            <w:pPr>
              <w:pStyle w:val="38"/>
              <w:rPr>
                <w:color w:val="000000"/>
                <w:szCs w:val="21"/>
              </w:rPr>
            </w:pPr>
            <w:r>
              <w:rPr>
                <w:color w:val="000000"/>
                <w:szCs w:val="21"/>
              </w:rPr>
              <w:t>表1-</w:t>
            </w:r>
            <w:r>
              <w:rPr>
                <w:rFonts w:hint="eastAsia"/>
                <w:color w:val="000000"/>
                <w:szCs w:val="21"/>
              </w:rPr>
              <w:t>5</w:t>
            </w:r>
            <w:r>
              <w:rPr>
                <w:color w:val="000000"/>
                <w:szCs w:val="21"/>
              </w:rPr>
              <w:t xml:space="preserve"> </w:t>
            </w:r>
            <w:r>
              <w:rPr>
                <w:rFonts w:hint="eastAsia"/>
                <w:color w:val="000000"/>
                <w:szCs w:val="21"/>
              </w:rPr>
              <w:t xml:space="preserve"> 小蓝汽车城</w:t>
            </w:r>
            <w:r>
              <w:rPr>
                <w:color w:val="000000"/>
                <w:szCs w:val="21"/>
              </w:rPr>
              <w:t>环境准入清单</w:t>
            </w:r>
            <w:r>
              <w:rPr>
                <w:rFonts w:hint="eastAsia"/>
                <w:color w:val="000000"/>
                <w:szCs w:val="21"/>
              </w:rPr>
              <w:t>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478"/>
              <w:gridCol w:w="2692"/>
              <w:gridCol w:w="1073"/>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blHeader/>
                <w:jc w:val="center"/>
              </w:trPr>
              <w:tc>
                <w:tcPr>
                  <w:tcW w:w="455" w:type="pct"/>
                  <w:vMerge w:val="restart"/>
                  <w:vAlign w:val="center"/>
                </w:tcPr>
                <w:p>
                  <w:pPr>
                    <w:pStyle w:val="37"/>
                    <w:rPr>
                      <w:b/>
                      <w:bCs/>
                      <w:color w:val="000000"/>
                    </w:rPr>
                  </w:pPr>
                  <w:r>
                    <w:rPr>
                      <w:rFonts w:hint="eastAsia"/>
                      <w:b/>
                      <w:bCs/>
                      <w:color w:val="000000"/>
                    </w:rPr>
                    <w:t>规划发展产业</w:t>
                  </w:r>
                </w:p>
              </w:tc>
              <w:tc>
                <w:tcPr>
                  <w:tcW w:w="2985" w:type="pct"/>
                  <w:gridSpan w:val="2"/>
                  <w:vAlign w:val="center"/>
                </w:tcPr>
                <w:p>
                  <w:pPr>
                    <w:pStyle w:val="37"/>
                    <w:rPr>
                      <w:b/>
                      <w:bCs/>
                      <w:color w:val="000000"/>
                    </w:rPr>
                  </w:pPr>
                  <w:r>
                    <w:rPr>
                      <w:b/>
                      <w:bCs/>
                      <w:color w:val="000000"/>
                    </w:rPr>
                    <w:t>负面清单</w:t>
                  </w:r>
                </w:p>
              </w:tc>
              <w:tc>
                <w:tcPr>
                  <w:tcW w:w="768" w:type="pct"/>
                  <w:vMerge w:val="restart"/>
                  <w:vAlign w:val="center"/>
                </w:tcPr>
                <w:p>
                  <w:pPr>
                    <w:pStyle w:val="37"/>
                    <w:rPr>
                      <w:b/>
                      <w:bCs/>
                      <w:color w:val="000000"/>
                    </w:rPr>
                  </w:pPr>
                  <w:r>
                    <w:rPr>
                      <w:rFonts w:hint="eastAsia"/>
                      <w:b/>
                      <w:bCs/>
                      <w:color w:val="000000"/>
                    </w:rPr>
                    <w:t>涉及的生态环境敏感目标</w:t>
                  </w:r>
                </w:p>
              </w:tc>
              <w:tc>
                <w:tcPr>
                  <w:tcW w:w="790" w:type="pct"/>
                  <w:vMerge w:val="restart"/>
                  <w:vAlign w:val="center"/>
                </w:tcPr>
                <w:p>
                  <w:pPr>
                    <w:pStyle w:val="37"/>
                    <w:rPr>
                      <w:b/>
                      <w:bCs/>
                      <w:color w:val="000000"/>
                    </w:rPr>
                  </w:pPr>
                  <w:r>
                    <w:rPr>
                      <w:rFonts w:hint="eastAsia"/>
                      <w:b/>
                      <w:bCs/>
                      <w:color w:val="000000"/>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blHeader/>
                <w:jc w:val="center"/>
              </w:trPr>
              <w:tc>
                <w:tcPr>
                  <w:tcW w:w="455" w:type="pct"/>
                  <w:vMerge w:val="continue"/>
                  <w:vAlign w:val="center"/>
                </w:tcPr>
                <w:p>
                  <w:pPr>
                    <w:pStyle w:val="37"/>
                    <w:rPr>
                      <w:b/>
                      <w:bCs/>
                      <w:color w:val="000000"/>
                    </w:rPr>
                  </w:pPr>
                </w:p>
              </w:tc>
              <w:tc>
                <w:tcPr>
                  <w:tcW w:w="1058" w:type="pct"/>
                  <w:vAlign w:val="center"/>
                </w:tcPr>
                <w:p>
                  <w:pPr>
                    <w:pStyle w:val="37"/>
                    <w:rPr>
                      <w:b/>
                      <w:bCs/>
                      <w:color w:val="000000"/>
                    </w:rPr>
                  </w:pPr>
                  <w:r>
                    <w:rPr>
                      <w:b/>
                      <w:bCs/>
                      <w:color w:val="000000"/>
                    </w:rPr>
                    <w:t>禁止类</w:t>
                  </w:r>
                </w:p>
              </w:tc>
              <w:tc>
                <w:tcPr>
                  <w:tcW w:w="1927" w:type="pct"/>
                  <w:vAlign w:val="center"/>
                </w:tcPr>
                <w:p>
                  <w:pPr>
                    <w:pStyle w:val="37"/>
                    <w:rPr>
                      <w:b/>
                      <w:bCs/>
                      <w:color w:val="000000"/>
                    </w:rPr>
                  </w:pPr>
                  <w:r>
                    <w:rPr>
                      <w:b/>
                      <w:bCs/>
                      <w:color w:val="000000"/>
                    </w:rPr>
                    <w:t>限制类</w:t>
                  </w:r>
                </w:p>
              </w:tc>
              <w:tc>
                <w:tcPr>
                  <w:tcW w:w="768" w:type="pct"/>
                  <w:vMerge w:val="continue"/>
                  <w:vAlign w:val="center"/>
                </w:tcPr>
                <w:p>
                  <w:pPr>
                    <w:pStyle w:val="37"/>
                    <w:rPr>
                      <w:b/>
                      <w:bCs/>
                      <w:color w:val="000000"/>
                    </w:rPr>
                  </w:pPr>
                </w:p>
              </w:tc>
              <w:tc>
                <w:tcPr>
                  <w:tcW w:w="790" w:type="pct"/>
                  <w:vMerge w:val="continue"/>
                  <w:vAlign w:val="center"/>
                </w:tcPr>
                <w:p>
                  <w:pPr>
                    <w:pStyle w:val="37"/>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55" w:type="pct"/>
                  <w:vAlign w:val="center"/>
                </w:tcPr>
                <w:p>
                  <w:pPr>
                    <w:pStyle w:val="37"/>
                    <w:rPr>
                      <w:color w:val="000000"/>
                    </w:rPr>
                  </w:pPr>
                  <w:r>
                    <w:rPr>
                      <w:rFonts w:hint="eastAsia"/>
                      <w:color w:val="000000"/>
                    </w:rPr>
                    <w:t>小蓝汽车城</w:t>
                  </w:r>
                </w:p>
              </w:tc>
              <w:tc>
                <w:tcPr>
                  <w:tcW w:w="1058" w:type="pct"/>
                  <w:vAlign w:val="center"/>
                </w:tcPr>
                <w:p>
                  <w:pPr>
                    <w:pStyle w:val="37"/>
                    <w:jc w:val="both"/>
                    <w:rPr>
                      <w:color w:val="000000"/>
                    </w:rPr>
                  </w:pPr>
                  <w:r>
                    <w:rPr>
                      <w:rFonts w:hint="eastAsia"/>
                      <w:color w:val="000000"/>
                    </w:rPr>
                    <w:t>1、单纯电镀项目（配套工序除外）。</w:t>
                  </w:r>
                </w:p>
                <w:p>
                  <w:pPr>
                    <w:pStyle w:val="37"/>
                    <w:jc w:val="both"/>
                    <w:rPr>
                      <w:color w:val="000000"/>
                    </w:rPr>
                  </w:pPr>
                  <w:r>
                    <w:rPr>
                      <w:rFonts w:hint="eastAsia"/>
                      <w:color w:val="000000"/>
                    </w:rPr>
                    <w:t>2、新增重金属排放的项目（区域重金属总量应等量替代或者减量替代）。</w:t>
                  </w:r>
                </w:p>
                <w:p>
                  <w:pPr>
                    <w:pStyle w:val="37"/>
                    <w:jc w:val="both"/>
                    <w:rPr>
                      <w:color w:val="000000"/>
                    </w:rPr>
                  </w:pPr>
                  <w:r>
                    <w:rPr>
                      <w:rFonts w:hint="eastAsia"/>
                      <w:color w:val="000000"/>
                    </w:rPr>
                    <w:t>3、现有涉磷企业汽车制造等磷（尤其是总磷）排放量只减不增。</w:t>
                  </w:r>
                </w:p>
              </w:tc>
              <w:tc>
                <w:tcPr>
                  <w:tcW w:w="1927" w:type="pct"/>
                  <w:vAlign w:val="center"/>
                </w:tcPr>
                <w:p>
                  <w:pPr>
                    <w:pStyle w:val="37"/>
                    <w:jc w:val="both"/>
                    <w:rPr>
                      <w:color w:val="000000"/>
                    </w:rPr>
                  </w:pPr>
                  <w:r>
                    <w:rPr>
                      <w:rFonts w:hint="eastAsia"/>
                      <w:color w:val="000000"/>
                    </w:rPr>
                    <w:t>1、赣府厅发[2008]58号文中的高能耗高排放项目。</w:t>
                  </w:r>
                </w:p>
                <w:p>
                  <w:pPr>
                    <w:pStyle w:val="37"/>
                    <w:jc w:val="both"/>
                    <w:rPr>
                      <w:color w:val="000000"/>
                    </w:rPr>
                  </w:pPr>
                  <w:r>
                    <w:rPr>
                      <w:rFonts w:hint="eastAsia"/>
                      <w:color w:val="000000"/>
                    </w:rPr>
                    <w:t>2、靠近湿地两侧禁止引进大排水量企业，无可靠的风险及应急措施、废水不能接入园区污水厂企业。</w:t>
                  </w:r>
                </w:p>
                <w:p>
                  <w:pPr>
                    <w:pStyle w:val="37"/>
                    <w:jc w:val="both"/>
                    <w:rPr>
                      <w:color w:val="000000"/>
                    </w:rPr>
                  </w:pPr>
                  <w:r>
                    <w:rPr>
                      <w:rFonts w:hint="eastAsia"/>
                      <w:color w:val="000000"/>
                    </w:rPr>
                    <w:t>3、东侧靠近雄溪河地块严禁布局废水量大的制造业。</w:t>
                  </w:r>
                </w:p>
                <w:p>
                  <w:pPr>
                    <w:pStyle w:val="37"/>
                    <w:jc w:val="both"/>
                    <w:rPr>
                      <w:color w:val="000000"/>
                    </w:rPr>
                  </w:pPr>
                  <w:r>
                    <w:rPr>
                      <w:rFonts w:hint="eastAsia"/>
                      <w:color w:val="000000"/>
                    </w:rPr>
                    <w:t>4、靠近铁路的地块禁止布局废气量大、有异味、噪声高的企业。</w:t>
                  </w:r>
                </w:p>
                <w:p>
                  <w:pPr>
                    <w:pStyle w:val="37"/>
                    <w:jc w:val="both"/>
                    <w:rPr>
                      <w:color w:val="000000"/>
                    </w:rPr>
                  </w:pPr>
                  <w:r>
                    <w:rPr>
                      <w:rFonts w:hint="eastAsia"/>
                      <w:color w:val="000000"/>
                    </w:rPr>
                    <w:t>5、以危废为原料的项目。</w:t>
                  </w:r>
                </w:p>
                <w:p>
                  <w:pPr>
                    <w:pStyle w:val="37"/>
                    <w:jc w:val="both"/>
                    <w:rPr>
                      <w:color w:val="000000"/>
                    </w:rPr>
                  </w:pPr>
                  <w:r>
                    <w:rPr>
                      <w:rFonts w:hint="eastAsia"/>
                      <w:color w:val="000000"/>
                    </w:rPr>
                    <w:t>6、其他不符合园区规划的企业。</w:t>
                  </w:r>
                </w:p>
              </w:tc>
              <w:tc>
                <w:tcPr>
                  <w:tcW w:w="768" w:type="pct"/>
                  <w:vAlign w:val="center"/>
                </w:tcPr>
                <w:p>
                  <w:pPr>
                    <w:pStyle w:val="37"/>
                    <w:jc w:val="both"/>
                    <w:rPr>
                      <w:color w:val="000000"/>
                    </w:rPr>
                  </w:pPr>
                  <w:r>
                    <w:rPr>
                      <w:rFonts w:hint="eastAsia"/>
                      <w:color w:val="000000"/>
                    </w:rPr>
                    <w:t>抚河故道及湿地斑块、区内湖泊、雄溪河，以保护区域水资源及水生生态环境为主要功能。</w:t>
                  </w:r>
                </w:p>
              </w:tc>
              <w:tc>
                <w:tcPr>
                  <w:tcW w:w="790" w:type="pct"/>
                  <w:vAlign w:val="center"/>
                </w:tcPr>
                <w:p>
                  <w:pPr>
                    <w:pStyle w:val="37"/>
                    <w:jc w:val="both"/>
                    <w:rPr>
                      <w:color w:val="000000"/>
                    </w:rPr>
                  </w:pPr>
                  <w:r>
                    <w:rPr>
                      <w:rFonts w:hint="eastAsia"/>
                      <w:color w:val="000000"/>
                    </w:rPr>
                    <w:t>目前尚未开发完毕，应以江铃汽车为主，延长产业链，同时接纳区域搬迁的企业，在企业选址阶段应进行充分论证，注重产业布局。</w:t>
                  </w:r>
                </w:p>
              </w:tc>
            </w:tr>
          </w:tbl>
          <w:p>
            <w:pPr>
              <w:ind w:firstLine="480"/>
              <w:rPr>
                <w:color w:val="000000"/>
              </w:rPr>
            </w:pPr>
            <w:r>
              <w:rPr>
                <w:rFonts w:hint="eastAsia"/>
                <w:color w:val="000000"/>
              </w:rPr>
              <w:t>扩建项目为江铃汽车配套的生产线，主要对新能源新车型车架进行焊接工作等</w:t>
            </w:r>
            <w:r>
              <w:rPr>
                <w:color w:val="000000"/>
              </w:rPr>
              <w:t>，</w:t>
            </w:r>
            <w:r>
              <w:rPr>
                <w:rFonts w:hint="eastAsia"/>
                <w:color w:val="000000"/>
              </w:rPr>
              <w:t>属于汽车制造的配套产业</w:t>
            </w:r>
            <w:r>
              <w:rPr>
                <w:color w:val="000000"/>
              </w:rPr>
              <w:t>，经对比，不属于</w:t>
            </w:r>
            <w:r>
              <w:rPr>
                <w:rFonts w:hint="eastAsia"/>
                <w:color w:val="000000"/>
              </w:rPr>
              <w:t>小蓝汽车城环境准入</w:t>
            </w:r>
            <w:r>
              <w:rPr>
                <w:color w:val="000000"/>
              </w:rPr>
              <w:t>清单</w:t>
            </w:r>
            <w:r>
              <w:rPr>
                <w:rFonts w:hint="eastAsia"/>
                <w:color w:val="000000"/>
              </w:rPr>
              <w:t>中禁止类、限制类</w:t>
            </w:r>
            <w:r>
              <w:rPr>
                <w:color w:val="000000"/>
              </w:rPr>
              <w:t>范围</w:t>
            </w:r>
            <w:r>
              <w:rPr>
                <w:rFonts w:hint="eastAsia"/>
                <w:color w:val="000000"/>
              </w:rPr>
              <w:t>，为允许类。</w:t>
            </w: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pStyle w:val="2"/>
              <w:ind w:firstLine="480"/>
            </w:pPr>
          </w:p>
          <w:p>
            <w:pPr>
              <w:ind w:firstLine="480"/>
              <w:rPr>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34" w:hRule="atLeast"/>
          <w:jc w:val="center"/>
        </w:trPr>
        <w:tc>
          <w:tcPr>
            <w:tcW w:w="1859" w:type="dxa"/>
            <w:vAlign w:val="center"/>
          </w:tcPr>
          <w:p>
            <w:pPr>
              <w:pStyle w:val="41"/>
              <w:rPr>
                <w:b/>
                <w:bCs/>
                <w:color w:val="000000"/>
              </w:rPr>
            </w:pPr>
            <w:r>
              <w:rPr>
                <w:b/>
                <w:bCs/>
                <w:color w:val="000000"/>
              </w:rPr>
              <w:t>其他符合性分析</w:t>
            </w:r>
          </w:p>
        </w:tc>
        <w:tc>
          <w:tcPr>
            <w:tcW w:w="7016" w:type="dxa"/>
            <w:gridSpan w:val="3"/>
          </w:tcPr>
          <w:p>
            <w:pPr>
              <w:snapToGrid w:val="0"/>
              <w:ind w:firstLine="482"/>
              <w:rPr>
                <w:b/>
                <w:bCs/>
                <w:color w:val="000000"/>
              </w:rPr>
            </w:pPr>
            <w:r>
              <w:rPr>
                <w:rFonts w:hint="eastAsia"/>
                <w:b/>
                <w:bCs/>
                <w:color w:val="000000"/>
              </w:rPr>
              <w:t>（1）</w:t>
            </w:r>
            <w:r>
              <w:rPr>
                <w:b/>
                <w:bCs/>
                <w:color w:val="000000"/>
              </w:rPr>
              <w:t>用地性质相符性分析</w:t>
            </w:r>
          </w:p>
          <w:p>
            <w:pPr>
              <w:widowControl/>
              <w:ind w:firstLine="480"/>
              <w:jc w:val="left"/>
              <w:rPr>
                <w:color w:val="000000"/>
              </w:rPr>
            </w:pPr>
            <w:r>
              <w:rPr>
                <w:rFonts w:hint="eastAsia"/>
                <w:color w:val="000000"/>
              </w:rPr>
              <w:t>扩建</w:t>
            </w:r>
            <w:r>
              <w:rPr>
                <w:color w:val="000000"/>
              </w:rPr>
              <w:t>项目位</w:t>
            </w:r>
            <w:r>
              <w:rPr>
                <w:rFonts w:hint="eastAsia"/>
                <w:color w:val="000000"/>
              </w:rPr>
              <w:t>于南昌市南昌县小蓝经济开发区江铃汽车股份有限公司（小蓝分公司）现有厂区内，根</w:t>
            </w:r>
            <w:r>
              <w:rPr>
                <w:color w:val="000000"/>
              </w:rPr>
              <w:t>据</w:t>
            </w:r>
            <w:r>
              <w:rPr>
                <w:rFonts w:hint="eastAsia"/>
                <w:color w:val="000000"/>
              </w:rPr>
              <w:t>企业</w:t>
            </w:r>
            <w:r>
              <w:rPr>
                <w:color w:val="000000"/>
              </w:rPr>
              <w:t>提供的土地证</w:t>
            </w:r>
            <w:r>
              <w:rPr>
                <w:rFonts w:hint="eastAsia"/>
                <w:color w:val="000000"/>
              </w:rPr>
              <w:t>（赣[2022]南昌县不动产权第0031152号）和区域土地利用规划图</w:t>
            </w:r>
            <w:r>
              <w:rPr>
                <w:color w:val="000000"/>
              </w:rPr>
              <w:t>，</w:t>
            </w:r>
            <w:r>
              <w:rPr>
                <w:rFonts w:hint="eastAsia"/>
                <w:color w:val="000000"/>
              </w:rPr>
              <w:t>厂区</w:t>
            </w:r>
            <w:r>
              <w:rPr>
                <w:color w:val="000000"/>
              </w:rPr>
              <w:t>用地性质</w:t>
            </w:r>
            <w:r>
              <w:rPr>
                <w:rFonts w:hint="eastAsia"/>
                <w:color w:val="000000"/>
              </w:rPr>
              <w:t>规划为</w:t>
            </w:r>
            <w:r>
              <w:rPr>
                <w:color w:val="000000"/>
              </w:rPr>
              <w:t>工业用</w:t>
            </w:r>
            <w:r>
              <w:rPr>
                <w:rFonts w:hint="eastAsia"/>
                <w:color w:val="000000"/>
              </w:rPr>
              <w:t>途，扩建项目建设</w:t>
            </w:r>
            <w:r>
              <w:rPr>
                <w:color w:val="000000"/>
              </w:rPr>
              <w:t>符合区域土地利用规划要求。</w:t>
            </w:r>
          </w:p>
          <w:p>
            <w:pPr>
              <w:snapToGrid w:val="0"/>
              <w:ind w:firstLine="482"/>
              <w:rPr>
                <w:b/>
                <w:bCs/>
                <w:color w:val="000000"/>
              </w:rPr>
            </w:pPr>
            <w:r>
              <w:rPr>
                <w:rFonts w:hint="eastAsia"/>
                <w:b/>
                <w:bCs/>
                <w:color w:val="000000"/>
              </w:rPr>
              <w:t>（2）</w:t>
            </w:r>
            <w:r>
              <w:rPr>
                <w:b/>
                <w:bCs/>
                <w:color w:val="000000"/>
              </w:rPr>
              <w:t>产业政策相符性</w:t>
            </w:r>
          </w:p>
          <w:p>
            <w:pPr>
              <w:ind w:firstLine="480"/>
              <w:rPr>
                <w:color w:val="000000"/>
              </w:rPr>
            </w:pPr>
            <w:r>
              <w:rPr>
                <w:rFonts w:hint="eastAsia"/>
                <w:color w:val="000000"/>
              </w:rPr>
              <w:t>根据《产业结构调整指导目录（2024年本）》和《江西省产业结构调整及工业园产业发展导向目录（2019年本）》，扩建项目均不属于“限制类”、“淘汰类”，为“允许类”；南昌县科技和工业信息化局已同意项目备案，项目统一代码为：2310-360121-07-02-982069。</w:t>
            </w:r>
          </w:p>
          <w:p>
            <w:pPr>
              <w:ind w:firstLine="480"/>
              <w:rPr>
                <w:color w:val="000000"/>
              </w:rPr>
            </w:pPr>
            <w:r>
              <w:rPr>
                <w:rFonts w:hint="eastAsia"/>
                <w:color w:val="000000"/>
              </w:rPr>
              <w:t>综上所述，扩建项目建设符合国家和地方产业政策要求。</w:t>
            </w:r>
          </w:p>
          <w:p>
            <w:pPr>
              <w:ind w:firstLine="482"/>
              <w:rPr>
                <w:b/>
                <w:bCs/>
                <w:color w:val="000000"/>
              </w:rPr>
            </w:pPr>
            <w:r>
              <w:rPr>
                <w:rFonts w:hint="eastAsia"/>
                <w:b/>
                <w:bCs/>
                <w:color w:val="000000"/>
              </w:rPr>
              <w:t>（3）选址合理性分析</w:t>
            </w:r>
          </w:p>
          <w:p>
            <w:pPr>
              <w:ind w:firstLine="480"/>
              <w:rPr>
                <w:color w:val="000000"/>
              </w:rPr>
            </w:pPr>
            <w:r>
              <w:rPr>
                <w:rFonts w:hint="eastAsia"/>
                <w:color w:val="000000"/>
              </w:rPr>
              <w:t>1、选址合理性分析</w:t>
            </w:r>
          </w:p>
          <w:p>
            <w:pPr>
              <w:ind w:firstLine="480"/>
              <w:rPr>
                <w:color w:val="000000"/>
              </w:rPr>
            </w:pPr>
            <w:r>
              <w:rPr>
                <w:rFonts w:hint="eastAsia"/>
                <w:color w:val="000000"/>
              </w:rPr>
              <w:t>扩建项目选址不属于生活饮用水源地和地下水补给区、温泉疗养区、水产养殖区、基本农田保护区、风景名胜区自然保护区内，评价区域内无需特殊保护的濒危动植物，厂址区域无国家级、省级和重点文物保护单位。扩建项目主要污染物在采取各项污染防治措施后均可达标排放，对外环境影响较小，与周边环境兼容。</w:t>
            </w:r>
          </w:p>
          <w:p>
            <w:pPr>
              <w:ind w:firstLine="480"/>
              <w:rPr>
                <w:color w:val="000000"/>
              </w:rPr>
            </w:pPr>
            <w:r>
              <w:rPr>
                <w:rFonts w:hint="eastAsia"/>
                <w:color w:val="000000"/>
              </w:rPr>
              <w:t>2、周边企业相容性分析</w:t>
            </w:r>
          </w:p>
          <w:p>
            <w:pPr>
              <w:ind w:firstLine="480"/>
              <w:rPr>
                <w:color w:val="000000"/>
              </w:rPr>
            </w:pPr>
            <w:r>
              <w:rPr>
                <w:rFonts w:hint="eastAsia"/>
                <w:color w:val="000000"/>
              </w:rPr>
              <w:t>扩建项目主要对新能源新车型车架进行焊接工作等，属于汽车制造的配套产业。根据现场调查：扩建</w:t>
            </w:r>
            <w:r>
              <w:rPr>
                <w:rFonts w:hint="eastAsia"/>
                <w:color w:val="000000"/>
                <w:highlight w:val="none"/>
              </w:rPr>
              <w:t>项目北侧为</w:t>
            </w:r>
            <w:r>
              <w:rPr>
                <w:rFonts w:hint="eastAsia"/>
                <w:color w:val="000000"/>
                <w:highlight w:val="none"/>
                <w:lang w:val="en-US" w:eastAsia="zh-CN"/>
              </w:rPr>
              <w:t>江铃</w:t>
            </w:r>
            <w:r>
              <w:rPr>
                <w:rFonts w:hint="eastAsia"/>
                <w:color w:val="000000"/>
                <w:highlight w:val="none"/>
              </w:rPr>
              <w:t>汽车股份有限公司小蓝工厂（江铃整车制造厂区）等，东侧为江西江铃汽车集团改装车股份有限公司（各类汽车改装、配件制造）等，南侧为中联物流公司（物流），西侧为南昌江铃</w:t>
            </w:r>
            <w:r>
              <w:rPr>
                <w:rFonts w:hint="eastAsia"/>
                <w:color w:val="000000"/>
              </w:rPr>
              <w:t>集团实顺物流有限公司（物流），周边企业均以汽车及其零配件制造、物流、包装、设备制造等为主。</w:t>
            </w:r>
          </w:p>
          <w:p>
            <w:pPr>
              <w:ind w:firstLine="480"/>
              <w:rPr>
                <w:color w:val="000000"/>
              </w:rPr>
            </w:pPr>
            <w:r>
              <w:rPr>
                <w:rFonts w:hint="eastAsia"/>
                <w:color w:val="000000"/>
              </w:rPr>
              <w:t>因此，扩建项目建设与周边企业相容性较好。</w:t>
            </w:r>
          </w:p>
          <w:p>
            <w:pPr>
              <w:ind w:firstLine="482"/>
              <w:rPr>
                <w:b/>
                <w:bCs/>
                <w:color w:val="000000"/>
              </w:rPr>
            </w:pPr>
            <w:r>
              <w:rPr>
                <w:rFonts w:hint="eastAsia"/>
                <w:b/>
                <w:bCs/>
                <w:color w:val="000000"/>
              </w:rPr>
              <w:t>（4）</w:t>
            </w:r>
            <w:r>
              <w:rPr>
                <w:rFonts w:hint="eastAsia"/>
                <w:b/>
                <w:color w:val="000000"/>
              </w:rPr>
              <w:t>扩建</w:t>
            </w:r>
            <w:r>
              <w:rPr>
                <w:rFonts w:hint="eastAsia"/>
                <w:b/>
                <w:bCs/>
                <w:color w:val="000000"/>
              </w:rPr>
              <w:t>项目与《中华人民共和国长江保护法》相符性分析</w:t>
            </w:r>
          </w:p>
          <w:p>
            <w:pPr>
              <w:ind w:firstLine="480"/>
              <w:rPr>
                <w:color w:val="000000"/>
              </w:rPr>
            </w:pPr>
            <w:r>
              <w:rPr>
                <w:rFonts w:hint="eastAsia"/>
                <w:color w:val="000000"/>
              </w:rPr>
              <w:t>扩建项目与《中华人民共和国长江保护法》对照分析见下表。</w:t>
            </w:r>
          </w:p>
          <w:p>
            <w:pPr>
              <w:pStyle w:val="38"/>
              <w:rPr>
                <w:color w:val="000000"/>
                <w:spacing w:val="0"/>
              </w:rPr>
            </w:pPr>
            <w:r>
              <w:rPr>
                <w:color w:val="000000"/>
                <w:spacing w:val="0"/>
              </w:rPr>
              <w:t>表</w:t>
            </w:r>
            <w:r>
              <w:rPr>
                <w:rFonts w:hint="eastAsia"/>
                <w:color w:val="000000"/>
                <w:spacing w:val="0"/>
              </w:rPr>
              <w:t xml:space="preserve">1-6 </w:t>
            </w:r>
            <w:r>
              <w:rPr>
                <w:color w:val="000000"/>
                <w:spacing w:val="0"/>
              </w:rPr>
              <w:t xml:space="preserve"> </w:t>
            </w:r>
            <w:r>
              <w:rPr>
                <w:rFonts w:hint="eastAsia"/>
                <w:color w:val="000000"/>
                <w:spacing w:val="0"/>
              </w:rPr>
              <w:t>扩建</w:t>
            </w:r>
            <w:r>
              <w:rPr>
                <w:color w:val="000000"/>
                <w:spacing w:val="0"/>
              </w:rPr>
              <w:t>项目与</w:t>
            </w:r>
            <w:r>
              <w:rPr>
                <w:rFonts w:hint="eastAsia"/>
                <w:color w:val="000000"/>
                <w:spacing w:val="0"/>
              </w:rPr>
              <w:t>中华人民共和国长江保护法相符性一览表</w:t>
            </w:r>
          </w:p>
          <w:tbl>
            <w:tblPr>
              <w:tblStyle w:val="27"/>
              <w:tblW w:w="6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7"/>
              <w:gridCol w:w="1814"/>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29" w:type="pct"/>
                  <w:vAlign w:val="center"/>
                </w:tcPr>
                <w:p>
                  <w:pPr>
                    <w:pStyle w:val="37"/>
                    <w:rPr>
                      <w:b/>
                      <w:bCs/>
                      <w:color w:val="000000"/>
                    </w:rPr>
                  </w:pPr>
                  <w:r>
                    <w:rPr>
                      <w:b/>
                      <w:bCs/>
                      <w:color w:val="000000"/>
                    </w:rPr>
                    <w:t>文件要求</w:t>
                  </w:r>
                </w:p>
              </w:tc>
              <w:tc>
                <w:tcPr>
                  <w:tcW w:w="1326" w:type="pct"/>
                  <w:vAlign w:val="center"/>
                </w:tcPr>
                <w:p>
                  <w:pPr>
                    <w:pStyle w:val="37"/>
                    <w:rPr>
                      <w:b/>
                      <w:bCs/>
                      <w:color w:val="000000"/>
                    </w:rPr>
                  </w:pPr>
                  <w:r>
                    <w:rPr>
                      <w:b/>
                      <w:bCs/>
                      <w:color w:val="000000"/>
                    </w:rPr>
                    <w:t>项目情况</w:t>
                  </w:r>
                </w:p>
              </w:tc>
              <w:tc>
                <w:tcPr>
                  <w:tcW w:w="445" w:type="pct"/>
                  <w:vAlign w:val="center"/>
                </w:tcPr>
                <w:p>
                  <w:pPr>
                    <w:pStyle w:val="37"/>
                    <w:rPr>
                      <w:b/>
                      <w:bCs/>
                      <w:color w:val="000000"/>
                    </w:rPr>
                  </w:pPr>
                  <w:r>
                    <w:rPr>
                      <w:rFonts w:hint="eastAsia"/>
                      <w:b/>
                      <w:bCs/>
                      <w:color w:val="000000"/>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禁止在长江干支流岸线一公里范围内新建、扩建化工园区和化工项目</w:t>
                  </w:r>
                </w:p>
              </w:tc>
              <w:tc>
                <w:tcPr>
                  <w:tcW w:w="1326" w:type="pct"/>
                  <w:vAlign w:val="center"/>
                </w:tcPr>
                <w:p>
                  <w:pPr>
                    <w:pStyle w:val="37"/>
                    <w:jc w:val="left"/>
                    <w:rPr>
                      <w:color w:val="000000"/>
                    </w:rPr>
                  </w:pPr>
                  <w:r>
                    <w:rPr>
                      <w:rFonts w:hint="eastAsia"/>
                      <w:color w:val="000000"/>
                    </w:rPr>
                    <w:t>项目不在</w:t>
                  </w:r>
                  <w:r>
                    <w:rPr>
                      <w:color w:val="000000"/>
                    </w:rPr>
                    <w:t>长江干支流岸线一公里范围内</w:t>
                  </w:r>
                  <w:r>
                    <w:rPr>
                      <w:rFonts w:hint="eastAsia"/>
                      <w:color w:val="000000"/>
                    </w:rPr>
                    <w:t>。</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禁止在长江干流岸线三公里范围内和重要支流岸线一公里范围内新建、改建、扩建尾矿库；但是以提升安全、生态环境保护水平为目的的改建除外。</w:t>
                  </w:r>
                </w:p>
              </w:tc>
              <w:tc>
                <w:tcPr>
                  <w:tcW w:w="1326" w:type="pct"/>
                  <w:vAlign w:val="center"/>
                </w:tcPr>
                <w:p>
                  <w:pPr>
                    <w:pStyle w:val="37"/>
                    <w:jc w:val="left"/>
                    <w:rPr>
                      <w:color w:val="000000"/>
                    </w:rPr>
                  </w:pPr>
                  <w:r>
                    <w:rPr>
                      <w:rFonts w:hint="eastAsia"/>
                      <w:color w:val="000000"/>
                    </w:rPr>
                    <w:t>项目不在</w:t>
                  </w:r>
                  <w:r>
                    <w:rPr>
                      <w:color w:val="000000"/>
                    </w:rPr>
                    <w:t>长江干流岸线三公里范围内和重要支流岸线一公里范围内</w:t>
                  </w:r>
                  <w:r>
                    <w:rPr>
                      <w:rFonts w:hint="eastAsia"/>
                      <w:color w:val="000000"/>
                    </w:rPr>
                    <w:t>。</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w:t>
                  </w:r>
                </w:p>
              </w:tc>
              <w:tc>
                <w:tcPr>
                  <w:tcW w:w="1326" w:type="pct"/>
                  <w:vAlign w:val="center"/>
                </w:tcPr>
                <w:p>
                  <w:pPr>
                    <w:pStyle w:val="37"/>
                    <w:jc w:val="left"/>
                    <w:rPr>
                      <w:color w:val="000000"/>
                    </w:rPr>
                  </w:pPr>
                  <w:r>
                    <w:rPr>
                      <w:rFonts w:hint="eastAsia"/>
                      <w:color w:val="000000"/>
                    </w:rPr>
                    <w:t>不属于船舶航行工程。</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严格限制在长江流域生态保护红线、自然保护地、水生生物重要栖息地水域实施航道整治工程；确需整治的，应当经科学论证，并依法办理相关手续。</w:t>
                  </w:r>
                </w:p>
              </w:tc>
              <w:tc>
                <w:tcPr>
                  <w:tcW w:w="1326" w:type="pct"/>
                  <w:vAlign w:val="center"/>
                </w:tcPr>
                <w:p>
                  <w:pPr>
                    <w:pStyle w:val="37"/>
                    <w:jc w:val="left"/>
                    <w:rPr>
                      <w:color w:val="000000"/>
                    </w:rPr>
                  </w:pPr>
                  <w:r>
                    <w:rPr>
                      <w:rFonts w:hint="eastAsia"/>
                      <w:color w:val="000000"/>
                    </w:rPr>
                    <w:t>不属于</w:t>
                  </w:r>
                  <w:r>
                    <w:rPr>
                      <w:color w:val="000000"/>
                    </w:rPr>
                    <w:t>航道整治工程</w:t>
                  </w:r>
                  <w:r>
                    <w:rPr>
                      <w:rFonts w:hint="eastAsia"/>
                      <w:color w:val="000000"/>
                    </w:rPr>
                    <w:t>。</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w:t>
                  </w:r>
                </w:p>
              </w:tc>
              <w:tc>
                <w:tcPr>
                  <w:tcW w:w="1326" w:type="pct"/>
                  <w:vAlign w:val="center"/>
                </w:tcPr>
                <w:p>
                  <w:pPr>
                    <w:pStyle w:val="37"/>
                    <w:jc w:val="left"/>
                    <w:rPr>
                      <w:color w:val="000000"/>
                    </w:rPr>
                  </w:pPr>
                  <w:r>
                    <w:rPr>
                      <w:rFonts w:hint="eastAsia"/>
                      <w:color w:val="000000"/>
                    </w:rPr>
                    <w:t>不属于采砂工程。</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禁止在长江流域开放水域养殖、投放外来物种或者其他非本地物种种质资源。</w:t>
                  </w:r>
                </w:p>
              </w:tc>
              <w:tc>
                <w:tcPr>
                  <w:tcW w:w="1326" w:type="pct"/>
                  <w:vAlign w:val="center"/>
                </w:tcPr>
                <w:p>
                  <w:pPr>
                    <w:pStyle w:val="37"/>
                    <w:jc w:val="left"/>
                    <w:rPr>
                      <w:color w:val="000000"/>
                    </w:rPr>
                  </w:pPr>
                  <w:r>
                    <w:rPr>
                      <w:rFonts w:hint="eastAsia"/>
                      <w:color w:val="000000"/>
                    </w:rPr>
                    <w:t>不属于</w:t>
                  </w:r>
                  <w:r>
                    <w:rPr>
                      <w:color w:val="000000"/>
                    </w:rPr>
                    <w:t>水域养殖</w:t>
                  </w:r>
                  <w:r>
                    <w:rPr>
                      <w:rFonts w:hint="eastAsia"/>
                      <w:color w:val="000000"/>
                    </w:rPr>
                    <w:t>工程。</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磷矿开采加工、磷肥和含磷农药制造等企业，应当按照排污许可要求，采取有效措施控制总磷排放浓度和排放总量；对排污口和周边环境进行总磷监测，依法公开监测信息。</w:t>
                  </w:r>
                </w:p>
              </w:tc>
              <w:tc>
                <w:tcPr>
                  <w:tcW w:w="1326" w:type="pct"/>
                  <w:vAlign w:val="center"/>
                </w:tcPr>
                <w:p>
                  <w:pPr>
                    <w:pStyle w:val="37"/>
                    <w:jc w:val="left"/>
                    <w:rPr>
                      <w:color w:val="000000"/>
                    </w:rPr>
                  </w:pPr>
                  <w:r>
                    <w:rPr>
                      <w:rFonts w:hint="eastAsia"/>
                      <w:color w:val="000000"/>
                    </w:rPr>
                    <w:t>项目不属于</w:t>
                  </w:r>
                  <w:r>
                    <w:rPr>
                      <w:color w:val="000000"/>
                    </w:rPr>
                    <w:t>磷矿开采加工、磷肥和含磷农药制造</w:t>
                  </w:r>
                  <w:r>
                    <w:rPr>
                      <w:rFonts w:hint="eastAsia"/>
                      <w:color w:val="000000"/>
                    </w:rPr>
                    <w:t>等工程。</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1326" w:type="pct"/>
                  <w:vAlign w:val="center"/>
                </w:tcPr>
                <w:p>
                  <w:pPr>
                    <w:pStyle w:val="37"/>
                    <w:jc w:val="left"/>
                    <w:rPr>
                      <w:color w:val="000000"/>
                    </w:rPr>
                  </w:pPr>
                  <w:r>
                    <w:rPr>
                      <w:rFonts w:hint="eastAsia"/>
                      <w:color w:val="000000"/>
                    </w:rPr>
                    <w:t>项目不涉及新设、改设或扩大排污口。</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禁止在长江流域河湖管理范围内倾倒、填埋、堆放、弃置、处理固体废物。</w:t>
                  </w:r>
                </w:p>
              </w:tc>
              <w:tc>
                <w:tcPr>
                  <w:tcW w:w="1326" w:type="pct"/>
                  <w:vAlign w:val="center"/>
                </w:tcPr>
                <w:p>
                  <w:pPr>
                    <w:pStyle w:val="37"/>
                    <w:jc w:val="left"/>
                    <w:rPr>
                      <w:color w:val="000000"/>
                    </w:rPr>
                  </w:pPr>
                  <w:r>
                    <w:rPr>
                      <w:rFonts w:hint="eastAsia"/>
                      <w:color w:val="000000"/>
                    </w:rPr>
                    <w:t>项目固体废物均妥善处置，不实行</w:t>
                  </w:r>
                  <w:r>
                    <w:rPr>
                      <w:color w:val="000000"/>
                    </w:rPr>
                    <w:t>倾倒、填埋、堆放、弃置</w:t>
                  </w:r>
                  <w:r>
                    <w:rPr>
                      <w:rFonts w:hint="eastAsia"/>
                      <w:color w:val="000000"/>
                    </w:rPr>
                    <w:t>等方式处理。</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禁止在长江流域水上运输剧毒化学品和国家规定禁止通过内河运输的其他危险化学品。</w:t>
                  </w:r>
                </w:p>
              </w:tc>
              <w:tc>
                <w:tcPr>
                  <w:tcW w:w="1326" w:type="pct"/>
                  <w:vAlign w:val="center"/>
                </w:tcPr>
                <w:p>
                  <w:pPr>
                    <w:pStyle w:val="37"/>
                    <w:jc w:val="left"/>
                    <w:rPr>
                      <w:color w:val="000000"/>
                    </w:rPr>
                  </w:pPr>
                  <w:r>
                    <w:rPr>
                      <w:rFonts w:hint="eastAsia"/>
                      <w:color w:val="000000"/>
                    </w:rPr>
                    <w:t>项目不属于</w:t>
                  </w:r>
                  <w:r>
                    <w:rPr>
                      <w:color w:val="000000"/>
                    </w:rPr>
                    <w:t>水上运输剧毒化学品</w:t>
                  </w:r>
                  <w:r>
                    <w:rPr>
                      <w:rFonts w:hint="eastAsia"/>
                      <w:color w:val="000000"/>
                    </w:rPr>
                    <w:t>工程。</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在长江流域水生生物保护区全面禁止生产性捕捞；在国家规定的期限内，长江干流和重要支流、大型通江湖泊、长江河口规定区域等重点水域全面禁止天然渔业资源的生产性捕捞。</w:t>
                  </w:r>
                </w:p>
              </w:tc>
              <w:tc>
                <w:tcPr>
                  <w:tcW w:w="1326" w:type="pct"/>
                  <w:vAlign w:val="center"/>
                </w:tcPr>
                <w:p>
                  <w:pPr>
                    <w:pStyle w:val="37"/>
                    <w:jc w:val="left"/>
                    <w:rPr>
                      <w:color w:val="000000"/>
                    </w:rPr>
                  </w:pPr>
                  <w:r>
                    <w:rPr>
                      <w:rFonts w:hint="eastAsia"/>
                      <w:color w:val="000000"/>
                    </w:rPr>
                    <w:t>不属于</w:t>
                  </w:r>
                  <w:r>
                    <w:rPr>
                      <w:color w:val="000000"/>
                    </w:rPr>
                    <w:t>捕捞</w:t>
                  </w:r>
                  <w:r>
                    <w:rPr>
                      <w:rFonts w:hint="eastAsia"/>
                      <w:color w:val="000000"/>
                    </w:rPr>
                    <w:t>工程。</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禁止违法利用、占用长江流域河湖岸线。</w:t>
                  </w:r>
                </w:p>
              </w:tc>
              <w:tc>
                <w:tcPr>
                  <w:tcW w:w="1326" w:type="pct"/>
                  <w:vAlign w:val="center"/>
                </w:tcPr>
                <w:p>
                  <w:pPr>
                    <w:pStyle w:val="37"/>
                    <w:jc w:val="left"/>
                    <w:rPr>
                      <w:color w:val="000000"/>
                    </w:rPr>
                  </w:pPr>
                  <w:r>
                    <w:rPr>
                      <w:rFonts w:hint="eastAsia"/>
                      <w:color w:val="000000"/>
                    </w:rPr>
                    <w:t>项目不涉及</w:t>
                  </w:r>
                  <w:r>
                    <w:rPr>
                      <w:color w:val="000000"/>
                    </w:rPr>
                    <w:t>长江流域河湖岸线</w:t>
                  </w:r>
                  <w:r>
                    <w:rPr>
                      <w:rFonts w:hint="eastAsia"/>
                      <w:color w:val="000000"/>
                    </w:rPr>
                    <w:t>。</w:t>
                  </w:r>
                </w:p>
              </w:tc>
              <w:tc>
                <w:tcPr>
                  <w:tcW w:w="445" w:type="pct"/>
                  <w:vAlign w:val="center"/>
                </w:tcPr>
                <w:p>
                  <w:pPr>
                    <w:pStyle w:val="37"/>
                    <w:rPr>
                      <w:color w:val="000000"/>
                    </w:rPr>
                  </w:pPr>
                  <w:r>
                    <w:rPr>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9" w:type="pct"/>
                  <w:vAlign w:val="center"/>
                </w:tcPr>
                <w:p>
                  <w:pPr>
                    <w:pStyle w:val="37"/>
                    <w:jc w:val="left"/>
                    <w:rPr>
                      <w:color w:val="000000"/>
                    </w:rPr>
                  </w:pPr>
                  <w:r>
                    <w:rPr>
                      <w:color w:val="000000"/>
                    </w:rPr>
                    <w:t>禁止在长江流域水土流失严重、生态脆弱的区域开展可能造成水土流失的生产建设活动。</w:t>
                  </w:r>
                </w:p>
              </w:tc>
              <w:tc>
                <w:tcPr>
                  <w:tcW w:w="1326" w:type="pct"/>
                  <w:vAlign w:val="center"/>
                </w:tcPr>
                <w:p>
                  <w:pPr>
                    <w:pStyle w:val="37"/>
                    <w:jc w:val="left"/>
                    <w:rPr>
                      <w:color w:val="000000"/>
                    </w:rPr>
                  </w:pPr>
                  <w:r>
                    <w:rPr>
                      <w:rFonts w:hint="eastAsia"/>
                      <w:color w:val="000000"/>
                    </w:rPr>
                    <w:t>项目不涉及</w:t>
                  </w:r>
                  <w:r>
                    <w:rPr>
                      <w:color w:val="000000"/>
                    </w:rPr>
                    <w:t>长江流域水土流失严重、生态脆弱的区域</w:t>
                  </w:r>
                  <w:r>
                    <w:rPr>
                      <w:rFonts w:hint="eastAsia"/>
                      <w:color w:val="000000"/>
                    </w:rPr>
                    <w:t>。</w:t>
                  </w:r>
                </w:p>
              </w:tc>
              <w:tc>
                <w:tcPr>
                  <w:tcW w:w="445" w:type="pct"/>
                  <w:vAlign w:val="center"/>
                </w:tcPr>
                <w:p>
                  <w:pPr>
                    <w:pStyle w:val="37"/>
                    <w:rPr>
                      <w:color w:val="000000"/>
                    </w:rPr>
                  </w:pPr>
                  <w:r>
                    <w:rPr>
                      <w:color w:val="000000"/>
                    </w:rPr>
                    <w:t>符合</w:t>
                  </w:r>
                </w:p>
              </w:tc>
            </w:tr>
          </w:tbl>
          <w:p>
            <w:pPr>
              <w:snapToGrid w:val="0"/>
              <w:ind w:firstLine="480"/>
              <w:rPr>
                <w:color w:val="000000"/>
              </w:rPr>
            </w:pPr>
            <w:r>
              <w:rPr>
                <w:rFonts w:hint="eastAsia"/>
                <w:color w:val="000000"/>
              </w:rPr>
              <w:t>由上表可知，扩建项目建设符合《中华人民共和国长江保护法》中相关要求。</w:t>
            </w:r>
          </w:p>
          <w:p>
            <w:pPr>
              <w:ind w:firstLine="482"/>
              <w:rPr>
                <w:b/>
                <w:bCs/>
                <w:color w:val="000000"/>
              </w:rPr>
            </w:pPr>
            <w:r>
              <w:rPr>
                <w:rFonts w:hint="eastAsia"/>
                <w:b/>
                <w:bCs/>
                <w:color w:val="000000"/>
              </w:rPr>
              <w:t>（5）与《江西省长江经济带发展负面清单实施细则（试行，2022年版）》（赣长江办[2022]7号）的相符性分析</w:t>
            </w:r>
          </w:p>
          <w:p>
            <w:pPr>
              <w:pStyle w:val="38"/>
              <w:rPr>
                <w:color w:val="000000"/>
                <w:spacing w:val="0"/>
              </w:rPr>
            </w:pPr>
            <w:r>
              <w:rPr>
                <w:rFonts w:hint="eastAsia"/>
                <w:color w:val="000000"/>
                <w:spacing w:val="0"/>
              </w:rPr>
              <w:t>表1-7 与《长江经济带发展负面清单实施细则（2022年版）》相符性分析</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25"/>
              <w:gridCol w:w="2024"/>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9" w:type="pct"/>
                  <w:gridSpan w:val="2"/>
                  <w:vAlign w:val="center"/>
                </w:tcPr>
                <w:p>
                  <w:pPr>
                    <w:pStyle w:val="37"/>
                    <w:rPr>
                      <w:b/>
                      <w:bCs/>
                      <w:color w:val="000000"/>
                    </w:rPr>
                  </w:pPr>
                  <w:r>
                    <w:rPr>
                      <w:rFonts w:hint="eastAsia"/>
                      <w:b/>
                      <w:bCs/>
                      <w:color w:val="000000"/>
                    </w:rPr>
                    <w:t>文件要求</w:t>
                  </w:r>
                </w:p>
              </w:tc>
              <w:tc>
                <w:tcPr>
                  <w:tcW w:w="1450" w:type="pct"/>
                  <w:vAlign w:val="center"/>
                </w:tcPr>
                <w:p>
                  <w:pPr>
                    <w:pStyle w:val="37"/>
                    <w:rPr>
                      <w:b/>
                      <w:bCs/>
                      <w:color w:val="000000"/>
                    </w:rPr>
                  </w:pPr>
                  <w:r>
                    <w:rPr>
                      <w:rFonts w:hint="eastAsia"/>
                      <w:b/>
                      <w:bCs/>
                      <w:color w:val="000000"/>
                    </w:rPr>
                    <w:t>相符性分析</w:t>
                  </w:r>
                </w:p>
              </w:tc>
              <w:tc>
                <w:tcPr>
                  <w:tcW w:w="581" w:type="pct"/>
                  <w:vAlign w:val="center"/>
                </w:tcPr>
                <w:p>
                  <w:pPr>
                    <w:pStyle w:val="37"/>
                    <w:rPr>
                      <w:b/>
                      <w:bCs/>
                      <w:color w:val="000000"/>
                    </w:rPr>
                  </w:pPr>
                  <w:r>
                    <w:rPr>
                      <w:rFonts w:hint="eastAsia"/>
                      <w:b/>
                      <w:bCs/>
                      <w:color w:val="00000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000" w:type="pct"/>
                  <w:gridSpan w:val="4"/>
                  <w:vAlign w:val="center"/>
                </w:tcPr>
                <w:p>
                  <w:pPr>
                    <w:pStyle w:val="37"/>
                    <w:rPr>
                      <w:color w:val="000000"/>
                    </w:rPr>
                  </w:pPr>
                  <w:r>
                    <w:rPr>
                      <w:rFonts w:hint="eastAsia"/>
                      <w:color w:val="000000"/>
                    </w:rPr>
                    <w:t>严格岸线河段管控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第四条禁止建设不符合国家和省级港口布局规划以及港口总体规划的码头项目。禁止建设不符合《长江干线过江通道布局规划》的过长江通道项目。</w:t>
                  </w:r>
                </w:p>
              </w:tc>
              <w:tc>
                <w:tcPr>
                  <w:tcW w:w="1450" w:type="pct"/>
                  <w:vAlign w:val="center"/>
                </w:tcPr>
                <w:p>
                  <w:pPr>
                    <w:pStyle w:val="37"/>
                    <w:jc w:val="left"/>
                    <w:rPr>
                      <w:color w:val="000000"/>
                    </w:rPr>
                  </w:pPr>
                  <w:r>
                    <w:rPr>
                      <w:rFonts w:hint="eastAsia"/>
                      <w:color w:val="000000"/>
                    </w:rPr>
                    <w:t>不属于码头项目、过长江通道项目。</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第五条禁止在自然保护区核心区、缓冲区的岸线和河段范围内投资建设旅游和生产经营项目。</w:t>
                  </w:r>
                </w:p>
              </w:tc>
              <w:tc>
                <w:tcPr>
                  <w:tcW w:w="1450" w:type="pct"/>
                  <w:vAlign w:val="center"/>
                </w:tcPr>
                <w:p>
                  <w:pPr>
                    <w:pStyle w:val="37"/>
                    <w:jc w:val="left"/>
                    <w:rPr>
                      <w:color w:val="000000"/>
                    </w:rPr>
                  </w:pPr>
                  <w:r>
                    <w:rPr>
                      <w:rFonts w:hint="eastAsia"/>
                      <w:color w:val="000000"/>
                    </w:rPr>
                    <w:t>项目不在</w:t>
                  </w:r>
                  <w:r>
                    <w:rPr>
                      <w:color w:val="000000"/>
                    </w:rPr>
                    <w:t>自然保护区核心区、缓冲区的岸线和河段范围内</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第六条﹐禁止在风景名胜区核心景区的岸线和河段范围内开展以下行为</w:t>
                  </w:r>
                  <w:r>
                    <w:rPr>
                      <w:rFonts w:hint="eastAsia"/>
                      <w:color w:val="000000"/>
                    </w:rPr>
                    <w:t>：</w:t>
                  </w:r>
                </w:p>
                <w:p>
                  <w:pPr>
                    <w:pStyle w:val="37"/>
                    <w:jc w:val="left"/>
                    <w:rPr>
                      <w:color w:val="000000"/>
                    </w:rPr>
                  </w:pPr>
                  <w:r>
                    <w:rPr>
                      <w:rFonts w:hint="eastAsia"/>
                      <w:color w:val="000000"/>
                    </w:rPr>
                    <w:t>（</w:t>
                  </w:r>
                  <w:r>
                    <w:rPr>
                      <w:color w:val="000000"/>
                    </w:rPr>
                    <w:t>一）开山、采石、开矿、开荒、修坟立碑等破坏景观、植被和地形地貌的活动。</w:t>
                  </w:r>
                </w:p>
                <w:p>
                  <w:pPr>
                    <w:pStyle w:val="37"/>
                    <w:jc w:val="left"/>
                    <w:rPr>
                      <w:color w:val="000000"/>
                    </w:rPr>
                  </w:pPr>
                  <w:r>
                    <w:rPr>
                      <w:rFonts w:hint="eastAsia"/>
                      <w:color w:val="000000"/>
                    </w:rPr>
                    <w:t>（</w:t>
                  </w:r>
                  <w:r>
                    <w:rPr>
                      <w:color w:val="000000"/>
                    </w:rPr>
                    <w:t>二</w:t>
                  </w:r>
                  <w:r>
                    <w:rPr>
                      <w:rFonts w:hint="eastAsia"/>
                      <w:color w:val="000000"/>
                    </w:rPr>
                    <w:t>）</w:t>
                  </w:r>
                  <w:r>
                    <w:rPr>
                      <w:color w:val="000000"/>
                    </w:rPr>
                    <w:t>修建储存爆炸性、易燃性、放射性、毒害性、腐蚀性物品的设施。</w:t>
                  </w:r>
                </w:p>
                <w:p>
                  <w:pPr>
                    <w:pStyle w:val="37"/>
                    <w:jc w:val="left"/>
                    <w:rPr>
                      <w:color w:val="000000"/>
                    </w:rPr>
                  </w:pPr>
                  <w:r>
                    <w:rPr>
                      <w:rFonts w:hint="eastAsia"/>
                      <w:color w:val="000000"/>
                    </w:rPr>
                    <w:t>（</w:t>
                  </w:r>
                  <w:r>
                    <w:rPr>
                      <w:color w:val="000000"/>
                    </w:rPr>
                    <w:t>三</w:t>
                  </w:r>
                  <w:r>
                    <w:rPr>
                      <w:rFonts w:hint="eastAsia"/>
                      <w:color w:val="000000"/>
                    </w:rPr>
                    <w:t>）</w:t>
                  </w:r>
                  <w:r>
                    <w:rPr>
                      <w:color w:val="000000"/>
                    </w:rPr>
                    <w:t>违反风景名胜区规划，建设与风景名胜资源保护无关的设施。</w:t>
                  </w:r>
                </w:p>
              </w:tc>
              <w:tc>
                <w:tcPr>
                  <w:tcW w:w="1450" w:type="pct"/>
                  <w:vAlign w:val="center"/>
                </w:tcPr>
                <w:p>
                  <w:pPr>
                    <w:pStyle w:val="37"/>
                    <w:jc w:val="left"/>
                    <w:rPr>
                      <w:color w:val="000000"/>
                    </w:rPr>
                  </w:pPr>
                  <w:r>
                    <w:rPr>
                      <w:rFonts w:hint="eastAsia"/>
                      <w:color w:val="000000"/>
                    </w:rPr>
                    <w:t>项目不在</w:t>
                  </w:r>
                  <w:r>
                    <w:rPr>
                      <w:color w:val="000000"/>
                    </w:rPr>
                    <w:t>风景名胜区核心景区的岸线和河段范围内</w:t>
                  </w:r>
                  <w:r>
                    <w:rPr>
                      <w:rFonts w:hint="eastAsia"/>
                      <w:color w:val="000000"/>
                    </w:rPr>
                    <w:t>，且不属于相关行为。</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第七条︰禁止在饮用水水源一级保护区的岸线和河段范围内开展下列行为</w:t>
                  </w:r>
                  <w:r>
                    <w:rPr>
                      <w:rFonts w:hint="eastAsia"/>
                      <w:color w:val="000000"/>
                    </w:rPr>
                    <w:t>：</w:t>
                  </w:r>
                </w:p>
                <w:p>
                  <w:pPr>
                    <w:pStyle w:val="37"/>
                    <w:jc w:val="left"/>
                    <w:rPr>
                      <w:color w:val="000000"/>
                    </w:rPr>
                  </w:pPr>
                  <w:r>
                    <w:rPr>
                      <w:rFonts w:hint="eastAsia"/>
                      <w:color w:val="000000"/>
                    </w:rPr>
                    <w:t>（</w:t>
                  </w:r>
                  <w:r>
                    <w:rPr>
                      <w:color w:val="000000"/>
                    </w:rPr>
                    <w:t>一）新建、改建、扩建与供水设施和保护水源无关的建设项目</w:t>
                  </w:r>
                  <w:r>
                    <w:rPr>
                      <w:rFonts w:hint="eastAsia"/>
                      <w:color w:val="000000"/>
                    </w:rPr>
                    <w:t>；</w:t>
                  </w:r>
                  <w:r>
                    <w:rPr>
                      <w:color w:val="000000"/>
                    </w:rPr>
                    <w:t>已建成的与供水设施和保护水源无关的建设项目，由县级以上人民政府责令拆除或者关闭。</w:t>
                  </w:r>
                </w:p>
                <w:p>
                  <w:pPr>
                    <w:pStyle w:val="37"/>
                    <w:jc w:val="left"/>
                    <w:rPr>
                      <w:color w:val="000000"/>
                    </w:rPr>
                  </w:pPr>
                  <w:r>
                    <w:rPr>
                      <w:rFonts w:hint="eastAsia"/>
                      <w:color w:val="000000"/>
                    </w:rPr>
                    <w:t>（</w:t>
                  </w:r>
                  <w:r>
                    <w:rPr>
                      <w:color w:val="000000"/>
                    </w:rPr>
                    <w:t>二</w:t>
                  </w:r>
                  <w:r>
                    <w:rPr>
                      <w:rFonts w:hint="eastAsia"/>
                      <w:color w:val="000000"/>
                    </w:rPr>
                    <w:t>）</w:t>
                  </w:r>
                  <w:r>
                    <w:rPr>
                      <w:color w:val="000000"/>
                    </w:rPr>
                    <w:t>禁止在饮用水水源一级保护区内从事网箱养殖、旅游、游泳、垂钓或者其他可能污染饮用水水体的活动。</w:t>
                  </w:r>
                </w:p>
              </w:tc>
              <w:tc>
                <w:tcPr>
                  <w:tcW w:w="1450" w:type="pct"/>
                  <w:vAlign w:val="center"/>
                </w:tcPr>
                <w:p>
                  <w:pPr>
                    <w:pStyle w:val="37"/>
                    <w:jc w:val="left"/>
                    <w:rPr>
                      <w:color w:val="000000"/>
                    </w:rPr>
                  </w:pPr>
                  <w:r>
                    <w:rPr>
                      <w:rFonts w:hint="eastAsia"/>
                      <w:color w:val="000000"/>
                    </w:rPr>
                    <w:t>项目不在</w:t>
                  </w:r>
                  <w:r>
                    <w:rPr>
                      <w:color w:val="000000"/>
                    </w:rPr>
                    <w:t>饮用水水源一级保护区的岸线和河段范围内</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第八条禁止在饮用水水源二级保护区的岸线和河段范围内开展下列行为</w:t>
                  </w:r>
                  <w:r>
                    <w:rPr>
                      <w:rFonts w:hint="eastAsia"/>
                      <w:color w:val="000000"/>
                    </w:rPr>
                    <w:t>：</w:t>
                  </w:r>
                </w:p>
                <w:p>
                  <w:pPr>
                    <w:pStyle w:val="37"/>
                    <w:jc w:val="left"/>
                    <w:rPr>
                      <w:color w:val="000000"/>
                    </w:rPr>
                  </w:pPr>
                  <w:r>
                    <w:rPr>
                      <w:rFonts w:hint="eastAsia"/>
                      <w:color w:val="000000"/>
                    </w:rPr>
                    <w:t>（</w:t>
                  </w:r>
                  <w:r>
                    <w:rPr>
                      <w:color w:val="000000"/>
                    </w:rPr>
                    <w:t>一</w:t>
                  </w:r>
                  <w:r>
                    <w:rPr>
                      <w:rFonts w:hint="eastAsia"/>
                      <w:color w:val="000000"/>
                    </w:rPr>
                    <w:t>）</w:t>
                  </w:r>
                  <w:r>
                    <w:rPr>
                      <w:color w:val="000000"/>
                    </w:rPr>
                    <w:t>新建、改建、扩建排放污染物的建设项目</w:t>
                  </w:r>
                  <w:r>
                    <w:rPr>
                      <w:rFonts w:hint="eastAsia"/>
                      <w:color w:val="000000"/>
                    </w:rPr>
                    <w:t>；</w:t>
                  </w:r>
                  <w:r>
                    <w:rPr>
                      <w:color w:val="000000"/>
                    </w:rPr>
                    <w:t>已建成的排放污染物的建设项目，由县级以上人民政府责令拆除或者关闭。</w:t>
                  </w:r>
                </w:p>
                <w:p>
                  <w:pPr>
                    <w:pStyle w:val="37"/>
                    <w:jc w:val="left"/>
                    <w:rPr>
                      <w:color w:val="000000"/>
                    </w:rPr>
                  </w:pPr>
                  <w:r>
                    <w:rPr>
                      <w:rFonts w:hint="eastAsia"/>
                      <w:color w:val="000000"/>
                    </w:rPr>
                    <w:t>（</w:t>
                  </w:r>
                  <w:r>
                    <w:rPr>
                      <w:color w:val="000000"/>
                    </w:rPr>
                    <w:t>二</w:t>
                  </w:r>
                  <w:r>
                    <w:rPr>
                      <w:rFonts w:hint="eastAsia"/>
                      <w:color w:val="000000"/>
                    </w:rPr>
                    <w:t>）</w:t>
                  </w:r>
                  <w:r>
                    <w:rPr>
                      <w:color w:val="000000"/>
                    </w:rPr>
                    <w:t>在饮用水水源二级保护区内从事网箱养殖、旅游等活动的，应当按照规定采取措施，防止污染饮用水水体。</w:t>
                  </w:r>
                </w:p>
              </w:tc>
              <w:tc>
                <w:tcPr>
                  <w:tcW w:w="1450" w:type="pct"/>
                  <w:vAlign w:val="center"/>
                </w:tcPr>
                <w:p>
                  <w:pPr>
                    <w:pStyle w:val="37"/>
                    <w:jc w:val="left"/>
                    <w:rPr>
                      <w:color w:val="000000"/>
                    </w:rPr>
                  </w:pPr>
                  <w:r>
                    <w:rPr>
                      <w:rFonts w:hint="eastAsia"/>
                      <w:color w:val="000000"/>
                    </w:rPr>
                    <w:t>项目不在</w:t>
                  </w:r>
                  <w:r>
                    <w:rPr>
                      <w:color w:val="000000"/>
                    </w:rPr>
                    <w:t>饮用水水源二级保护区的岸线和河段范围内</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第九条︰禁止在水产种质资源保护区的岸线和河段范围内新建围湖（河）造田（地）等投资建设项目。</w:t>
                  </w:r>
                </w:p>
                <w:p>
                  <w:pPr>
                    <w:pStyle w:val="37"/>
                    <w:jc w:val="left"/>
                    <w:rPr>
                      <w:color w:val="000000"/>
                    </w:rPr>
                  </w:pPr>
                  <w:r>
                    <w:rPr>
                      <w:color w:val="000000"/>
                    </w:rPr>
                    <w:t>单位和个人在水产种质资源保护区内从事水生生物资源调查、科学研究、教学实习、参观游览、影视拍摄等活动，应当遵守有关法律法规和保护区管理制度﹐不得损害水产种质资源及其生存环境。</w:t>
                  </w:r>
                </w:p>
              </w:tc>
              <w:tc>
                <w:tcPr>
                  <w:tcW w:w="1450" w:type="pct"/>
                  <w:vAlign w:val="center"/>
                </w:tcPr>
                <w:p>
                  <w:pPr>
                    <w:pStyle w:val="37"/>
                    <w:jc w:val="left"/>
                    <w:rPr>
                      <w:color w:val="000000"/>
                    </w:rPr>
                  </w:pPr>
                  <w:r>
                    <w:rPr>
                      <w:rFonts w:hint="eastAsia"/>
                      <w:color w:val="000000"/>
                    </w:rPr>
                    <w:t>项目不在</w:t>
                  </w:r>
                  <w:r>
                    <w:rPr>
                      <w:color w:val="000000"/>
                    </w:rPr>
                    <w:t>水产种质资源保护区的岸线和河段范围内</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第十条除国家规定的外，禁止在国家湿地公园的岸线和河段范围内挖沙、采矿以及任何不符合主体功能定位的投资建设项目</w:t>
                  </w:r>
                  <w:r>
                    <w:rPr>
                      <w:rFonts w:hint="eastAsia"/>
                      <w:color w:val="000000"/>
                    </w:rPr>
                    <w:t>。</w:t>
                  </w:r>
                </w:p>
              </w:tc>
              <w:tc>
                <w:tcPr>
                  <w:tcW w:w="1450" w:type="pct"/>
                  <w:vAlign w:val="center"/>
                </w:tcPr>
                <w:p>
                  <w:pPr>
                    <w:pStyle w:val="37"/>
                    <w:jc w:val="left"/>
                    <w:rPr>
                      <w:color w:val="000000"/>
                    </w:rPr>
                  </w:pPr>
                  <w:r>
                    <w:rPr>
                      <w:rFonts w:hint="eastAsia"/>
                      <w:color w:val="000000"/>
                    </w:rPr>
                    <w:t>项目不在</w:t>
                  </w:r>
                  <w:r>
                    <w:rPr>
                      <w:color w:val="000000"/>
                    </w:rPr>
                    <w:t>国家湿地公园的岸线和河段范围内</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十一条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tc>
              <w:tc>
                <w:tcPr>
                  <w:tcW w:w="1450" w:type="pct"/>
                  <w:vAlign w:val="center"/>
                </w:tcPr>
                <w:p>
                  <w:pPr>
                    <w:pStyle w:val="37"/>
                    <w:jc w:val="left"/>
                    <w:rPr>
                      <w:color w:val="000000"/>
                    </w:rPr>
                  </w:pPr>
                  <w:r>
                    <w:rPr>
                      <w:rFonts w:hint="eastAsia"/>
                      <w:color w:val="000000"/>
                    </w:rPr>
                    <w:t>项目未</w:t>
                  </w:r>
                  <w:r>
                    <w:rPr>
                      <w:color w:val="000000"/>
                    </w:rPr>
                    <w:t>利用、占用长江流域河湖岸线</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第十二条禁止在《全国重要江河湖泊水功能区划》划定的河段及湖泊保护区、保留区内投资建设不利于水资源及自然生态保护的项目。</w:t>
                  </w:r>
                </w:p>
              </w:tc>
              <w:tc>
                <w:tcPr>
                  <w:tcW w:w="1450" w:type="pct"/>
                  <w:vAlign w:val="center"/>
                </w:tcPr>
                <w:p>
                  <w:pPr>
                    <w:pStyle w:val="37"/>
                    <w:jc w:val="left"/>
                    <w:rPr>
                      <w:color w:val="000000"/>
                    </w:rPr>
                  </w:pPr>
                  <w:r>
                    <w:rPr>
                      <w:rFonts w:hint="eastAsia"/>
                      <w:color w:val="000000"/>
                    </w:rPr>
                    <w:t>项目不在</w:t>
                  </w:r>
                  <w:r>
                    <w:rPr>
                      <w:color w:val="000000"/>
                    </w:rPr>
                    <w:t>划定的河段及湖泊保护区、保留区内</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37"/>
                    <w:rPr>
                      <w:color w:val="000000"/>
                    </w:rPr>
                  </w:pPr>
                  <w:r>
                    <w:rPr>
                      <w:color w:val="000000"/>
                    </w:rPr>
                    <w:t>严格区域管控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1" w:type="pct"/>
                  <w:vAlign w:val="center"/>
                </w:tcPr>
                <w:p>
                  <w:pPr>
                    <w:pStyle w:val="37"/>
                    <w:jc w:val="left"/>
                    <w:rPr>
                      <w:color w:val="000000"/>
                    </w:rPr>
                  </w:pPr>
                  <w:r>
                    <w:rPr>
                      <w:color w:val="000000"/>
                    </w:rPr>
                    <w:t>第十三条禁止未经许可在长江干支流及湖泊新设、改设或扩大排污口。</w:t>
                  </w:r>
                </w:p>
              </w:tc>
              <w:tc>
                <w:tcPr>
                  <w:tcW w:w="1468" w:type="pct"/>
                  <w:gridSpan w:val="2"/>
                  <w:vAlign w:val="center"/>
                </w:tcPr>
                <w:p>
                  <w:pPr>
                    <w:pStyle w:val="37"/>
                    <w:jc w:val="left"/>
                    <w:rPr>
                      <w:color w:val="000000"/>
                    </w:rPr>
                  </w:pPr>
                  <w:r>
                    <w:rPr>
                      <w:rFonts w:hint="eastAsia"/>
                      <w:color w:val="000000"/>
                    </w:rPr>
                    <w:t>项目不在</w:t>
                  </w:r>
                  <w:r>
                    <w:rPr>
                      <w:color w:val="000000"/>
                    </w:rPr>
                    <w:t>长江干支流及湖泊</w:t>
                  </w:r>
                  <w:r>
                    <w:rPr>
                      <w:rFonts w:hint="eastAsia"/>
                      <w:color w:val="000000"/>
                    </w:rPr>
                    <w:t>范围内。</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1" w:type="pct"/>
                  <w:vAlign w:val="center"/>
                </w:tcPr>
                <w:p>
                  <w:pPr>
                    <w:pStyle w:val="37"/>
                    <w:jc w:val="left"/>
                    <w:rPr>
                      <w:color w:val="000000"/>
                    </w:rPr>
                  </w:pPr>
                  <w:r>
                    <w:rPr>
                      <w:color w:val="000000"/>
                    </w:rPr>
                    <w:t>第十四条禁止在长江干流江西段、鄱阳湖和《率先全面禁捕的长江流域水生生物保护区名录》中的水生生物保护区开展生产性捕捞。</w:t>
                  </w:r>
                </w:p>
              </w:tc>
              <w:tc>
                <w:tcPr>
                  <w:tcW w:w="1468" w:type="pct"/>
                  <w:gridSpan w:val="2"/>
                  <w:vAlign w:val="center"/>
                </w:tcPr>
                <w:p>
                  <w:pPr>
                    <w:pStyle w:val="37"/>
                    <w:jc w:val="left"/>
                    <w:rPr>
                      <w:color w:val="000000"/>
                    </w:rPr>
                  </w:pPr>
                  <w:r>
                    <w:rPr>
                      <w:rFonts w:hint="eastAsia"/>
                      <w:color w:val="000000"/>
                    </w:rPr>
                    <w:t>项目不涉及在</w:t>
                  </w:r>
                  <w:r>
                    <w:rPr>
                      <w:color w:val="000000"/>
                    </w:rPr>
                    <w:t>水生生物保护区开展生产性捕捞</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1" w:type="pct"/>
                  <w:vAlign w:val="center"/>
                </w:tcPr>
                <w:p>
                  <w:pPr>
                    <w:pStyle w:val="37"/>
                    <w:jc w:val="left"/>
                    <w:rPr>
                      <w:color w:val="000000"/>
                    </w:rPr>
                  </w:pPr>
                  <w:r>
                    <w:rPr>
                      <w:color w:val="000000"/>
                    </w:rPr>
                    <w:t>第十五条禁止在长江干支流、重要湖泊岸线一公里范围内新建、扩建化工园区和化工项目。</w:t>
                  </w:r>
                </w:p>
              </w:tc>
              <w:tc>
                <w:tcPr>
                  <w:tcW w:w="1468" w:type="pct"/>
                  <w:gridSpan w:val="2"/>
                  <w:vAlign w:val="center"/>
                </w:tcPr>
                <w:p>
                  <w:pPr>
                    <w:pStyle w:val="37"/>
                    <w:jc w:val="left"/>
                    <w:rPr>
                      <w:color w:val="000000"/>
                    </w:rPr>
                  </w:pPr>
                  <w:r>
                    <w:rPr>
                      <w:rFonts w:hint="eastAsia"/>
                      <w:color w:val="000000"/>
                    </w:rPr>
                    <w:t>项目不在</w:t>
                  </w:r>
                  <w:r>
                    <w:rPr>
                      <w:color w:val="000000"/>
                    </w:rPr>
                    <w:t>长江干支流、重要湖泊岸线一公里范围内</w:t>
                  </w:r>
                  <w:r>
                    <w:rPr>
                      <w:rFonts w:hint="eastAsia"/>
                      <w:color w:val="000000"/>
                    </w:rPr>
                    <w:t>，也不属于化工项目。</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1" w:type="pct"/>
                  <w:vAlign w:val="center"/>
                </w:tcPr>
                <w:p>
                  <w:pPr>
                    <w:pStyle w:val="37"/>
                    <w:jc w:val="left"/>
                    <w:rPr>
                      <w:color w:val="000000"/>
                    </w:rPr>
                  </w:pPr>
                  <w:r>
                    <w:rPr>
                      <w:color w:val="000000"/>
                    </w:rPr>
                    <w:t>第十六条禁止在长江干流岸线三公里范围内和重要支流岸线一公里范围内新建、改建、扩建尾矿库、冶炼渣库和磷石膏库，以提升安全、生态环境保护水平为目的的改建除外。</w:t>
                  </w:r>
                </w:p>
              </w:tc>
              <w:tc>
                <w:tcPr>
                  <w:tcW w:w="1468" w:type="pct"/>
                  <w:gridSpan w:val="2"/>
                  <w:vAlign w:val="center"/>
                </w:tcPr>
                <w:p>
                  <w:pPr>
                    <w:pStyle w:val="37"/>
                    <w:jc w:val="left"/>
                    <w:rPr>
                      <w:color w:val="000000"/>
                    </w:rPr>
                  </w:pPr>
                  <w:r>
                    <w:rPr>
                      <w:rFonts w:hint="eastAsia"/>
                      <w:color w:val="000000"/>
                    </w:rPr>
                    <w:t>项目不在</w:t>
                  </w:r>
                  <w:r>
                    <w:rPr>
                      <w:color w:val="000000"/>
                    </w:rPr>
                    <w:t>长江干流岸线三公里范围内和重要支流岸线一公里范围内</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1" w:type="pct"/>
                  <w:vAlign w:val="center"/>
                </w:tcPr>
                <w:p>
                  <w:pPr>
                    <w:pStyle w:val="37"/>
                    <w:jc w:val="left"/>
                    <w:rPr>
                      <w:color w:val="000000"/>
                    </w:rPr>
                  </w:pPr>
                  <w:r>
                    <w:rPr>
                      <w:color w:val="000000"/>
                    </w:rPr>
                    <w:t>第十七条﹐禁止在合规园区外新建、扩建钢铁、石化、化工、焦化、建材、有色、制浆造纸等高污染项目。</w:t>
                  </w:r>
                </w:p>
              </w:tc>
              <w:tc>
                <w:tcPr>
                  <w:tcW w:w="1468" w:type="pct"/>
                  <w:gridSpan w:val="2"/>
                  <w:vAlign w:val="center"/>
                </w:tcPr>
                <w:p>
                  <w:pPr>
                    <w:pStyle w:val="37"/>
                    <w:jc w:val="left"/>
                    <w:rPr>
                      <w:color w:val="000000"/>
                    </w:rPr>
                  </w:pPr>
                  <w:r>
                    <w:rPr>
                      <w:rFonts w:hint="eastAsia"/>
                      <w:color w:val="000000"/>
                    </w:rPr>
                    <w:t>项目在工业园区范围内。</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37"/>
                    <w:rPr>
                      <w:color w:val="000000"/>
                    </w:rPr>
                  </w:pPr>
                  <w:r>
                    <w:rPr>
                      <w:color w:val="000000"/>
                    </w:rPr>
                    <w:t>严格产业准入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第十八条</w:t>
                  </w:r>
                  <w:r>
                    <w:rPr>
                      <w:rFonts w:hint="eastAsia"/>
                      <w:color w:val="000000"/>
                    </w:rPr>
                    <w:t>，</w:t>
                  </w:r>
                  <w:r>
                    <w:rPr>
                      <w:color w:val="000000"/>
                    </w:rPr>
                    <w:t>禁止新建、扩建不符合国家石化、现代煤化工等产业布局规划的项目。</w:t>
                  </w:r>
                </w:p>
              </w:tc>
              <w:tc>
                <w:tcPr>
                  <w:tcW w:w="1450" w:type="pct"/>
                  <w:vAlign w:val="center"/>
                </w:tcPr>
                <w:p>
                  <w:pPr>
                    <w:pStyle w:val="37"/>
                    <w:jc w:val="left"/>
                    <w:rPr>
                      <w:color w:val="000000"/>
                    </w:rPr>
                  </w:pPr>
                  <w:r>
                    <w:rPr>
                      <w:rFonts w:hint="eastAsia"/>
                      <w:color w:val="000000"/>
                    </w:rPr>
                    <w:t>不属于</w:t>
                  </w:r>
                  <w:r>
                    <w:rPr>
                      <w:color w:val="000000"/>
                    </w:rPr>
                    <w:t>国家石化、现代煤化工等项目</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第十九条</w:t>
                  </w:r>
                  <w:r>
                    <w:rPr>
                      <w:rFonts w:hint="eastAsia"/>
                      <w:color w:val="000000"/>
                    </w:rPr>
                    <w:t>，</w:t>
                  </w:r>
                  <w:r>
                    <w:rPr>
                      <w:color w:val="000000"/>
                    </w:rPr>
                    <w:t>禁止新建、扩建法律法规和相关政策明令禁止的落后产能项目，严格执行《产业结构调整指导目录》中淘汰类和限制类有关规定</w:t>
                  </w:r>
                  <w:r>
                    <w:rPr>
                      <w:rFonts w:hint="eastAsia"/>
                      <w:color w:val="000000"/>
                    </w:rPr>
                    <w:t>，</w:t>
                  </w:r>
                  <w:r>
                    <w:rPr>
                      <w:color w:val="000000"/>
                    </w:rPr>
                    <w:t>禁止开展投资建设属于淘汰类的项目及其相关活动</w:t>
                  </w:r>
                  <w:r>
                    <w:rPr>
                      <w:rFonts w:hint="eastAsia"/>
                      <w:color w:val="000000"/>
                    </w:rPr>
                    <w:t>，</w:t>
                  </w:r>
                  <w:r>
                    <w:rPr>
                      <w:color w:val="000000"/>
                    </w:rPr>
                    <w:t>禁止开展投资新建、扩建属于限制类的项目及其相关活动</w:t>
                  </w:r>
                  <w:r>
                    <w:rPr>
                      <w:rFonts w:hint="eastAsia"/>
                      <w:color w:val="000000"/>
                    </w:rPr>
                    <w:t>。</w:t>
                  </w:r>
                  <w:r>
                    <w:rPr>
                      <w:color w:val="000000"/>
                    </w:rPr>
                    <w:t>对于属于限制类的现有生产能力</w:t>
                  </w:r>
                  <w:r>
                    <w:rPr>
                      <w:rFonts w:hint="eastAsia"/>
                      <w:color w:val="000000"/>
                    </w:rPr>
                    <w:t>，</w:t>
                  </w:r>
                  <w:r>
                    <w:rPr>
                      <w:color w:val="000000"/>
                    </w:rPr>
                    <w:t>允许企业在一定期限内采取措施改造升级，严禁以改造为名扩大产能。</w:t>
                  </w:r>
                </w:p>
              </w:tc>
              <w:tc>
                <w:tcPr>
                  <w:tcW w:w="1450" w:type="pct"/>
                  <w:vAlign w:val="center"/>
                </w:tcPr>
                <w:p>
                  <w:pPr>
                    <w:pStyle w:val="37"/>
                    <w:jc w:val="left"/>
                    <w:rPr>
                      <w:color w:val="000000"/>
                    </w:rPr>
                  </w:pPr>
                  <w:r>
                    <w:rPr>
                      <w:rFonts w:hint="eastAsia"/>
                      <w:color w:val="000000"/>
                    </w:rPr>
                    <w:t>项目不属于</w:t>
                  </w:r>
                  <w:r>
                    <w:rPr>
                      <w:color w:val="000000"/>
                    </w:rPr>
                    <w:t>法律法规和相关政策明令禁止的落后产能项目</w:t>
                  </w:r>
                  <w:r>
                    <w:rPr>
                      <w:rFonts w:hint="eastAsia"/>
                      <w:color w:val="000000"/>
                    </w:rPr>
                    <w:t>，属于</w:t>
                  </w:r>
                  <w:r>
                    <w:rPr>
                      <w:color w:val="000000"/>
                    </w:rPr>
                    <w:t>《产业结构调整指导目录》</w:t>
                  </w:r>
                  <w:r>
                    <w:rPr>
                      <w:rFonts w:hint="eastAsia"/>
                      <w:color w:val="000000"/>
                    </w:rPr>
                    <w:t>中“允许类”。</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二十条禁止新建、扩建不符合国家产能置换要求的钢铁、电解铝、水泥熟料、平板玻璃、船舶等严重过剩产能行业的项目。严格执行《国务院关于化解产能严重过剩矛盾的指导意见》，各地各部门不得以任何名义、任何方式新增</w:t>
                  </w:r>
                  <w:r>
                    <w:rPr>
                      <w:rFonts w:hint="eastAsia"/>
                      <w:color w:val="000000"/>
                    </w:rPr>
                    <w:t>产能；</w:t>
                  </w:r>
                  <w:r>
                    <w:rPr>
                      <w:color w:val="000000"/>
                    </w:rPr>
                    <w:t>对确有必要建设的，必须严格执行产能置换实施办法，实施减量或等量置换，依法依规办理有关手续。</w:t>
                  </w:r>
                </w:p>
              </w:tc>
              <w:tc>
                <w:tcPr>
                  <w:tcW w:w="1450" w:type="pct"/>
                  <w:vAlign w:val="center"/>
                </w:tcPr>
                <w:p>
                  <w:pPr>
                    <w:pStyle w:val="37"/>
                    <w:jc w:val="left"/>
                    <w:rPr>
                      <w:color w:val="000000"/>
                    </w:rPr>
                  </w:pPr>
                  <w:r>
                    <w:rPr>
                      <w:rFonts w:hint="eastAsia"/>
                      <w:color w:val="000000"/>
                    </w:rPr>
                    <w:t>项目属于汽车零部件及配件制造，不属于</w:t>
                  </w:r>
                  <w:r>
                    <w:rPr>
                      <w:color w:val="000000"/>
                    </w:rPr>
                    <w:t>钢铁、电解铝、水泥熟料、平板玻璃、船舶等严重过剩产能行业的项目</w:t>
                  </w:r>
                  <w:r>
                    <w:rPr>
                      <w:rFonts w:hint="eastAsia"/>
                      <w:color w:val="000000"/>
                    </w:rPr>
                    <w:t>。</w:t>
                  </w:r>
                </w:p>
              </w:tc>
              <w:tc>
                <w:tcPr>
                  <w:tcW w:w="581" w:type="pct"/>
                  <w:vAlign w:val="center"/>
                </w:tcPr>
                <w:p>
                  <w:pPr>
                    <w:pStyle w:val="37"/>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9" w:type="pct"/>
                  <w:gridSpan w:val="2"/>
                  <w:vAlign w:val="center"/>
                </w:tcPr>
                <w:p>
                  <w:pPr>
                    <w:pStyle w:val="37"/>
                    <w:jc w:val="left"/>
                    <w:rPr>
                      <w:color w:val="000000"/>
                    </w:rPr>
                  </w:pPr>
                  <w:r>
                    <w:rPr>
                      <w:color w:val="000000"/>
                    </w:rPr>
                    <w:t>第二十一条禁止新建、扩建不符合要求的高耗能高排放项目。严格执行《江西省人民政府办公厅关于严格高耗能高排放项目准入管理的实施意见》（赣府厅发</w:t>
                  </w:r>
                  <w:r>
                    <w:rPr>
                      <w:rFonts w:hint="eastAsia"/>
                      <w:color w:val="000000"/>
                    </w:rPr>
                    <w:t>[</w:t>
                  </w:r>
                  <w:r>
                    <w:rPr>
                      <w:color w:val="000000"/>
                    </w:rPr>
                    <w:t>2021]33 号），加强项目审查论证，落实等量、减量替代要求，规范项目行政审批。</w:t>
                  </w:r>
                </w:p>
              </w:tc>
              <w:tc>
                <w:tcPr>
                  <w:tcW w:w="1450" w:type="pct"/>
                  <w:vAlign w:val="center"/>
                </w:tcPr>
                <w:p>
                  <w:pPr>
                    <w:pStyle w:val="37"/>
                    <w:jc w:val="left"/>
                    <w:rPr>
                      <w:color w:val="000000"/>
                    </w:rPr>
                  </w:pPr>
                  <w:r>
                    <w:rPr>
                      <w:rFonts w:hint="eastAsia"/>
                      <w:color w:val="000000"/>
                    </w:rPr>
                    <w:t>不属于高耗能高排放项目。</w:t>
                  </w:r>
                </w:p>
              </w:tc>
              <w:tc>
                <w:tcPr>
                  <w:tcW w:w="581" w:type="pct"/>
                  <w:vAlign w:val="center"/>
                </w:tcPr>
                <w:p>
                  <w:pPr>
                    <w:pStyle w:val="37"/>
                    <w:rPr>
                      <w:color w:val="000000"/>
                    </w:rPr>
                  </w:pPr>
                  <w:r>
                    <w:rPr>
                      <w:rFonts w:hint="eastAsia"/>
                      <w:color w:val="000000"/>
                    </w:rPr>
                    <w:t>符合</w:t>
                  </w:r>
                </w:p>
              </w:tc>
            </w:tr>
          </w:tbl>
          <w:p>
            <w:pPr>
              <w:ind w:firstLine="480"/>
              <w:rPr>
                <w:color w:val="000000"/>
              </w:rPr>
            </w:pPr>
            <w:r>
              <w:rPr>
                <w:rFonts w:hint="eastAsia"/>
                <w:color w:val="000000"/>
              </w:rPr>
              <w:t>由上表可知：扩建项目建设符合《江西省长江经济带发展负面清单实施细则（试行，2022年版）》（赣长江办[2022]7号）中相关要求。</w:t>
            </w:r>
          </w:p>
          <w:p>
            <w:pPr>
              <w:snapToGrid w:val="0"/>
              <w:ind w:firstLine="482"/>
              <w:rPr>
                <w:b/>
                <w:bCs/>
                <w:color w:val="000000"/>
              </w:rPr>
            </w:pPr>
            <w:r>
              <w:rPr>
                <w:rFonts w:hint="eastAsia"/>
                <w:b/>
                <w:bCs/>
                <w:color w:val="000000"/>
              </w:rPr>
              <w:t>（6）“</w:t>
            </w:r>
            <w:r>
              <w:rPr>
                <w:b/>
                <w:bCs/>
                <w:color w:val="000000"/>
              </w:rPr>
              <w:t>三线一单</w:t>
            </w:r>
            <w:r>
              <w:rPr>
                <w:rFonts w:hint="eastAsia"/>
                <w:b/>
                <w:bCs/>
                <w:color w:val="000000"/>
              </w:rPr>
              <w:t>”</w:t>
            </w:r>
            <w:r>
              <w:rPr>
                <w:b/>
                <w:bCs/>
                <w:color w:val="000000"/>
              </w:rPr>
              <w:t>符合性分析</w:t>
            </w:r>
          </w:p>
          <w:p>
            <w:pPr>
              <w:snapToGrid w:val="0"/>
              <w:ind w:firstLine="480"/>
              <w:rPr>
                <w:color w:val="000000"/>
              </w:rPr>
            </w:pPr>
            <w:r>
              <w:rPr>
                <w:rFonts w:hint="eastAsia"/>
                <w:color w:val="000000"/>
              </w:rPr>
              <w:t>1、</w:t>
            </w:r>
            <w:r>
              <w:rPr>
                <w:color w:val="000000"/>
              </w:rPr>
              <w:t>生态红线</w:t>
            </w:r>
          </w:p>
          <w:p>
            <w:pPr>
              <w:snapToGrid w:val="0"/>
              <w:ind w:firstLine="480"/>
              <w:rPr>
                <w:color w:val="000000"/>
              </w:rPr>
            </w:pPr>
            <w:r>
              <w:rPr>
                <w:color w:val="000000"/>
              </w:rPr>
              <w:t>根据2018年7月《江西省人民政府关于发布江西省生态保护红线的通知》（赣府发</w:t>
            </w:r>
            <w:r>
              <w:rPr>
                <w:rFonts w:hint="eastAsia"/>
                <w:color w:val="000000"/>
              </w:rPr>
              <w:t>[</w:t>
            </w:r>
            <w:r>
              <w:rPr>
                <w:color w:val="000000"/>
              </w:rPr>
              <w:t>2018</w:t>
            </w:r>
            <w:r>
              <w:rPr>
                <w:rFonts w:hint="eastAsia"/>
                <w:color w:val="000000"/>
              </w:rPr>
              <w:t>]</w:t>
            </w:r>
            <w:r>
              <w:rPr>
                <w:color w:val="000000"/>
              </w:rPr>
              <w:t>21号）、《江西省人民政府关于加快实施</w:t>
            </w:r>
            <w:r>
              <w:rPr>
                <w:rFonts w:hint="eastAsia"/>
                <w:color w:val="000000"/>
              </w:rPr>
              <w:t>“</w:t>
            </w:r>
            <w:r>
              <w:rPr>
                <w:color w:val="000000"/>
              </w:rPr>
              <w:t>三线一单</w:t>
            </w:r>
            <w:r>
              <w:rPr>
                <w:rFonts w:hint="eastAsia"/>
                <w:color w:val="000000"/>
              </w:rPr>
              <w:t>”</w:t>
            </w:r>
            <w:r>
              <w:rPr>
                <w:color w:val="000000"/>
              </w:rPr>
              <w:t>生态环境分区管控的意见》（赣府发[2020]17号），全省生态保护红线划定面积为46876平方公里，占全省国土面积的28.06%，按照生态保护红线的主导生态功能，分为水源涵养、生物多样性维护和水土保持3大类共16个片区。经对比，</w:t>
            </w:r>
            <w:r>
              <w:rPr>
                <w:rFonts w:hint="eastAsia"/>
                <w:color w:val="000000"/>
              </w:rPr>
              <w:t>扩建</w:t>
            </w:r>
            <w:r>
              <w:rPr>
                <w:color w:val="000000"/>
              </w:rPr>
              <w:t>项目用地不涉及</w:t>
            </w:r>
            <w:r>
              <w:rPr>
                <w:rFonts w:hint="eastAsia"/>
                <w:color w:val="000000"/>
              </w:rPr>
              <w:t>南昌</w:t>
            </w:r>
            <w:r>
              <w:rPr>
                <w:color w:val="000000"/>
              </w:rPr>
              <w:t>市生态红线管控区。</w:t>
            </w:r>
          </w:p>
          <w:p>
            <w:pPr>
              <w:snapToGrid w:val="0"/>
              <w:ind w:firstLine="480"/>
              <w:rPr>
                <w:color w:val="000000"/>
              </w:rPr>
            </w:pPr>
            <w:r>
              <w:rPr>
                <w:color w:val="000000"/>
              </w:rPr>
              <w:t>江西省人民政府2020年8月发布的《江西省人民政府关于加快实施</w:t>
            </w:r>
            <w:r>
              <w:rPr>
                <w:rFonts w:hint="eastAsia"/>
                <w:color w:val="000000"/>
              </w:rPr>
              <w:t>“</w:t>
            </w:r>
            <w:r>
              <w:rPr>
                <w:color w:val="000000"/>
              </w:rPr>
              <w:t>三线一单</w:t>
            </w:r>
            <w:r>
              <w:rPr>
                <w:rFonts w:hint="eastAsia"/>
                <w:color w:val="000000"/>
              </w:rPr>
              <w:t>”</w:t>
            </w:r>
            <w:r>
              <w:rPr>
                <w:color w:val="000000"/>
              </w:rPr>
              <w:t>生态环境分区管控的意见》（赣府发[2020]17号）要求，全省共划定环境管控单元1030个，分为优先保护单元、重点管控单元、一般管控单元三类。</w:t>
            </w:r>
          </w:p>
          <w:p>
            <w:pPr>
              <w:snapToGrid w:val="0"/>
              <w:ind w:firstLine="480"/>
              <w:rPr>
                <w:color w:val="000000"/>
              </w:rPr>
            </w:pPr>
            <w:r>
              <w:rPr>
                <w:color w:val="000000"/>
              </w:rPr>
              <w:t>根据《南昌市人民政府关于印发南昌市</w:t>
            </w:r>
            <w:r>
              <w:rPr>
                <w:rFonts w:hint="eastAsia"/>
                <w:color w:val="000000"/>
              </w:rPr>
              <w:t>“</w:t>
            </w:r>
            <w:r>
              <w:rPr>
                <w:color w:val="000000"/>
              </w:rPr>
              <w:t>三线一单</w:t>
            </w:r>
            <w:r>
              <w:rPr>
                <w:rFonts w:hint="eastAsia"/>
                <w:color w:val="000000"/>
              </w:rPr>
              <w:t>”</w:t>
            </w:r>
            <w:r>
              <w:rPr>
                <w:color w:val="000000"/>
              </w:rPr>
              <w:t>生态环境分区管控方案的通知》（洪府发</w:t>
            </w:r>
            <w:r>
              <w:rPr>
                <w:rFonts w:hint="eastAsia"/>
                <w:color w:val="000000"/>
              </w:rPr>
              <w:t>[</w:t>
            </w:r>
            <w:r>
              <w:rPr>
                <w:color w:val="000000"/>
              </w:rPr>
              <w:t>2021</w:t>
            </w:r>
            <w:r>
              <w:rPr>
                <w:rFonts w:hint="eastAsia"/>
                <w:color w:val="000000"/>
              </w:rPr>
              <w:t>]</w:t>
            </w:r>
            <w:r>
              <w:rPr>
                <w:color w:val="000000"/>
              </w:rPr>
              <w:t>1号）要求，全市共划定环境管控单元95个（其中2个环境管控单元属赣江新区直管区范围，分别是金桥乡沿赣新大道以东区域、儒乐湖核心区），分为优先保护单元、重点管控单元、一般管控单元三类，实施分类管控。优先保护单元，指以生态环境保护为主的区域。主要涉及生态保护红线、自然保护区、饮用水水源保护区、环境空气一类功能区等生态环境敏感区面积占比较高、以生态环境保护为主的区域。</w:t>
            </w:r>
          </w:p>
          <w:p>
            <w:pPr>
              <w:snapToGrid w:val="0"/>
              <w:ind w:firstLine="480"/>
              <w:rPr>
                <w:color w:val="000000"/>
              </w:rPr>
            </w:pPr>
            <w:r>
              <w:rPr>
                <w:color w:val="000000"/>
              </w:rPr>
              <w:t>经对比，</w:t>
            </w:r>
            <w:r>
              <w:rPr>
                <w:rFonts w:hint="eastAsia"/>
                <w:color w:val="000000"/>
              </w:rPr>
              <w:t>扩建</w:t>
            </w:r>
            <w:r>
              <w:rPr>
                <w:color w:val="000000"/>
              </w:rPr>
              <w:t>项目</w:t>
            </w:r>
            <w:r>
              <w:rPr>
                <w:rFonts w:hint="eastAsia"/>
                <w:color w:val="000000"/>
              </w:rPr>
              <w:t>位于南昌市南昌县小蓝经济开发区江铃汽车股份有限公司（小蓝分公司），属于南昌县重点管控单元6-小蓝经济开发区，环境管控单元编号为ZH36012120006，重点管控单元应优化空间和产业布局，结合生态环境质量达标情况以及经济社会发展水平等，按照差别化的生态环境准入要求，加强污染物排放控制和环境风险防控，不断提升资源利用效率，稳步改善生态环境质量。</w:t>
            </w:r>
            <w:r>
              <w:rPr>
                <w:color w:val="000000"/>
              </w:rPr>
              <w:t>项目主要污染物经治理后</w:t>
            </w:r>
            <w:r>
              <w:rPr>
                <w:rFonts w:hint="eastAsia"/>
                <w:color w:val="000000"/>
              </w:rPr>
              <w:t>均</w:t>
            </w:r>
            <w:r>
              <w:rPr>
                <w:color w:val="000000"/>
              </w:rPr>
              <w:t>可达标排放，满足该区域生态环境保护的要求，符合生态环境分区管控的要求。</w:t>
            </w:r>
          </w:p>
          <w:p>
            <w:pPr>
              <w:snapToGrid w:val="0"/>
              <w:ind w:firstLine="480"/>
              <w:rPr>
                <w:color w:val="000000"/>
              </w:rPr>
            </w:pPr>
            <w:r>
              <w:rPr>
                <w:rFonts w:hint="eastAsia"/>
                <w:color w:val="000000"/>
              </w:rPr>
              <w:t>2、</w:t>
            </w:r>
            <w:r>
              <w:rPr>
                <w:color w:val="000000"/>
              </w:rPr>
              <w:t>环境质量底线</w:t>
            </w:r>
          </w:p>
          <w:p>
            <w:pPr>
              <w:ind w:firstLine="480"/>
            </w:pPr>
            <w:r>
              <w:rPr>
                <w:color w:val="000000"/>
              </w:rPr>
              <w:t>区域环境空气属于《环境空气质量标准》（GB3095-2012）</w:t>
            </w:r>
            <w:r>
              <w:rPr>
                <w:rFonts w:hint="eastAsia"/>
                <w:color w:val="000000"/>
              </w:rPr>
              <w:t>中</w:t>
            </w:r>
            <w:r>
              <w:rPr>
                <w:color w:val="000000"/>
              </w:rPr>
              <w:t>二类功能区</w:t>
            </w:r>
            <w:r>
              <w:rPr>
                <w:rFonts w:hint="eastAsia"/>
                <w:color w:val="000000"/>
              </w:rPr>
              <w:t>，</w:t>
            </w:r>
            <w:r>
              <w:rPr>
                <w:color w:val="000000"/>
              </w:rPr>
              <w:t>地表水环境功能属于《地表水环境质量标准》（GB3838-2002）</w:t>
            </w:r>
            <w:r>
              <w:rPr>
                <w:rFonts w:hint="eastAsia"/>
                <w:color w:val="000000"/>
              </w:rPr>
              <w:t>中Ⅲ</w:t>
            </w:r>
            <w:r>
              <w:rPr>
                <w:color w:val="000000"/>
              </w:rPr>
              <w:t>类功能区</w:t>
            </w:r>
            <w:r>
              <w:rPr>
                <w:rFonts w:hint="eastAsia"/>
                <w:color w:val="000000"/>
              </w:rPr>
              <w:t>，</w:t>
            </w:r>
            <w:r>
              <w:rPr>
                <w:color w:val="000000"/>
              </w:rPr>
              <w:t>区域声环境属于《声环境质量标准》（GB3096-2008）</w:t>
            </w:r>
            <w:r>
              <w:rPr>
                <w:rFonts w:hint="eastAsia"/>
                <w:color w:val="000000"/>
              </w:rPr>
              <w:t>中3类</w:t>
            </w:r>
            <w:r>
              <w:rPr>
                <w:color w:val="000000"/>
              </w:rPr>
              <w:t>功能区</w:t>
            </w:r>
            <w:r>
              <w:rPr>
                <w:rFonts w:hint="eastAsia"/>
                <w:color w:val="000000"/>
              </w:rPr>
              <w:t>。经调查，项目所在区域环境质量现状较好，具有相应的</w:t>
            </w:r>
            <w:r>
              <w:rPr>
                <w:rFonts w:hint="eastAsia"/>
              </w:rPr>
              <w:t>环境容量</w:t>
            </w:r>
            <w:r>
              <w:t>。</w:t>
            </w:r>
          </w:p>
          <w:p>
            <w:pPr>
              <w:ind w:firstLine="480"/>
              <w:rPr>
                <w:color w:val="000000"/>
              </w:rPr>
            </w:pPr>
            <w:r>
              <w:rPr>
                <w:rFonts w:hint="eastAsia"/>
              </w:rPr>
              <w:t>扩建项目产生的焊接废气分别经</w:t>
            </w:r>
            <w:r>
              <w:rPr>
                <w:rFonts w:hint="eastAsia"/>
                <w:color w:val="000000"/>
              </w:rPr>
              <w:t>密闭焊</w:t>
            </w:r>
            <w:r>
              <w:rPr>
                <w:rFonts w:hint="eastAsia"/>
                <w:color w:val="000000"/>
                <w:lang w:val="en-US" w:eastAsia="zh-CN"/>
              </w:rPr>
              <w:t>接</w:t>
            </w:r>
            <w:r>
              <w:rPr>
                <w:rFonts w:hint="eastAsia"/>
                <w:color w:val="000000"/>
              </w:rPr>
              <w:t>房顶部</w:t>
            </w:r>
            <w:r>
              <w:rPr>
                <w:rFonts w:hint="eastAsia"/>
              </w:rPr>
              <w:t>集气系统收集进入布袋除尘器处</w:t>
            </w:r>
            <w:r>
              <w:rPr>
                <w:rFonts w:hint="eastAsia"/>
                <w:highlight w:val="none"/>
              </w:rPr>
              <w:t>理后，由2根15m高排气筒（DA001、DA002）排放，对环境空气</w:t>
            </w:r>
            <w:r>
              <w:rPr>
                <w:rFonts w:hint="eastAsia"/>
              </w:rPr>
              <w:t>影响较小；扩建项目不产生生产废水，建成后全厂不新增工作人员，也不新增产生生活污水；扩建项目固</w:t>
            </w:r>
            <w:r>
              <w:rPr>
                <w:rFonts w:hint="eastAsia"/>
                <w:color w:val="000000"/>
              </w:rPr>
              <w:t>体废物均能妥善处理。</w:t>
            </w:r>
          </w:p>
          <w:p>
            <w:pPr>
              <w:snapToGrid w:val="0"/>
              <w:ind w:firstLine="480"/>
              <w:rPr>
                <w:color w:val="000000"/>
              </w:rPr>
            </w:pPr>
            <w:r>
              <w:rPr>
                <w:rFonts w:hint="eastAsia"/>
                <w:color w:val="000000"/>
              </w:rPr>
              <w:t>综上所述，扩建项目三废均能有效处理，不会明显降低区域环境质量现状。</w:t>
            </w:r>
          </w:p>
          <w:p>
            <w:pPr>
              <w:snapToGrid w:val="0"/>
              <w:ind w:firstLine="480"/>
              <w:rPr>
                <w:color w:val="000000"/>
              </w:rPr>
            </w:pPr>
            <w:r>
              <w:rPr>
                <w:rFonts w:hint="eastAsia"/>
                <w:color w:val="000000"/>
              </w:rPr>
              <w:t>3、</w:t>
            </w:r>
            <w:r>
              <w:rPr>
                <w:color w:val="000000"/>
              </w:rPr>
              <w:t>资源利用上线</w:t>
            </w:r>
          </w:p>
          <w:p>
            <w:pPr>
              <w:ind w:firstLine="480"/>
              <w:rPr>
                <w:color w:val="000000"/>
              </w:rPr>
            </w:pPr>
            <w:r>
              <w:rPr>
                <w:color w:val="000000"/>
              </w:rPr>
              <w:t>本次评价从土地资源承载力、</w:t>
            </w:r>
            <w:r>
              <w:rPr>
                <w:rFonts w:hint="eastAsia"/>
                <w:color w:val="000000"/>
              </w:rPr>
              <w:t>能源</w:t>
            </w:r>
            <w:r>
              <w:rPr>
                <w:color w:val="000000"/>
              </w:rPr>
              <w:t>环境承载力分析和水环境承载力分析三方面进行资源利用上线分析。</w:t>
            </w:r>
          </w:p>
          <w:p>
            <w:pPr>
              <w:ind w:firstLine="480"/>
              <w:rPr>
                <w:color w:val="000000"/>
              </w:rPr>
            </w:pPr>
            <w:r>
              <w:rPr>
                <w:rFonts w:hint="eastAsia"/>
                <w:color w:val="000000"/>
              </w:rPr>
              <w:t>扩建项目厂区用地规划为工业用途，满足土地资源承载力要求</w:t>
            </w:r>
            <w:r>
              <w:rPr>
                <w:color w:val="000000"/>
              </w:rPr>
              <w:t>；</w:t>
            </w:r>
            <w:r>
              <w:rPr>
                <w:rFonts w:hint="eastAsia"/>
                <w:color w:val="000000"/>
              </w:rPr>
              <w:t>扩建</w:t>
            </w:r>
            <w:r>
              <w:rPr>
                <w:color w:val="000000"/>
              </w:rPr>
              <w:t>项目建成后，</w:t>
            </w:r>
            <w:r>
              <w:rPr>
                <w:rFonts w:hint="eastAsia"/>
                <w:color w:val="000000"/>
              </w:rPr>
              <w:t>不新增新鲜水用量，满足当地水环境承载力要求；扩建项目生产所用能源主要为电力，属于清洁能源，资源消耗量相对区域资源利用总量较少，符合区域能源</w:t>
            </w:r>
            <w:r>
              <w:rPr>
                <w:color w:val="000000"/>
              </w:rPr>
              <w:t>环境承载力</w:t>
            </w:r>
            <w:r>
              <w:rPr>
                <w:rFonts w:hint="eastAsia"/>
                <w:color w:val="000000"/>
              </w:rPr>
              <w:t>要求。</w:t>
            </w:r>
          </w:p>
          <w:p>
            <w:pPr>
              <w:ind w:firstLine="480"/>
              <w:rPr>
                <w:color w:val="000000"/>
              </w:rPr>
            </w:pPr>
            <w:r>
              <w:rPr>
                <w:color w:val="000000"/>
              </w:rPr>
              <w:t>综上所述，</w:t>
            </w:r>
            <w:r>
              <w:rPr>
                <w:rFonts w:hint="eastAsia"/>
                <w:color w:val="000000"/>
              </w:rPr>
              <w:t>扩建</w:t>
            </w:r>
            <w:r>
              <w:rPr>
                <w:color w:val="000000"/>
              </w:rPr>
              <w:t>项目</w:t>
            </w:r>
            <w:r>
              <w:rPr>
                <w:rFonts w:hint="eastAsia"/>
                <w:color w:val="000000"/>
              </w:rPr>
              <w:t>建设</w:t>
            </w:r>
            <w:r>
              <w:rPr>
                <w:color w:val="000000"/>
              </w:rPr>
              <w:t>符合区域用地规划，周边环境质量现状良好，</w:t>
            </w:r>
            <w:r>
              <w:rPr>
                <w:rFonts w:hint="eastAsia"/>
                <w:color w:val="000000"/>
              </w:rPr>
              <w:t>扩建项目建成后不会突破资源利用上线，且</w:t>
            </w:r>
            <w:r>
              <w:rPr>
                <w:color w:val="000000"/>
              </w:rPr>
              <w:t>对环境影响较小</w:t>
            </w:r>
            <w:r>
              <w:rPr>
                <w:rFonts w:hint="eastAsia"/>
                <w:color w:val="000000"/>
              </w:rPr>
              <w:t>。</w:t>
            </w:r>
            <w:r>
              <w:rPr>
                <w:color w:val="000000"/>
              </w:rPr>
              <w:t>因此</w:t>
            </w:r>
            <w:r>
              <w:rPr>
                <w:rFonts w:hint="eastAsia"/>
                <w:color w:val="000000"/>
              </w:rPr>
              <w:t>，扩建</w:t>
            </w:r>
            <w:r>
              <w:rPr>
                <w:color w:val="000000"/>
              </w:rPr>
              <w:t>项目选址合理可行。</w:t>
            </w:r>
          </w:p>
          <w:p>
            <w:pPr>
              <w:snapToGrid w:val="0"/>
              <w:ind w:firstLine="480"/>
              <w:rPr>
                <w:color w:val="000000"/>
              </w:rPr>
            </w:pPr>
            <w:r>
              <w:rPr>
                <w:rFonts w:hint="eastAsia"/>
                <w:color w:val="000000"/>
              </w:rPr>
              <w:t>4、</w:t>
            </w:r>
            <w:r>
              <w:rPr>
                <w:color w:val="000000"/>
              </w:rPr>
              <w:t>环境准入负面清单</w:t>
            </w:r>
          </w:p>
          <w:p>
            <w:pPr>
              <w:ind w:firstLine="480"/>
              <w:rPr>
                <w:color w:val="000000"/>
              </w:rPr>
            </w:pPr>
            <w:r>
              <w:rPr>
                <w:color w:val="000000"/>
              </w:rPr>
              <w:t>根据</w:t>
            </w:r>
            <w:r>
              <w:rPr>
                <w:rFonts w:hint="eastAsia"/>
                <w:color w:val="000000"/>
              </w:rPr>
              <w:t>《关于印发南昌市生态环境总体准入要求及环境管控单元生态环境准入清单的通知》（洪环发[2021]16号）及《南昌市人民政府关于印发南昌市“三线一单”生态环境分区管控方案的通知》（洪府发[2021]1号），项目所在管控单元为南昌县重点管控单元6-小蓝经济开发区（单元编号为ZH36012120006），扩建</w:t>
            </w:r>
            <w:r>
              <w:rPr>
                <w:color w:val="000000"/>
              </w:rPr>
              <w:t>项目主要污染物经治理后可达标排放，满足该区域生态环境保护的要求，符合生态环境分区管控的要求</w:t>
            </w:r>
            <w:r>
              <w:rPr>
                <w:rFonts w:hint="eastAsia"/>
                <w:color w:val="000000"/>
              </w:rPr>
              <w:t>。</w:t>
            </w:r>
          </w:p>
          <w:p>
            <w:pPr>
              <w:ind w:firstLine="480"/>
              <w:rPr>
                <w:color w:val="000000"/>
              </w:rPr>
            </w:pPr>
            <w:r>
              <w:rPr>
                <w:rFonts w:hint="eastAsia"/>
                <w:color w:val="000000"/>
              </w:rPr>
              <w:t>具体对照分析见下表。</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tc>
      </w:tr>
    </w:tbl>
    <w:p>
      <w:pPr>
        <w:pStyle w:val="41"/>
        <w:rPr>
          <w:b/>
          <w:bCs/>
          <w:color w:val="000000"/>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1"/>
          <w:cols w:space="720" w:num="1"/>
          <w:docGrid w:linePitch="312" w:charSpace="0"/>
        </w:sectPr>
      </w:pP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2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01" w:hRule="atLeast"/>
          <w:jc w:val="center"/>
        </w:trPr>
        <w:tc>
          <w:tcPr>
            <w:tcW w:w="365" w:type="pct"/>
            <w:vAlign w:val="center"/>
          </w:tcPr>
          <w:p>
            <w:pPr>
              <w:ind w:firstLine="480"/>
              <w:rPr>
                <w:color w:val="000000"/>
              </w:rPr>
            </w:pPr>
          </w:p>
        </w:tc>
        <w:tc>
          <w:tcPr>
            <w:tcW w:w="4634" w:type="pct"/>
          </w:tcPr>
          <w:p>
            <w:pPr>
              <w:pStyle w:val="38"/>
              <w:rPr>
                <w:color w:val="000000"/>
              </w:rPr>
            </w:pPr>
            <w:r>
              <w:rPr>
                <w:rFonts w:hint="eastAsia"/>
                <w:color w:val="000000"/>
              </w:rPr>
              <w:t>表1-12  扩建项目与南昌市生态环境总体准入要求相符性分析</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123"/>
              <w:gridCol w:w="7325"/>
              <w:gridCol w:w="2852"/>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Align w:val="center"/>
                </w:tcPr>
                <w:p>
                  <w:pPr>
                    <w:pStyle w:val="37"/>
                    <w:spacing w:line="240" w:lineRule="atLeast"/>
                    <w:rPr>
                      <w:b/>
                      <w:bCs/>
                      <w:color w:val="000000"/>
                      <w:kern w:val="2"/>
                      <w:szCs w:val="18"/>
                    </w:rPr>
                  </w:pPr>
                  <w:r>
                    <w:rPr>
                      <w:rFonts w:hint="eastAsia"/>
                      <w:b/>
                      <w:bCs/>
                      <w:color w:val="000000"/>
                      <w:kern w:val="2"/>
                      <w:szCs w:val="18"/>
                    </w:rPr>
                    <w:t>维度</w:t>
                  </w:r>
                </w:p>
              </w:tc>
              <w:tc>
                <w:tcPr>
                  <w:tcW w:w="452" w:type="pct"/>
                  <w:vAlign w:val="center"/>
                </w:tcPr>
                <w:p>
                  <w:pPr>
                    <w:pStyle w:val="37"/>
                    <w:spacing w:line="240" w:lineRule="atLeast"/>
                    <w:rPr>
                      <w:b/>
                      <w:bCs/>
                      <w:color w:val="000000"/>
                      <w:kern w:val="2"/>
                      <w:szCs w:val="18"/>
                    </w:rPr>
                  </w:pPr>
                  <w:r>
                    <w:rPr>
                      <w:rFonts w:hint="eastAsia"/>
                      <w:b/>
                      <w:bCs/>
                      <w:color w:val="000000"/>
                      <w:kern w:val="2"/>
                      <w:szCs w:val="18"/>
                    </w:rPr>
                    <w:t>清单编制要求</w:t>
                  </w:r>
                </w:p>
              </w:tc>
              <w:tc>
                <w:tcPr>
                  <w:tcW w:w="2948" w:type="pct"/>
                  <w:vAlign w:val="center"/>
                </w:tcPr>
                <w:p>
                  <w:pPr>
                    <w:pStyle w:val="37"/>
                    <w:spacing w:line="240" w:lineRule="atLeast"/>
                    <w:rPr>
                      <w:b/>
                      <w:bCs/>
                      <w:color w:val="000000"/>
                      <w:kern w:val="2"/>
                      <w:szCs w:val="18"/>
                    </w:rPr>
                  </w:pPr>
                  <w:r>
                    <w:rPr>
                      <w:rFonts w:hint="eastAsia"/>
                      <w:b/>
                      <w:bCs/>
                      <w:color w:val="000000"/>
                      <w:kern w:val="2"/>
                      <w:szCs w:val="18"/>
                    </w:rPr>
                    <w:t>准入要求</w:t>
                  </w:r>
                </w:p>
              </w:tc>
              <w:tc>
                <w:tcPr>
                  <w:tcW w:w="1148" w:type="pct"/>
                  <w:vAlign w:val="center"/>
                </w:tcPr>
                <w:p>
                  <w:pPr>
                    <w:pStyle w:val="37"/>
                    <w:spacing w:line="240" w:lineRule="atLeast"/>
                    <w:rPr>
                      <w:b/>
                      <w:bCs/>
                      <w:color w:val="000000"/>
                      <w:kern w:val="2"/>
                      <w:szCs w:val="18"/>
                    </w:rPr>
                  </w:pPr>
                  <w:r>
                    <w:rPr>
                      <w:rFonts w:hint="eastAsia"/>
                      <w:b/>
                      <w:bCs/>
                      <w:color w:val="000000"/>
                      <w:kern w:val="2"/>
                      <w:szCs w:val="18"/>
                    </w:rPr>
                    <w:t>项目情况</w:t>
                  </w:r>
                </w:p>
              </w:tc>
              <w:tc>
                <w:tcPr>
                  <w:tcW w:w="261" w:type="pct"/>
                  <w:vAlign w:val="center"/>
                </w:tcPr>
                <w:p>
                  <w:pPr>
                    <w:pStyle w:val="37"/>
                    <w:spacing w:line="240" w:lineRule="atLeast"/>
                    <w:rPr>
                      <w:b/>
                      <w:bCs/>
                      <w:color w:val="000000"/>
                      <w:kern w:val="2"/>
                      <w:szCs w:val="18"/>
                    </w:rPr>
                  </w:pPr>
                  <w:r>
                    <w:rPr>
                      <w:rFonts w:hint="eastAsia"/>
                      <w:b/>
                      <w:bCs/>
                      <w:color w:val="000000"/>
                      <w:kern w:val="2"/>
                      <w:szCs w:val="18"/>
                    </w:rPr>
                    <w:t>相符情况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restart"/>
                  <w:vAlign w:val="center"/>
                </w:tcPr>
                <w:p>
                  <w:pPr>
                    <w:pStyle w:val="37"/>
                    <w:spacing w:line="240" w:lineRule="atLeast"/>
                    <w:rPr>
                      <w:color w:val="000000"/>
                    </w:rPr>
                  </w:pPr>
                  <w:r>
                    <w:rPr>
                      <w:rFonts w:hint="eastAsia"/>
                      <w:color w:val="000000"/>
                    </w:rPr>
                    <w:t>空间布局约束</w:t>
                  </w:r>
                </w:p>
              </w:tc>
              <w:tc>
                <w:tcPr>
                  <w:tcW w:w="452" w:type="pct"/>
                  <w:vMerge w:val="restart"/>
                  <w:vAlign w:val="center"/>
                </w:tcPr>
                <w:p>
                  <w:pPr>
                    <w:pStyle w:val="37"/>
                    <w:spacing w:line="240" w:lineRule="atLeast"/>
                    <w:rPr>
                      <w:color w:val="000000"/>
                    </w:rPr>
                  </w:pPr>
                  <w:r>
                    <w:rPr>
                      <w:rFonts w:hint="eastAsia"/>
                      <w:color w:val="000000"/>
                    </w:rPr>
                    <w:t>禁止开发建设活动的要求</w:t>
                  </w:r>
                </w:p>
              </w:tc>
              <w:tc>
                <w:tcPr>
                  <w:tcW w:w="2948" w:type="pct"/>
                  <w:vAlign w:val="center"/>
                </w:tcPr>
                <w:p>
                  <w:pPr>
                    <w:pStyle w:val="37"/>
                    <w:spacing w:line="240" w:lineRule="atLeast"/>
                    <w:jc w:val="left"/>
                    <w:rPr>
                      <w:color w:val="000000"/>
                    </w:rPr>
                  </w:pPr>
                  <w:r>
                    <w:rPr>
                      <w:color w:val="000000"/>
                    </w:rPr>
                    <w:t>禁止新建《产业结构调整指导目录》限制类和淘汰类项目</w:t>
                  </w:r>
                  <w:r>
                    <w:rPr>
                      <w:rFonts w:hint="eastAsia"/>
                      <w:color w:val="000000"/>
                    </w:rPr>
                    <w:t>，</w:t>
                  </w:r>
                  <w:r>
                    <w:rPr>
                      <w:color w:val="000000"/>
                    </w:rPr>
                    <w:t>现有产业改、扩建不得使用《产业结构调整指导目录》规定的淘汰类规模和生产工艺。</w:t>
                  </w:r>
                </w:p>
              </w:tc>
              <w:tc>
                <w:tcPr>
                  <w:tcW w:w="1148" w:type="pct"/>
                  <w:vAlign w:val="center"/>
                </w:tcPr>
                <w:p>
                  <w:pPr>
                    <w:pStyle w:val="37"/>
                    <w:spacing w:line="240" w:lineRule="atLeast"/>
                    <w:jc w:val="left"/>
                    <w:rPr>
                      <w:color w:val="000000"/>
                    </w:rPr>
                  </w:pPr>
                  <w:r>
                    <w:rPr>
                      <w:rFonts w:hint="eastAsia"/>
                      <w:color w:val="000000"/>
                    </w:rPr>
                    <w:t>项目不属于</w:t>
                  </w:r>
                  <w:r>
                    <w:rPr>
                      <w:color w:val="000000"/>
                    </w:rPr>
                    <w:t>《产业结构调整指导目录</w:t>
                  </w:r>
                  <w:r>
                    <w:rPr>
                      <w:rFonts w:hint="eastAsia"/>
                      <w:color w:val="000000"/>
                    </w:rPr>
                    <w:t>（2024年本）</w:t>
                  </w:r>
                  <w:r>
                    <w:rPr>
                      <w:color w:val="000000"/>
                    </w:rPr>
                    <w:t>》限制类和淘汰类</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禁止引进产业规划禁止类项目进入园区。</w:t>
                  </w:r>
                </w:p>
              </w:tc>
              <w:tc>
                <w:tcPr>
                  <w:tcW w:w="1148" w:type="pct"/>
                  <w:vAlign w:val="center"/>
                </w:tcPr>
                <w:p>
                  <w:pPr>
                    <w:pStyle w:val="37"/>
                    <w:spacing w:line="240" w:lineRule="atLeast"/>
                    <w:jc w:val="left"/>
                    <w:rPr>
                      <w:color w:val="000000"/>
                    </w:rPr>
                  </w:pPr>
                  <w:r>
                    <w:rPr>
                      <w:rFonts w:hint="eastAsia"/>
                      <w:color w:val="000000"/>
                    </w:rPr>
                    <w:t>项目不属于园区</w:t>
                  </w:r>
                  <w:r>
                    <w:rPr>
                      <w:color w:val="000000"/>
                    </w:rPr>
                    <w:t>产业规划禁止类</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生态保护红线内</w:t>
                  </w:r>
                  <w:r>
                    <w:rPr>
                      <w:rFonts w:hint="eastAsia"/>
                      <w:color w:val="000000"/>
                    </w:rPr>
                    <w:t>，</w:t>
                  </w:r>
                  <w:r>
                    <w:rPr>
                      <w:color w:val="000000"/>
                    </w:rPr>
                    <w:t>自然保护地核心保护区原则上禁止人为活动。</w:t>
                  </w:r>
                </w:p>
              </w:tc>
              <w:tc>
                <w:tcPr>
                  <w:tcW w:w="1148" w:type="pct"/>
                  <w:vAlign w:val="center"/>
                </w:tcPr>
                <w:p>
                  <w:pPr>
                    <w:pStyle w:val="37"/>
                    <w:spacing w:line="240" w:lineRule="atLeast"/>
                    <w:jc w:val="left"/>
                    <w:rPr>
                      <w:color w:val="000000"/>
                    </w:rPr>
                  </w:pPr>
                  <w:r>
                    <w:rPr>
                      <w:rFonts w:hint="eastAsia"/>
                      <w:color w:val="000000"/>
                    </w:rPr>
                    <w:t>项目不在</w:t>
                  </w:r>
                  <w:r>
                    <w:rPr>
                      <w:color w:val="000000"/>
                    </w:rPr>
                    <w:t>生态保护红线内</w:t>
                  </w:r>
                  <w:r>
                    <w:rPr>
                      <w:rFonts w:hint="eastAsia"/>
                      <w:color w:val="000000"/>
                    </w:rPr>
                    <w:t>的</w:t>
                  </w:r>
                  <w:r>
                    <w:rPr>
                      <w:color w:val="000000"/>
                    </w:rPr>
                    <w:t>自然保护地核心保护区</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restart"/>
                  <w:vAlign w:val="center"/>
                </w:tcPr>
                <w:p>
                  <w:pPr>
                    <w:pStyle w:val="37"/>
                    <w:spacing w:line="240" w:lineRule="atLeast"/>
                    <w:rPr>
                      <w:color w:val="000000"/>
                    </w:rPr>
                  </w:pPr>
                  <w:r>
                    <w:rPr>
                      <w:rFonts w:hint="eastAsia"/>
                      <w:color w:val="000000"/>
                    </w:rPr>
                    <w:t>限制开发建设活动的要求</w:t>
                  </w:r>
                </w:p>
              </w:tc>
              <w:tc>
                <w:tcPr>
                  <w:tcW w:w="2948" w:type="pct"/>
                  <w:vAlign w:val="center"/>
                </w:tcPr>
                <w:p>
                  <w:pPr>
                    <w:pStyle w:val="37"/>
                    <w:spacing w:line="240" w:lineRule="atLeast"/>
                    <w:jc w:val="left"/>
                    <w:rPr>
                      <w:color w:val="000000"/>
                    </w:rPr>
                  </w:pPr>
                  <w:r>
                    <w:rPr>
                      <w:color w:val="000000"/>
                    </w:rPr>
                    <w:t>县级及以上城市建成区禁止新建35蒸吨/小时及以下燃煤锅炉。</w:t>
                  </w:r>
                </w:p>
              </w:tc>
              <w:tc>
                <w:tcPr>
                  <w:tcW w:w="1148" w:type="pct"/>
                  <w:vAlign w:val="center"/>
                </w:tcPr>
                <w:p>
                  <w:pPr>
                    <w:pStyle w:val="37"/>
                    <w:spacing w:line="240" w:lineRule="atLeast"/>
                    <w:jc w:val="left"/>
                    <w:rPr>
                      <w:color w:val="000000"/>
                    </w:rPr>
                  </w:pPr>
                  <w:r>
                    <w:rPr>
                      <w:rFonts w:hint="eastAsia"/>
                      <w:color w:val="000000"/>
                    </w:rPr>
                    <w:t>项目不涉及</w:t>
                  </w:r>
                  <w:r>
                    <w:rPr>
                      <w:color w:val="000000"/>
                    </w:rPr>
                    <w:t>35蒸吨/小时及以下燃煤锅炉</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不得新建规模不符合各行业准入条件中的项目。</w:t>
                  </w:r>
                </w:p>
              </w:tc>
              <w:tc>
                <w:tcPr>
                  <w:tcW w:w="1148" w:type="pct"/>
                  <w:vAlign w:val="center"/>
                </w:tcPr>
                <w:p>
                  <w:pPr>
                    <w:pStyle w:val="37"/>
                    <w:spacing w:line="240" w:lineRule="atLeast"/>
                    <w:jc w:val="left"/>
                    <w:rPr>
                      <w:color w:val="000000"/>
                    </w:rPr>
                  </w:pPr>
                  <w:r>
                    <w:rPr>
                      <w:rFonts w:hint="eastAsia"/>
                      <w:color w:val="000000"/>
                    </w:rPr>
                    <w:t>项目无行业准入条件。</w:t>
                  </w:r>
                </w:p>
              </w:tc>
              <w:tc>
                <w:tcPr>
                  <w:tcW w:w="261" w:type="pct"/>
                  <w:vAlign w:val="center"/>
                </w:tcPr>
                <w:p>
                  <w:pPr>
                    <w:pStyle w:val="37"/>
                    <w:spacing w:line="240" w:lineRule="atLeast"/>
                    <w:rPr>
                      <w:color w:val="000000"/>
                    </w:rPr>
                  </w:pP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禁止新建、扩建不符合国家产能置换要求的严重过剩产能行业的项目。</w:t>
                  </w:r>
                </w:p>
              </w:tc>
              <w:tc>
                <w:tcPr>
                  <w:tcW w:w="1148" w:type="pct"/>
                  <w:vAlign w:val="center"/>
                </w:tcPr>
                <w:p>
                  <w:pPr>
                    <w:pStyle w:val="37"/>
                    <w:spacing w:line="240" w:lineRule="atLeast"/>
                    <w:jc w:val="left"/>
                    <w:rPr>
                      <w:color w:val="000000"/>
                    </w:rPr>
                  </w:pPr>
                  <w:r>
                    <w:rPr>
                      <w:rFonts w:hint="eastAsia"/>
                      <w:color w:val="000000"/>
                    </w:rPr>
                    <w:t>不属于</w:t>
                  </w:r>
                  <w:r>
                    <w:rPr>
                      <w:color w:val="000000"/>
                    </w:rPr>
                    <w:t>国家产能置换要求的严重过剩产能行业的项目</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禁止新建采用含汞工艺的电石法聚氯乙烯生产项目。</w:t>
                  </w:r>
                </w:p>
              </w:tc>
              <w:tc>
                <w:tcPr>
                  <w:tcW w:w="1148" w:type="pct"/>
                  <w:vAlign w:val="center"/>
                </w:tcPr>
                <w:p>
                  <w:pPr>
                    <w:pStyle w:val="37"/>
                    <w:spacing w:line="240" w:lineRule="atLeast"/>
                    <w:jc w:val="left"/>
                    <w:rPr>
                      <w:color w:val="000000"/>
                    </w:rPr>
                  </w:pPr>
                  <w:r>
                    <w:rPr>
                      <w:rFonts w:hint="eastAsia"/>
                      <w:color w:val="000000"/>
                    </w:rPr>
                    <w:t>不属于</w:t>
                  </w:r>
                  <w:r>
                    <w:rPr>
                      <w:color w:val="000000"/>
                    </w:rPr>
                    <w:t>采用含汞工艺的电石法聚氯乙烯生产项目</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禁止在鄱阳湖生态经济区滨湖控制开发带内新建、改建、扩建化学制浆造纸、印染、制革、电镀等排放含磷、氮、重金属等污染物的企业和项目。</w:t>
                  </w:r>
                </w:p>
              </w:tc>
              <w:tc>
                <w:tcPr>
                  <w:tcW w:w="1148" w:type="pct"/>
                  <w:vAlign w:val="center"/>
                </w:tcPr>
                <w:p>
                  <w:pPr>
                    <w:pStyle w:val="37"/>
                    <w:spacing w:line="240" w:lineRule="atLeast"/>
                    <w:jc w:val="left"/>
                    <w:rPr>
                      <w:color w:val="000000"/>
                    </w:rPr>
                  </w:pPr>
                  <w:r>
                    <w:rPr>
                      <w:rFonts w:hint="eastAsia"/>
                      <w:color w:val="000000"/>
                    </w:rPr>
                    <w:t>不属于</w:t>
                  </w:r>
                  <w:r>
                    <w:rPr>
                      <w:color w:val="000000"/>
                    </w:rPr>
                    <w:t>化学制浆造纸、印染、制革、电镀等排放含磷、氮、重金属等污染物的企业和项目</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严格限制企业新建自制水煤气发生炉。</w:t>
                  </w:r>
                </w:p>
              </w:tc>
              <w:tc>
                <w:tcPr>
                  <w:tcW w:w="1148" w:type="pct"/>
                  <w:vAlign w:val="center"/>
                </w:tcPr>
                <w:p>
                  <w:pPr>
                    <w:pStyle w:val="37"/>
                    <w:spacing w:line="240" w:lineRule="atLeast"/>
                    <w:jc w:val="left"/>
                    <w:rPr>
                      <w:color w:val="000000"/>
                    </w:rPr>
                  </w:pPr>
                  <w:r>
                    <w:rPr>
                      <w:rFonts w:hint="eastAsia"/>
                      <w:color w:val="000000"/>
                    </w:rPr>
                    <w:t>项目不涉及</w:t>
                  </w:r>
                  <w:r>
                    <w:rPr>
                      <w:color w:val="000000"/>
                    </w:rPr>
                    <w:t>自制水煤气发生炉</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不得在赣江、抚河保护区范围内进行规模化畜禽养殖</w:t>
                  </w:r>
                  <w:r>
                    <w:rPr>
                      <w:rFonts w:hint="eastAsia"/>
                      <w:color w:val="000000"/>
                    </w:rPr>
                    <w:t>；</w:t>
                  </w:r>
                  <w:r>
                    <w:rPr>
                      <w:color w:val="000000"/>
                    </w:rPr>
                    <w:t>不得在赣江和抚河干流及鄱阳湖岸线5公里范围内新布局重化工园区</w:t>
                  </w:r>
                  <w:r>
                    <w:rPr>
                      <w:rFonts w:hint="eastAsia"/>
                      <w:color w:val="000000"/>
                    </w:rPr>
                    <w:t>，</w:t>
                  </w:r>
                  <w:r>
                    <w:rPr>
                      <w:color w:val="000000"/>
                    </w:rPr>
                    <w:t>1公里范围内新上化工、造纸、制革、冶炼等重污染项目。</w:t>
                  </w:r>
                </w:p>
              </w:tc>
              <w:tc>
                <w:tcPr>
                  <w:tcW w:w="1148" w:type="pct"/>
                  <w:vAlign w:val="center"/>
                </w:tcPr>
                <w:p>
                  <w:pPr>
                    <w:pStyle w:val="37"/>
                    <w:spacing w:line="240" w:lineRule="atLeast"/>
                    <w:jc w:val="left"/>
                    <w:rPr>
                      <w:color w:val="000000"/>
                    </w:rPr>
                  </w:pPr>
                  <w:r>
                    <w:rPr>
                      <w:rFonts w:hint="eastAsia"/>
                      <w:color w:val="000000"/>
                    </w:rPr>
                    <w:t>项目位于小蓝</w:t>
                  </w:r>
                  <w:r>
                    <w:rPr>
                      <w:color w:val="000000"/>
                    </w:rPr>
                    <w:t>经济技术开发区</w:t>
                  </w:r>
                  <w:r>
                    <w:rPr>
                      <w:rFonts w:hint="eastAsia"/>
                      <w:color w:val="000000"/>
                    </w:rPr>
                    <w:t>，项目不在</w:t>
                  </w:r>
                  <w:r>
                    <w:rPr>
                      <w:color w:val="000000"/>
                    </w:rPr>
                    <w:t>赣江和抚河干流及鄱阳湖岸线1公里范围内</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禁止在鄱阳湖最高水位线外1-3公里范围内新建、改扩建各类高能耗、高排放行业项目和《污水综合排放标准》中一类污染物和持久性有机污染物的建设项目。</w:t>
                  </w:r>
                </w:p>
              </w:tc>
              <w:tc>
                <w:tcPr>
                  <w:tcW w:w="1148" w:type="pct"/>
                  <w:vAlign w:val="center"/>
                </w:tcPr>
                <w:p>
                  <w:pPr>
                    <w:pStyle w:val="37"/>
                    <w:spacing w:line="240" w:lineRule="atLeast"/>
                    <w:jc w:val="left"/>
                    <w:rPr>
                      <w:color w:val="000000"/>
                    </w:rPr>
                  </w:pPr>
                  <w:r>
                    <w:rPr>
                      <w:rFonts w:hint="eastAsia"/>
                      <w:color w:val="000000"/>
                    </w:rPr>
                    <w:t>项目不属于</w:t>
                  </w:r>
                  <w:r>
                    <w:rPr>
                      <w:color w:val="000000"/>
                    </w:rPr>
                    <w:t>鄱阳湖最高水位线外1-3公里范围内</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禁止建设不符合国家、省级批准的内河航道及港口布局规划的码头项目以及配套设施、锚地等工程。禁止新建、扩建不符合国家、省级批准的港口总体规划的码头项目及其配套设施、锚地等工程。</w:t>
                  </w:r>
                </w:p>
              </w:tc>
              <w:tc>
                <w:tcPr>
                  <w:tcW w:w="1148" w:type="pct"/>
                  <w:vAlign w:val="center"/>
                </w:tcPr>
                <w:p>
                  <w:pPr>
                    <w:pStyle w:val="37"/>
                    <w:spacing w:line="240" w:lineRule="atLeast"/>
                    <w:jc w:val="left"/>
                    <w:rPr>
                      <w:color w:val="000000"/>
                    </w:rPr>
                  </w:pPr>
                  <w:r>
                    <w:rPr>
                      <w:rFonts w:hint="eastAsia"/>
                      <w:color w:val="000000"/>
                    </w:rPr>
                    <w:t>不属于</w:t>
                  </w:r>
                  <w:r>
                    <w:rPr>
                      <w:color w:val="000000"/>
                    </w:rPr>
                    <w:t>码头项目以及配套设施、锚地等工程</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在环境风险防控重点区域如居民集中区、医院和学校附近、重要水源涵养生态功能区等</w:t>
                  </w:r>
                  <w:r>
                    <w:rPr>
                      <w:rFonts w:hint="eastAsia"/>
                      <w:color w:val="000000"/>
                    </w:rPr>
                    <w:t>，</w:t>
                  </w:r>
                  <w:r>
                    <w:rPr>
                      <w:color w:val="000000"/>
                    </w:rPr>
                    <w:t>以及因环境污染导致环境质量不能稳定达标的区域内</w:t>
                  </w:r>
                  <w:r>
                    <w:rPr>
                      <w:rFonts w:hint="eastAsia"/>
                      <w:color w:val="000000"/>
                    </w:rPr>
                    <w:t>，</w:t>
                  </w:r>
                  <w:r>
                    <w:rPr>
                      <w:color w:val="000000"/>
                    </w:rPr>
                    <w:t>禁止新建或扩建可能引发环境风险的项目。</w:t>
                  </w:r>
                </w:p>
              </w:tc>
              <w:tc>
                <w:tcPr>
                  <w:tcW w:w="1148" w:type="pct"/>
                  <w:vAlign w:val="center"/>
                </w:tcPr>
                <w:p>
                  <w:pPr>
                    <w:pStyle w:val="37"/>
                    <w:spacing w:line="240" w:lineRule="atLeast"/>
                    <w:jc w:val="left"/>
                    <w:rPr>
                      <w:color w:val="000000"/>
                    </w:rPr>
                  </w:pPr>
                  <w:r>
                    <w:rPr>
                      <w:rFonts w:hint="eastAsia"/>
                      <w:color w:val="000000"/>
                    </w:rPr>
                    <w:t>项目不属于环境风险防控重点区域。</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禁止在居民区、学校、医疗和养老机构等周边新建有色金属冶炼、焦化等行业企业。</w:t>
                  </w:r>
                </w:p>
              </w:tc>
              <w:tc>
                <w:tcPr>
                  <w:tcW w:w="1148" w:type="pct"/>
                  <w:vAlign w:val="center"/>
                </w:tcPr>
                <w:p>
                  <w:pPr>
                    <w:pStyle w:val="37"/>
                    <w:spacing w:line="240" w:lineRule="atLeast"/>
                    <w:jc w:val="left"/>
                    <w:rPr>
                      <w:color w:val="000000"/>
                    </w:rPr>
                  </w:pPr>
                  <w:r>
                    <w:rPr>
                      <w:rFonts w:hint="eastAsia"/>
                      <w:color w:val="000000"/>
                    </w:rPr>
                    <w:t>不属于</w:t>
                  </w:r>
                  <w:r>
                    <w:rPr>
                      <w:color w:val="000000"/>
                    </w:rPr>
                    <w:t>有色金属冶炼、焦化等行业企业</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在水源地一级保护区内禁止新建、改建、扩建与供水设施和保护水源无关的建设项目</w:t>
                  </w:r>
                  <w:r>
                    <w:rPr>
                      <w:rFonts w:hint="eastAsia"/>
                      <w:color w:val="000000"/>
                    </w:rPr>
                    <w:t>，</w:t>
                  </w:r>
                  <w:r>
                    <w:rPr>
                      <w:color w:val="000000"/>
                    </w:rPr>
                    <w:t>不得从事网箱养殖、旅游、游泳、垂钓或者其他可能污染水源的活动</w:t>
                  </w:r>
                  <w:r>
                    <w:rPr>
                      <w:rFonts w:hint="eastAsia"/>
                      <w:color w:val="000000"/>
                    </w:rPr>
                    <w:t>；</w:t>
                  </w:r>
                  <w:r>
                    <w:rPr>
                      <w:color w:val="000000"/>
                    </w:rPr>
                    <w:t>在水源地二级保护区内禁止新建、改建、扩建排放污染物的建设项目</w:t>
                  </w:r>
                  <w:r>
                    <w:rPr>
                      <w:rFonts w:hint="eastAsia"/>
                      <w:color w:val="000000"/>
                    </w:rPr>
                    <w:t>；</w:t>
                  </w:r>
                  <w:r>
                    <w:rPr>
                      <w:color w:val="000000"/>
                    </w:rPr>
                    <w:t>在水源地准保护区内禁止新建、扩建对水体污染严重的建设项目</w:t>
                  </w:r>
                  <w:r>
                    <w:rPr>
                      <w:rFonts w:hint="eastAsia"/>
                      <w:color w:val="000000"/>
                    </w:rPr>
                    <w:t>，</w:t>
                  </w:r>
                  <w:r>
                    <w:rPr>
                      <w:color w:val="000000"/>
                    </w:rPr>
                    <w:t>改建建设项目</w:t>
                  </w:r>
                  <w:r>
                    <w:rPr>
                      <w:rFonts w:hint="eastAsia"/>
                      <w:color w:val="000000"/>
                    </w:rPr>
                    <w:t>，</w:t>
                  </w:r>
                  <w:r>
                    <w:rPr>
                      <w:color w:val="000000"/>
                    </w:rPr>
                    <w:t>不得增加排污量。</w:t>
                  </w:r>
                </w:p>
              </w:tc>
              <w:tc>
                <w:tcPr>
                  <w:tcW w:w="1148" w:type="pct"/>
                  <w:vAlign w:val="center"/>
                </w:tcPr>
                <w:p>
                  <w:pPr>
                    <w:pStyle w:val="37"/>
                    <w:spacing w:line="240" w:lineRule="atLeast"/>
                    <w:jc w:val="left"/>
                    <w:rPr>
                      <w:color w:val="000000"/>
                    </w:rPr>
                  </w:pPr>
                  <w:r>
                    <w:rPr>
                      <w:rFonts w:hint="eastAsia"/>
                      <w:color w:val="000000"/>
                    </w:rPr>
                    <w:t>项目不属于水源地保护区。</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严格限制</w:t>
                  </w:r>
                  <w:r>
                    <w:rPr>
                      <w:rFonts w:hint="eastAsia"/>
                      <w:color w:val="000000"/>
                    </w:rPr>
                    <w:t>“</w:t>
                  </w:r>
                  <w:r>
                    <w:rPr>
                      <w:color w:val="000000"/>
                    </w:rPr>
                    <w:t>三磷</w:t>
                  </w:r>
                  <w:r>
                    <w:rPr>
                      <w:rFonts w:hint="eastAsia"/>
                      <w:color w:val="000000"/>
                    </w:rPr>
                    <w:t>”（</w:t>
                  </w:r>
                  <w:r>
                    <w:rPr>
                      <w:color w:val="000000"/>
                    </w:rPr>
                    <w:t>磷矿、磷肥和含磷农药制造等磷化工企业、磷石膏库</w:t>
                  </w:r>
                  <w:r>
                    <w:rPr>
                      <w:rFonts w:hint="eastAsia"/>
                      <w:color w:val="000000"/>
                    </w:rPr>
                    <w:t>）</w:t>
                  </w:r>
                  <w:r>
                    <w:rPr>
                      <w:color w:val="000000"/>
                    </w:rPr>
                    <w:t>产业向本区域内转移。</w:t>
                  </w:r>
                </w:p>
              </w:tc>
              <w:tc>
                <w:tcPr>
                  <w:tcW w:w="1148" w:type="pct"/>
                  <w:vAlign w:val="center"/>
                </w:tcPr>
                <w:p>
                  <w:pPr>
                    <w:pStyle w:val="37"/>
                    <w:spacing w:line="240" w:lineRule="atLeast"/>
                    <w:jc w:val="left"/>
                    <w:rPr>
                      <w:color w:val="000000"/>
                    </w:rPr>
                  </w:pPr>
                  <w:r>
                    <w:rPr>
                      <w:rFonts w:hint="eastAsia"/>
                      <w:color w:val="000000"/>
                    </w:rPr>
                    <w:t>项目不属于“</w:t>
                  </w:r>
                  <w:r>
                    <w:rPr>
                      <w:color w:val="000000"/>
                    </w:rPr>
                    <w:t>三磷</w:t>
                  </w:r>
                  <w:r>
                    <w:rPr>
                      <w:rFonts w:hint="eastAsia"/>
                      <w:color w:val="000000"/>
                    </w:rPr>
                    <w:t>”（</w:t>
                  </w:r>
                  <w:r>
                    <w:rPr>
                      <w:color w:val="000000"/>
                    </w:rPr>
                    <w:t>磷矿、磷肥和含磷农药制造等磷化工企业、磷石膏库</w:t>
                  </w:r>
                  <w:r>
                    <w:rPr>
                      <w:rFonts w:hint="eastAsia"/>
                      <w:color w:val="000000"/>
                    </w:rPr>
                    <w:t>）</w:t>
                  </w:r>
                  <w:r>
                    <w:rPr>
                      <w:color w:val="000000"/>
                    </w:rPr>
                    <w:t>产业</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不得在优先保护类耕地集中区域新建有色金属冶炼、石油加工、化工、焦化、电镀、制革、危险废物利用等项目。</w:t>
                  </w:r>
                </w:p>
              </w:tc>
              <w:tc>
                <w:tcPr>
                  <w:tcW w:w="1148" w:type="pct"/>
                  <w:vAlign w:val="center"/>
                </w:tcPr>
                <w:p>
                  <w:pPr>
                    <w:pStyle w:val="37"/>
                    <w:spacing w:line="240" w:lineRule="atLeast"/>
                    <w:jc w:val="left"/>
                    <w:rPr>
                      <w:color w:val="000000"/>
                    </w:rPr>
                  </w:pPr>
                  <w:r>
                    <w:rPr>
                      <w:rFonts w:hint="eastAsia"/>
                      <w:color w:val="000000"/>
                    </w:rPr>
                    <w:t>不属于</w:t>
                  </w:r>
                  <w:r>
                    <w:rPr>
                      <w:color w:val="000000"/>
                    </w:rPr>
                    <w:t>有色金属冶炼、石油加工、化工、焦化、电镀、制革、危险废物利用</w:t>
                  </w:r>
                  <w:r>
                    <w:rPr>
                      <w:rFonts w:hint="eastAsia"/>
                      <w:color w:val="000000"/>
                    </w:rPr>
                    <w:t>项目。</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不得在农产品生产区施用高毒高残留农药。</w:t>
                  </w:r>
                </w:p>
              </w:tc>
              <w:tc>
                <w:tcPr>
                  <w:tcW w:w="1148" w:type="pct"/>
                  <w:vAlign w:val="center"/>
                </w:tcPr>
                <w:p>
                  <w:pPr>
                    <w:pStyle w:val="37"/>
                    <w:spacing w:line="240" w:lineRule="atLeast"/>
                    <w:jc w:val="left"/>
                    <w:rPr>
                      <w:color w:val="000000"/>
                    </w:rPr>
                  </w:pPr>
                  <w:r>
                    <w:rPr>
                      <w:rFonts w:hint="eastAsia"/>
                      <w:color w:val="000000"/>
                    </w:rPr>
                    <w:t>项目不会使用</w:t>
                  </w:r>
                  <w:r>
                    <w:rPr>
                      <w:color w:val="000000"/>
                    </w:rPr>
                    <w:t>高毒高残留农药</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优化调整VOCs排放产业布局</w:t>
                  </w:r>
                  <w:r>
                    <w:rPr>
                      <w:rFonts w:hint="eastAsia"/>
                      <w:color w:val="000000"/>
                    </w:rPr>
                    <w:t>，</w:t>
                  </w:r>
                  <w:r>
                    <w:rPr>
                      <w:color w:val="000000"/>
                    </w:rPr>
                    <w:t>原则上中心区域内不得再新建和扩建VOCs排放量大的有机化工、医药(化学原料药制造）、表面涂装等行业企业。</w:t>
                  </w:r>
                </w:p>
              </w:tc>
              <w:tc>
                <w:tcPr>
                  <w:tcW w:w="1148" w:type="pct"/>
                  <w:vAlign w:val="center"/>
                </w:tcPr>
                <w:p>
                  <w:pPr>
                    <w:pStyle w:val="37"/>
                    <w:spacing w:line="240" w:lineRule="atLeast"/>
                    <w:jc w:val="left"/>
                    <w:rPr>
                      <w:color w:val="000000"/>
                    </w:rPr>
                  </w:pPr>
                  <w:r>
                    <w:rPr>
                      <w:rFonts w:hint="eastAsia"/>
                      <w:color w:val="000000"/>
                    </w:rPr>
                    <w:t>不属于</w:t>
                  </w:r>
                  <w:r>
                    <w:rPr>
                      <w:color w:val="000000"/>
                    </w:rPr>
                    <w:t>VOCs排放量大的有机化工、医药</w:t>
                  </w:r>
                  <w:r>
                    <w:rPr>
                      <w:rFonts w:hint="eastAsia"/>
                      <w:color w:val="000000"/>
                    </w:rPr>
                    <w:t>（</w:t>
                  </w:r>
                  <w:r>
                    <w:rPr>
                      <w:color w:val="000000"/>
                    </w:rPr>
                    <w:t>化学原料药制造）、表面涂装等行业企业</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严格危化品港口建设项目审批管理</w:t>
                  </w:r>
                  <w:r>
                    <w:rPr>
                      <w:rFonts w:hint="eastAsia"/>
                      <w:color w:val="000000"/>
                    </w:rPr>
                    <w:t>，</w:t>
                  </w:r>
                  <w:r>
                    <w:rPr>
                      <w:color w:val="000000"/>
                    </w:rPr>
                    <w:t>不得在自然保护区核心区及缓冲区内新建码头工程</w:t>
                  </w:r>
                  <w:r>
                    <w:rPr>
                      <w:rFonts w:hint="eastAsia"/>
                      <w:color w:val="000000"/>
                    </w:rPr>
                    <w:t>。</w:t>
                  </w:r>
                </w:p>
              </w:tc>
              <w:tc>
                <w:tcPr>
                  <w:tcW w:w="1148" w:type="pct"/>
                  <w:vAlign w:val="center"/>
                </w:tcPr>
                <w:p>
                  <w:pPr>
                    <w:pStyle w:val="37"/>
                    <w:spacing w:line="240" w:lineRule="atLeast"/>
                    <w:jc w:val="left"/>
                    <w:rPr>
                      <w:color w:val="000000"/>
                    </w:rPr>
                  </w:pPr>
                  <w:r>
                    <w:rPr>
                      <w:rFonts w:hint="eastAsia"/>
                      <w:color w:val="000000"/>
                    </w:rPr>
                    <w:t>项目不属于</w:t>
                  </w:r>
                  <w:r>
                    <w:rPr>
                      <w:color w:val="000000"/>
                    </w:rPr>
                    <w:t>自然保护区核心区及缓冲区内</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禁止在禁采区和禁采期内采砂(禁采区和禁采期以省政府批复的采砂规划为依据)</w:t>
                  </w:r>
                  <w:r>
                    <w:rPr>
                      <w:rFonts w:hint="eastAsia"/>
                      <w:color w:val="000000"/>
                    </w:rPr>
                    <w:t>，</w:t>
                  </w:r>
                  <w:r>
                    <w:rPr>
                      <w:color w:val="000000"/>
                    </w:rPr>
                    <w:t>不得在各县区划定的禁养区内设置养殖场和养殖小区。</w:t>
                  </w:r>
                </w:p>
              </w:tc>
              <w:tc>
                <w:tcPr>
                  <w:tcW w:w="1148" w:type="pct"/>
                  <w:vAlign w:val="center"/>
                </w:tcPr>
                <w:p>
                  <w:pPr>
                    <w:pStyle w:val="37"/>
                    <w:spacing w:line="240" w:lineRule="atLeast"/>
                    <w:jc w:val="left"/>
                    <w:rPr>
                      <w:color w:val="000000"/>
                    </w:rPr>
                  </w:pPr>
                  <w:r>
                    <w:rPr>
                      <w:rFonts w:hint="eastAsia"/>
                      <w:color w:val="000000"/>
                    </w:rPr>
                    <w:t>项目不属于采砂、养殖行业。</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现有涉重金属重点行业落后产能应逐步淘汰</w:t>
                  </w:r>
                  <w:r>
                    <w:rPr>
                      <w:rFonts w:hint="eastAsia"/>
                      <w:color w:val="000000"/>
                    </w:rPr>
                    <w:t>，</w:t>
                  </w:r>
                  <w:r>
                    <w:rPr>
                      <w:color w:val="000000"/>
                    </w:rPr>
                    <w:t>严格执行重金属相关行业准入条件</w:t>
                  </w:r>
                  <w:r>
                    <w:rPr>
                      <w:rFonts w:hint="eastAsia"/>
                      <w:color w:val="000000"/>
                    </w:rPr>
                    <w:t>，</w:t>
                  </w:r>
                  <w:r>
                    <w:rPr>
                      <w:color w:val="000000"/>
                    </w:rPr>
                    <w:t>不得新建落后产能或产能严重过剩行业的建设项目。</w:t>
                  </w:r>
                </w:p>
              </w:tc>
              <w:tc>
                <w:tcPr>
                  <w:tcW w:w="1148" w:type="pct"/>
                  <w:vAlign w:val="center"/>
                </w:tcPr>
                <w:p>
                  <w:pPr>
                    <w:pStyle w:val="37"/>
                    <w:spacing w:line="240" w:lineRule="atLeast"/>
                    <w:jc w:val="left"/>
                    <w:rPr>
                      <w:color w:val="000000"/>
                    </w:rPr>
                  </w:pPr>
                  <w:r>
                    <w:rPr>
                      <w:rFonts w:hint="eastAsia"/>
                      <w:color w:val="000000"/>
                    </w:rPr>
                    <w:t>不属于</w:t>
                  </w:r>
                  <w:r>
                    <w:rPr>
                      <w:color w:val="000000"/>
                    </w:rPr>
                    <w:t>落后产能或产能严重过剩行业的建设项目</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现有岸线内的非法采砂活动、非法码头应开展专项检查和整治</w:t>
                  </w:r>
                  <w:r>
                    <w:rPr>
                      <w:rFonts w:hint="eastAsia"/>
                      <w:color w:val="000000"/>
                    </w:rPr>
                    <w:t>，</w:t>
                  </w:r>
                  <w:r>
                    <w:rPr>
                      <w:color w:val="000000"/>
                    </w:rPr>
                    <w:t>规范采砂行为和码头经营活动。</w:t>
                  </w:r>
                </w:p>
              </w:tc>
              <w:tc>
                <w:tcPr>
                  <w:tcW w:w="1148" w:type="pct"/>
                  <w:vAlign w:val="center"/>
                </w:tcPr>
                <w:p>
                  <w:pPr>
                    <w:pStyle w:val="37"/>
                    <w:spacing w:line="240" w:lineRule="atLeast"/>
                    <w:jc w:val="left"/>
                    <w:rPr>
                      <w:color w:val="000000"/>
                    </w:rPr>
                  </w:pPr>
                  <w:r>
                    <w:rPr>
                      <w:rFonts w:hint="eastAsia"/>
                      <w:color w:val="000000"/>
                    </w:rPr>
                    <w:t>项目不属于</w:t>
                  </w:r>
                  <w:r>
                    <w:rPr>
                      <w:color w:val="000000"/>
                    </w:rPr>
                    <w:t>岸线内的非法采砂活动</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在重金属污染防控红线区域内</w:t>
                  </w:r>
                  <w:r>
                    <w:rPr>
                      <w:rFonts w:hint="eastAsia"/>
                      <w:color w:val="000000"/>
                    </w:rPr>
                    <w:t>，</w:t>
                  </w:r>
                  <w:r>
                    <w:rPr>
                      <w:color w:val="000000"/>
                    </w:rPr>
                    <w:t>禁止新建、改建、扩建增加重金属污染物排放的项目。严格控制重金属污染物排放项目的总体规模</w:t>
                  </w:r>
                  <w:r>
                    <w:rPr>
                      <w:rFonts w:hint="eastAsia"/>
                      <w:color w:val="000000"/>
                    </w:rPr>
                    <w:t>，</w:t>
                  </w:r>
                  <w:r>
                    <w:rPr>
                      <w:color w:val="000000"/>
                    </w:rPr>
                    <w:t>严格限制排放重金属污染物的投资项目。因重金属污染导致环境质量不能稳定达标区域</w:t>
                  </w:r>
                  <w:r>
                    <w:rPr>
                      <w:rFonts w:hint="eastAsia"/>
                      <w:color w:val="000000"/>
                    </w:rPr>
                    <w:t>，</w:t>
                  </w:r>
                  <w:r>
                    <w:rPr>
                      <w:color w:val="000000"/>
                    </w:rPr>
                    <w:t>禁止新建相关项目。现有的重金属排放企业</w:t>
                  </w:r>
                  <w:r>
                    <w:rPr>
                      <w:rFonts w:hint="eastAsia"/>
                      <w:color w:val="000000"/>
                    </w:rPr>
                    <w:t>，</w:t>
                  </w:r>
                  <w:r>
                    <w:rPr>
                      <w:color w:val="000000"/>
                    </w:rPr>
                    <w:t>要严格执行涉重金属排放建设项目周边安全防护距离相关规定。</w:t>
                  </w:r>
                </w:p>
              </w:tc>
              <w:tc>
                <w:tcPr>
                  <w:tcW w:w="1148" w:type="pct"/>
                  <w:vAlign w:val="center"/>
                </w:tcPr>
                <w:p>
                  <w:pPr>
                    <w:pStyle w:val="37"/>
                    <w:spacing w:line="240" w:lineRule="atLeast"/>
                    <w:jc w:val="left"/>
                    <w:rPr>
                      <w:color w:val="000000"/>
                    </w:rPr>
                  </w:pPr>
                  <w:r>
                    <w:rPr>
                      <w:rFonts w:hint="eastAsia"/>
                      <w:color w:val="000000"/>
                    </w:rPr>
                    <w:t>项目不在</w:t>
                  </w:r>
                  <w:r>
                    <w:rPr>
                      <w:color w:val="000000"/>
                    </w:rPr>
                    <w:t>重金属污染防控红线区域内</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造纸、焦化、氮肥、有色金属冶炼、印染、农副食品加工、原料药制造、制革、农药、电镀等重点行业建设项目新建、改建、扩建实施主要水污染排放总量等量或减量置换。</w:t>
                  </w:r>
                </w:p>
              </w:tc>
              <w:tc>
                <w:tcPr>
                  <w:tcW w:w="1148" w:type="pct"/>
                  <w:vAlign w:val="center"/>
                </w:tcPr>
                <w:p>
                  <w:pPr>
                    <w:pStyle w:val="37"/>
                    <w:spacing w:line="240" w:lineRule="atLeast"/>
                    <w:jc w:val="left"/>
                    <w:rPr>
                      <w:color w:val="000000"/>
                    </w:rPr>
                  </w:pPr>
                  <w:r>
                    <w:rPr>
                      <w:rFonts w:hint="eastAsia"/>
                      <w:color w:val="000000"/>
                    </w:rPr>
                    <w:t>项目不属于</w:t>
                  </w:r>
                  <w:r>
                    <w:rPr>
                      <w:color w:val="000000"/>
                    </w:rPr>
                    <w:t>造纸、焦化、氮肥、有色金属冶炼、印染、农副食品加工、原料药制造、制革、农药、电镀</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restart"/>
                  <w:vAlign w:val="center"/>
                </w:tcPr>
                <w:p>
                  <w:pPr>
                    <w:pStyle w:val="37"/>
                    <w:spacing w:line="240" w:lineRule="atLeast"/>
                    <w:rPr>
                      <w:color w:val="000000"/>
                    </w:rPr>
                  </w:pPr>
                  <w:r>
                    <w:rPr>
                      <w:rFonts w:hint="eastAsia"/>
                      <w:color w:val="000000"/>
                    </w:rPr>
                    <w:t>不符合空间布局要求活动的退出要求</w:t>
                  </w:r>
                </w:p>
              </w:tc>
              <w:tc>
                <w:tcPr>
                  <w:tcW w:w="2948" w:type="pct"/>
                  <w:vAlign w:val="center"/>
                </w:tcPr>
                <w:p>
                  <w:pPr>
                    <w:pStyle w:val="37"/>
                    <w:spacing w:line="240" w:lineRule="atLeast"/>
                    <w:jc w:val="left"/>
                    <w:rPr>
                      <w:color w:val="000000"/>
                    </w:rPr>
                  </w:pPr>
                  <w:r>
                    <w:rPr>
                      <w:color w:val="000000"/>
                    </w:rPr>
                    <w:t>现有自然保护区核心区及缓冲区内已有的各类生产设施以及危化品、石油类泊位应逐步拆除。</w:t>
                  </w:r>
                </w:p>
              </w:tc>
              <w:tc>
                <w:tcPr>
                  <w:tcW w:w="1148" w:type="pct"/>
                  <w:vAlign w:val="center"/>
                </w:tcPr>
                <w:p>
                  <w:pPr>
                    <w:pStyle w:val="37"/>
                    <w:spacing w:line="240" w:lineRule="atLeast"/>
                    <w:jc w:val="left"/>
                    <w:rPr>
                      <w:color w:val="000000"/>
                    </w:rPr>
                  </w:pPr>
                  <w:r>
                    <w:rPr>
                      <w:rFonts w:hint="eastAsia"/>
                      <w:color w:val="000000"/>
                    </w:rPr>
                    <w:t>项目不在</w:t>
                  </w:r>
                  <w:r>
                    <w:rPr>
                      <w:color w:val="000000"/>
                    </w:rPr>
                    <w:t>自然保护区核心区及缓冲区内</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现有赣江和抚河南昌段及鄱阳湖岸线1公里范围内的落后化工产能项目必须依法关闭退出</w:t>
                  </w:r>
                  <w:r>
                    <w:rPr>
                      <w:rFonts w:hint="eastAsia"/>
                      <w:color w:val="000000"/>
                    </w:rPr>
                    <w:t>，</w:t>
                  </w:r>
                  <w:r>
                    <w:rPr>
                      <w:color w:val="000000"/>
                    </w:rPr>
                    <w:t>1公里范围内风险突出、无法实现就地改造的化工企业必须完成搬迁。</w:t>
                  </w:r>
                </w:p>
              </w:tc>
              <w:tc>
                <w:tcPr>
                  <w:tcW w:w="1148" w:type="pct"/>
                  <w:vAlign w:val="center"/>
                </w:tcPr>
                <w:p>
                  <w:pPr>
                    <w:pStyle w:val="37"/>
                    <w:spacing w:line="240" w:lineRule="atLeast"/>
                    <w:jc w:val="left"/>
                    <w:rPr>
                      <w:color w:val="000000"/>
                    </w:rPr>
                  </w:pPr>
                  <w:r>
                    <w:rPr>
                      <w:rFonts w:hint="eastAsia"/>
                      <w:color w:val="000000"/>
                    </w:rPr>
                    <w:t>项目不在</w:t>
                  </w:r>
                  <w:r>
                    <w:rPr>
                      <w:color w:val="000000"/>
                    </w:rPr>
                    <w:t>赣江和抚河南昌段及鄱阳湖岸线1公里范围内</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位于城镇人口密集区内</w:t>
                  </w:r>
                  <w:r>
                    <w:rPr>
                      <w:rFonts w:hint="eastAsia"/>
                      <w:color w:val="000000"/>
                    </w:rPr>
                    <w:t>，</w:t>
                  </w:r>
                  <w:r>
                    <w:rPr>
                      <w:color w:val="000000"/>
                    </w:rPr>
                    <w:t>安全、卫生防护距离不能满足相关要求和不符合规划的现有危险化学品生产企业限期退出或依法关停。</w:t>
                  </w:r>
                </w:p>
              </w:tc>
              <w:tc>
                <w:tcPr>
                  <w:tcW w:w="1148" w:type="pct"/>
                  <w:vAlign w:val="center"/>
                </w:tcPr>
                <w:p>
                  <w:pPr>
                    <w:pStyle w:val="37"/>
                    <w:spacing w:line="240" w:lineRule="atLeast"/>
                    <w:jc w:val="left"/>
                    <w:rPr>
                      <w:color w:val="000000"/>
                    </w:rPr>
                  </w:pPr>
                  <w:r>
                    <w:rPr>
                      <w:rFonts w:hint="eastAsia"/>
                      <w:color w:val="000000"/>
                    </w:rPr>
                    <w:t>项目</w:t>
                  </w:r>
                  <w:r>
                    <w:rPr>
                      <w:color w:val="000000"/>
                    </w:rPr>
                    <w:t>安全防护距离</w:t>
                  </w:r>
                  <w:r>
                    <w:rPr>
                      <w:rFonts w:hint="eastAsia"/>
                      <w:color w:val="000000"/>
                    </w:rPr>
                    <w:t>可</w:t>
                  </w:r>
                  <w:r>
                    <w:rPr>
                      <w:color w:val="000000"/>
                    </w:rPr>
                    <w:t>满足相关要求</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rFonts w:hint="eastAsia"/>
                      <w:color w:val="000000"/>
                    </w:rPr>
                    <w:t>“</w:t>
                  </w:r>
                  <w:r>
                    <w:rPr>
                      <w:color w:val="000000"/>
                    </w:rPr>
                    <w:t>五河一湖</w:t>
                  </w:r>
                  <w:r>
                    <w:rPr>
                      <w:rFonts w:hint="eastAsia"/>
                      <w:color w:val="000000"/>
                    </w:rPr>
                    <w:t>”</w:t>
                  </w:r>
                  <w:r>
                    <w:rPr>
                      <w:color w:val="000000"/>
                    </w:rPr>
                    <w:t>岸线延伸陆域1公里范围内禁止新建重化工项目，督促已有化工企业逐步搬迁进入合规园区。</w:t>
                  </w:r>
                </w:p>
              </w:tc>
              <w:tc>
                <w:tcPr>
                  <w:tcW w:w="1148" w:type="pct"/>
                  <w:vAlign w:val="center"/>
                </w:tcPr>
                <w:p>
                  <w:pPr>
                    <w:pStyle w:val="37"/>
                    <w:spacing w:line="240" w:lineRule="atLeast"/>
                    <w:jc w:val="left"/>
                    <w:rPr>
                      <w:color w:val="000000"/>
                    </w:rPr>
                  </w:pPr>
                  <w:r>
                    <w:rPr>
                      <w:rFonts w:hint="eastAsia"/>
                      <w:color w:val="000000"/>
                    </w:rPr>
                    <w:t>项目不在“</w:t>
                  </w:r>
                  <w:r>
                    <w:rPr>
                      <w:color w:val="000000"/>
                    </w:rPr>
                    <w:t>五河一湖</w:t>
                  </w:r>
                  <w:r>
                    <w:rPr>
                      <w:rFonts w:hint="eastAsia"/>
                      <w:color w:val="000000"/>
                    </w:rPr>
                    <w:t>”</w:t>
                  </w:r>
                  <w:r>
                    <w:rPr>
                      <w:color w:val="000000"/>
                    </w:rPr>
                    <w:t>岸线延伸陆域1公里范围内</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深入开展非法采砂整治工作。严格采砂管理</w:t>
                  </w:r>
                  <w:r>
                    <w:rPr>
                      <w:rFonts w:hint="eastAsia"/>
                      <w:color w:val="000000"/>
                    </w:rPr>
                    <w:t>，</w:t>
                  </w:r>
                  <w:r>
                    <w:rPr>
                      <w:color w:val="000000"/>
                    </w:rPr>
                    <w:t>全面规范采砂行为</w:t>
                  </w:r>
                  <w:r>
                    <w:rPr>
                      <w:rFonts w:hint="eastAsia"/>
                      <w:color w:val="000000"/>
                    </w:rPr>
                    <w:t>，</w:t>
                  </w:r>
                  <w:r>
                    <w:rPr>
                      <w:color w:val="000000"/>
                    </w:rPr>
                    <w:t>坚决打击非法开采。</w:t>
                  </w:r>
                </w:p>
              </w:tc>
              <w:tc>
                <w:tcPr>
                  <w:tcW w:w="1148" w:type="pct"/>
                  <w:vAlign w:val="center"/>
                </w:tcPr>
                <w:p>
                  <w:pPr>
                    <w:pStyle w:val="37"/>
                    <w:spacing w:line="240" w:lineRule="atLeast"/>
                    <w:jc w:val="left"/>
                    <w:rPr>
                      <w:color w:val="000000"/>
                    </w:rPr>
                  </w:pPr>
                  <w:r>
                    <w:rPr>
                      <w:rFonts w:hint="eastAsia"/>
                      <w:color w:val="000000"/>
                    </w:rPr>
                    <w:t>项目不涉及采砂行为。</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饮用水水源一级保护区内已建成的与供水设施和保护水源无关的建设项目</w:t>
                  </w:r>
                  <w:r>
                    <w:rPr>
                      <w:rFonts w:hint="eastAsia"/>
                      <w:color w:val="000000"/>
                    </w:rPr>
                    <w:t>，</w:t>
                  </w:r>
                  <w:r>
                    <w:rPr>
                      <w:color w:val="000000"/>
                    </w:rPr>
                    <w:t>由县级以上人民政府责令拆除或者关阔。饮用水水源二级保护区内已建成的排放污染物的建设项目</w:t>
                  </w:r>
                  <w:r>
                    <w:rPr>
                      <w:rFonts w:hint="eastAsia"/>
                      <w:color w:val="000000"/>
                    </w:rPr>
                    <w:t>，</w:t>
                  </w:r>
                  <w:r>
                    <w:rPr>
                      <w:color w:val="000000"/>
                    </w:rPr>
                    <w:t>由县级以上人民政府</w:t>
                  </w:r>
                  <w:r>
                    <w:rPr>
                      <w:rFonts w:hint="eastAsia"/>
                      <w:color w:val="000000"/>
                    </w:rPr>
                    <w:t>责令</w:t>
                  </w:r>
                  <w:r>
                    <w:rPr>
                      <w:color w:val="000000"/>
                    </w:rPr>
                    <w:t>拆除或者关闭</w:t>
                  </w:r>
                  <w:r>
                    <w:rPr>
                      <w:rFonts w:hint="eastAsia"/>
                      <w:color w:val="000000"/>
                    </w:rPr>
                    <w:t>，</w:t>
                  </w:r>
                  <w:r>
                    <w:rPr>
                      <w:color w:val="000000"/>
                    </w:rPr>
                    <w:t>对不符合产业政策要求的落后产能和"僵尸企业"</w:t>
                  </w:r>
                  <w:r>
                    <w:rPr>
                      <w:rFonts w:hint="eastAsia"/>
                      <w:color w:val="000000"/>
                    </w:rPr>
                    <w:t>，</w:t>
                  </w:r>
                  <w:r>
                    <w:rPr>
                      <w:color w:val="000000"/>
                    </w:rPr>
                    <w:t>以及环境风险、安全隐患突出而又无法搬迁或转型企业</w:t>
                  </w:r>
                  <w:r>
                    <w:rPr>
                      <w:rFonts w:hint="eastAsia"/>
                      <w:color w:val="000000"/>
                    </w:rPr>
                    <w:t>，</w:t>
                  </w:r>
                  <w:r>
                    <w:rPr>
                      <w:color w:val="000000"/>
                    </w:rPr>
                    <w:t>依法实施关停。</w:t>
                  </w:r>
                </w:p>
              </w:tc>
              <w:tc>
                <w:tcPr>
                  <w:tcW w:w="1148" w:type="pct"/>
                  <w:vAlign w:val="center"/>
                </w:tcPr>
                <w:p>
                  <w:pPr>
                    <w:pStyle w:val="37"/>
                    <w:spacing w:line="240" w:lineRule="atLeast"/>
                    <w:jc w:val="left"/>
                    <w:rPr>
                      <w:color w:val="000000"/>
                    </w:rPr>
                  </w:pPr>
                  <w:r>
                    <w:rPr>
                      <w:rFonts w:hint="eastAsia"/>
                      <w:color w:val="000000"/>
                    </w:rPr>
                    <w:t>项目不涉及饮用水水源保护区。</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现有主城区或规划为商住、文教的区域的工业企业限期退出</w:t>
                  </w:r>
                  <w:r>
                    <w:rPr>
                      <w:rFonts w:hint="eastAsia"/>
                      <w:color w:val="000000"/>
                    </w:rPr>
                    <w:t>；</w:t>
                  </w:r>
                  <w:r>
                    <w:rPr>
                      <w:color w:val="000000"/>
                    </w:rPr>
                    <w:t>城市建成区内的现有建材、有色金属、造纸、印染、原料药制造、化工等污染较重或严重影响环境的企业应有序搬迁、改造或依法关闭。</w:t>
                  </w:r>
                </w:p>
              </w:tc>
              <w:tc>
                <w:tcPr>
                  <w:tcW w:w="1148" w:type="pct"/>
                  <w:vAlign w:val="center"/>
                </w:tcPr>
                <w:p>
                  <w:pPr>
                    <w:pStyle w:val="37"/>
                    <w:spacing w:line="240" w:lineRule="atLeast"/>
                    <w:jc w:val="left"/>
                    <w:rPr>
                      <w:color w:val="000000"/>
                    </w:rPr>
                  </w:pPr>
                  <w:r>
                    <w:rPr>
                      <w:rFonts w:hint="eastAsia"/>
                      <w:color w:val="000000"/>
                    </w:rPr>
                    <w:t>项目不在</w:t>
                  </w:r>
                  <w:r>
                    <w:rPr>
                      <w:color w:val="000000"/>
                    </w:rPr>
                    <w:t>城市建成区内</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全面取缔河湖水库网箱养殖</w:t>
                  </w:r>
                  <w:r>
                    <w:rPr>
                      <w:rFonts w:hint="eastAsia"/>
                      <w:color w:val="000000"/>
                    </w:rPr>
                    <w:t>，</w:t>
                  </w:r>
                  <w:r>
                    <w:rPr>
                      <w:color w:val="000000"/>
                    </w:rPr>
                    <w:t>禁止湖泊水库投放无机肥、有机肥和生物复合肥养殖。</w:t>
                  </w:r>
                </w:p>
              </w:tc>
              <w:tc>
                <w:tcPr>
                  <w:tcW w:w="1148" w:type="pct"/>
                  <w:vAlign w:val="center"/>
                </w:tcPr>
                <w:p>
                  <w:pPr>
                    <w:pStyle w:val="37"/>
                    <w:spacing w:line="240" w:lineRule="atLeast"/>
                    <w:jc w:val="left"/>
                    <w:rPr>
                      <w:color w:val="000000"/>
                    </w:rPr>
                  </w:pPr>
                  <w:r>
                    <w:rPr>
                      <w:rFonts w:hint="eastAsia"/>
                      <w:color w:val="000000"/>
                    </w:rPr>
                    <w:t>项目不涉及</w:t>
                  </w:r>
                  <w:r>
                    <w:rPr>
                      <w:color w:val="000000"/>
                    </w:rPr>
                    <w:t>无机肥、有机肥和生物复合肥养殖</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有机化工、医药(化学原料药制造)、表面涂装、塑料制品、包装印刷行业不符合生态环境功能区划、环境功能区划</w:t>
                  </w:r>
                  <w:r>
                    <w:rPr>
                      <w:rFonts w:hint="eastAsia"/>
                      <w:color w:val="000000"/>
                    </w:rPr>
                    <w:t>，</w:t>
                  </w:r>
                  <w:r>
                    <w:rPr>
                      <w:color w:val="000000"/>
                    </w:rPr>
                    <w:t>大气环境防护距离和卫生防护距离不能满足要求的污染企业一律依法实施停产整治、限期搬迁或关闭。</w:t>
                  </w:r>
                </w:p>
              </w:tc>
              <w:tc>
                <w:tcPr>
                  <w:tcW w:w="1148" w:type="pct"/>
                  <w:vAlign w:val="center"/>
                </w:tcPr>
                <w:p>
                  <w:pPr>
                    <w:pStyle w:val="37"/>
                    <w:spacing w:line="240" w:lineRule="atLeast"/>
                    <w:jc w:val="left"/>
                    <w:rPr>
                      <w:color w:val="000000"/>
                    </w:rPr>
                  </w:pPr>
                  <w:r>
                    <w:rPr>
                      <w:rFonts w:hint="eastAsia"/>
                      <w:color w:val="000000"/>
                    </w:rPr>
                    <w:t>项目</w:t>
                  </w:r>
                  <w:r>
                    <w:rPr>
                      <w:color w:val="000000"/>
                    </w:rPr>
                    <w:t>符合生态环境功能区划、环境功能区划</w:t>
                  </w:r>
                  <w:r>
                    <w:rPr>
                      <w:rFonts w:hint="eastAsia"/>
                      <w:color w:val="000000"/>
                    </w:rPr>
                    <w:t>；不需设置</w:t>
                  </w:r>
                  <w:r>
                    <w:rPr>
                      <w:color w:val="000000"/>
                    </w:rPr>
                    <w:t>大气环境防护距离</w:t>
                  </w:r>
                  <w:r>
                    <w:rPr>
                      <w:rFonts w:hint="eastAsia"/>
                      <w:color w:val="000000"/>
                    </w:rPr>
                    <w:t>和</w:t>
                  </w:r>
                  <w:r>
                    <w:rPr>
                      <w:color w:val="000000"/>
                    </w:rPr>
                    <w:t>卫生防护距离</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restart"/>
                  <w:vAlign w:val="center"/>
                </w:tcPr>
                <w:p>
                  <w:pPr>
                    <w:pStyle w:val="37"/>
                    <w:spacing w:line="240" w:lineRule="atLeast"/>
                    <w:rPr>
                      <w:color w:val="000000"/>
                    </w:rPr>
                  </w:pPr>
                  <w:r>
                    <w:rPr>
                      <w:rFonts w:hint="eastAsia"/>
                      <w:color w:val="000000"/>
                    </w:rPr>
                    <w:t>污染物排放管控</w:t>
                  </w:r>
                </w:p>
              </w:tc>
              <w:tc>
                <w:tcPr>
                  <w:tcW w:w="452" w:type="pct"/>
                  <w:vMerge w:val="restart"/>
                  <w:vAlign w:val="center"/>
                </w:tcPr>
                <w:p>
                  <w:pPr>
                    <w:pStyle w:val="37"/>
                    <w:spacing w:line="240" w:lineRule="atLeast"/>
                    <w:rPr>
                      <w:color w:val="000000"/>
                    </w:rPr>
                  </w:pPr>
                  <w:r>
                    <w:rPr>
                      <w:rFonts w:hint="eastAsia"/>
                      <w:color w:val="000000"/>
                    </w:rPr>
                    <w:t>允许排放量要求</w:t>
                  </w:r>
                </w:p>
              </w:tc>
              <w:tc>
                <w:tcPr>
                  <w:tcW w:w="2948" w:type="pct"/>
                  <w:vAlign w:val="center"/>
                </w:tcPr>
                <w:p>
                  <w:pPr>
                    <w:pStyle w:val="37"/>
                    <w:spacing w:line="240" w:lineRule="atLeast"/>
                    <w:jc w:val="left"/>
                    <w:rPr>
                      <w:color w:val="000000"/>
                    </w:rPr>
                  </w:pPr>
                  <w:r>
                    <w:rPr>
                      <w:color w:val="000000"/>
                    </w:rPr>
                    <w:t>COD、氨氮、二氧化硫、氮氧化物、VOCs、温室气体等的排放量执行省级下达的管控指标要求</w:t>
                  </w:r>
                  <w:r>
                    <w:rPr>
                      <w:rFonts w:hint="eastAsia"/>
                      <w:color w:val="000000"/>
                    </w:rPr>
                    <w:t>，</w:t>
                  </w:r>
                  <w:r>
                    <w:rPr>
                      <w:color w:val="000000"/>
                    </w:rPr>
                    <w:t>300吨级以上规模(含)的货运港口、港区和码头以及所有旅游客运码头废水排放应达到《鄱阳湖生态经济区水污染物排放标准》规定的排放限值。</w:t>
                  </w:r>
                </w:p>
              </w:tc>
              <w:tc>
                <w:tcPr>
                  <w:tcW w:w="1148" w:type="pct"/>
                  <w:vAlign w:val="center"/>
                </w:tcPr>
                <w:p>
                  <w:pPr>
                    <w:pStyle w:val="37"/>
                    <w:spacing w:line="240" w:lineRule="atLeast"/>
                    <w:jc w:val="left"/>
                    <w:rPr>
                      <w:color w:val="000000"/>
                    </w:rPr>
                  </w:pPr>
                  <w:r>
                    <w:rPr>
                      <w:rFonts w:hint="eastAsia"/>
                      <w:color w:val="000000"/>
                    </w:rPr>
                    <w:t>项目无需补充申请总量。</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重点防控区域要坚持新增产能与淘汰产能"等量置换"或"减量置换的原则</w:t>
                  </w:r>
                  <w:r>
                    <w:rPr>
                      <w:rFonts w:hint="eastAsia"/>
                      <w:color w:val="000000"/>
                    </w:rPr>
                    <w:t>，</w:t>
                  </w:r>
                  <w:r>
                    <w:rPr>
                      <w:color w:val="000000"/>
                    </w:rPr>
                    <w:t>实行重点防控的重金属污染物排放总量控制制度。</w:t>
                  </w:r>
                </w:p>
              </w:tc>
              <w:tc>
                <w:tcPr>
                  <w:tcW w:w="1148" w:type="pct"/>
                  <w:vAlign w:val="center"/>
                </w:tcPr>
                <w:p>
                  <w:pPr>
                    <w:pStyle w:val="37"/>
                    <w:spacing w:line="240" w:lineRule="atLeast"/>
                    <w:jc w:val="left"/>
                    <w:rPr>
                      <w:color w:val="000000"/>
                    </w:rPr>
                  </w:pPr>
                  <w:r>
                    <w:rPr>
                      <w:rFonts w:hint="eastAsia"/>
                      <w:color w:val="000000"/>
                    </w:rPr>
                    <w:t>项目不涉及重金属污染物。</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restart"/>
                  <w:vAlign w:val="center"/>
                </w:tcPr>
                <w:p>
                  <w:pPr>
                    <w:pStyle w:val="37"/>
                    <w:spacing w:line="240" w:lineRule="atLeast"/>
                    <w:rPr>
                      <w:color w:val="000000"/>
                    </w:rPr>
                  </w:pPr>
                  <w:r>
                    <w:rPr>
                      <w:rFonts w:hint="eastAsia"/>
                      <w:color w:val="000000"/>
                    </w:rPr>
                    <w:t>现有源提标升级改造</w:t>
                  </w:r>
                </w:p>
              </w:tc>
              <w:tc>
                <w:tcPr>
                  <w:tcW w:w="2948" w:type="pct"/>
                  <w:vAlign w:val="center"/>
                </w:tcPr>
                <w:p>
                  <w:pPr>
                    <w:pStyle w:val="37"/>
                    <w:spacing w:line="240" w:lineRule="atLeast"/>
                    <w:jc w:val="left"/>
                    <w:rPr>
                      <w:color w:val="000000"/>
                    </w:rPr>
                  </w:pPr>
                  <w:r>
                    <w:rPr>
                      <w:color w:val="000000"/>
                    </w:rPr>
                    <w:t>县城及以上城镇生活污水处理厂执行</w:t>
                  </w:r>
                  <w:r>
                    <w:rPr>
                      <w:rFonts w:hint="eastAsia"/>
                      <w:color w:val="000000"/>
                    </w:rPr>
                    <w:t>一级B</w:t>
                  </w:r>
                  <w:r>
                    <w:rPr>
                      <w:color w:val="000000"/>
                    </w:rPr>
                    <w:t>排放标准。</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现有造纸、焦化、氮肥、印染、制药、制草行业应进一步推进清洁化改造工作。有色金属、农副食品加工、农药、电镀等重点行业企业按照法律法规要求</w:t>
                  </w:r>
                  <w:r>
                    <w:rPr>
                      <w:rFonts w:hint="eastAsia"/>
                      <w:color w:val="000000"/>
                    </w:rPr>
                    <w:t>，</w:t>
                  </w:r>
                  <w:r>
                    <w:rPr>
                      <w:color w:val="000000"/>
                    </w:rPr>
                    <w:t>按时完成清洁化改造。</w:t>
                  </w:r>
                </w:p>
              </w:tc>
              <w:tc>
                <w:tcPr>
                  <w:tcW w:w="1148" w:type="pct"/>
                  <w:vAlign w:val="center"/>
                </w:tcPr>
                <w:p>
                  <w:pPr>
                    <w:pStyle w:val="37"/>
                    <w:spacing w:line="240" w:lineRule="atLeast"/>
                    <w:jc w:val="left"/>
                    <w:rPr>
                      <w:color w:val="000000"/>
                    </w:rPr>
                  </w:pPr>
                  <w:r>
                    <w:rPr>
                      <w:rFonts w:hint="eastAsia"/>
                      <w:color w:val="000000"/>
                    </w:rPr>
                    <w:t>项目不属于</w:t>
                  </w:r>
                  <w:r>
                    <w:rPr>
                      <w:color w:val="000000"/>
                    </w:rPr>
                    <w:t>有色金属、农副食品加工、农药、电镀</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现有畜禽规模养殖场应加强配套治污设施改造</w:t>
                  </w:r>
                  <w:r>
                    <w:rPr>
                      <w:rFonts w:hint="eastAsia"/>
                      <w:color w:val="000000"/>
                    </w:rPr>
                    <w:t>，</w:t>
                  </w:r>
                  <w:r>
                    <w:rPr>
                      <w:color w:val="000000"/>
                    </w:rPr>
                    <w:t>提升配套质量</w:t>
                  </w:r>
                </w:p>
              </w:tc>
              <w:tc>
                <w:tcPr>
                  <w:tcW w:w="1148" w:type="pct"/>
                  <w:vAlign w:val="center"/>
                </w:tcPr>
                <w:p>
                  <w:pPr>
                    <w:pStyle w:val="37"/>
                    <w:spacing w:line="240" w:lineRule="atLeast"/>
                    <w:jc w:val="left"/>
                    <w:rPr>
                      <w:color w:val="000000"/>
                    </w:rPr>
                  </w:pPr>
                  <w:r>
                    <w:rPr>
                      <w:rFonts w:hint="eastAsia"/>
                      <w:color w:val="000000"/>
                    </w:rPr>
                    <w:t>项目不涉及</w:t>
                  </w:r>
                  <w:r>
                    <w:rPr>
                      <w:color w:val="000000"/>
                    </w:rPr>
                    <w:t>畜禽规模养殖场</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restart"/>
                  <w:vAlign w:val="center"/>
                </w:tcPr>
                <w:p>
                  <w:pPr>
                    <w:pStyle w:val="37"/>
                    <w:spacing w:line="240" w:lineRule="atLeast"/>
                    <w:rPr>
                      <w:color w:val="000000"/>
                    </w:rPr>
                  </w:pPr>
                  <w:r>
                    <w:rPr>
                      <w:rFonts w:hint="eastAsia"/>
                      <w:color w:val="000000"/>
                    </w:rPr>
                    <w:t>环境风险防控</w:t>
                  </w:r>
                </w:p>
              </w:tc>
              <w:tc>
                <w:tcPr>
                  <w:tcW w:w="452" w:type="pct"/>
                  <w:vMerge w:val="restart"/>
                  <w:vAlign w:val="center"/>
                </w:tcPr>
                <w:p>
                  <w:pPr>
                    <w:pStyle w:val="37"/>
                    <w:spacing w:line="240" w:lineRule="atLeast"/>
                    <w:rPr>
                      <w:color w:val="000000"/>
                    </w:rPr>
                  </w:pPr>
                  <w:r>
                    <w:rPr>
                      <w:rFonts w:hint="eastAsia"/>
                      <w:color w:val="000000"/>
                    </w:rPr>
                    <w:t>联防联控要求</w:t>
                  </w:r>
                </w:p>
              </w:tc>
              <w:tc>
                <w:tcPr>
                  <w:tcW w:w="2948" w:type="pct"/>
                  <w:vAlign w:val="center"/>
                </w:tcPr>
                <w:p>
                  <w:pPr>
                    <w:pStyle w:val="37"/>
                    <w:spacing w:line="240" w:lineRule="atLeast"/>
                    <w:jc w:val="left"/>
                    <w:rPr>
                      <w:color w:val="000000"/>
                    </w:rPr>
                  </w:pPr>
                  <w:r>
                    <w:rPr>
                      <w:color w:val="000000"/>
                    </w:rPr>
                    <w:t>加强饮用水水源地环境风险防范和应急预警</w:t>
                  </w:r>
                  <w:r>
                    <w:rPr>
                      <w:rFonts w:hint="eastAsia"/>
                      <w:color w:val="000000"/>
                    </w:rPr>
                    <w:t>，</w:t>
                  </w:r>
                  <w:r>
                    <w:rPr>
                      <w:color w:val="000000"/>
                    </w:rPr>
                    <w:t>建立跨区县和上下游沟通和联动机制</w:t>
                  </w:r>
                  <w:r>
                    <w:rPr>
                      <w:rFonts w:hint="eastAsia"/>
                      <w:color w:val="000000"/>
                    </w:rPr>
                    <w:t>，</w:t>
                  </w:r>
                  <w:r>
                    <w:rPr>
                      <w:color w:val="000000"/>
                    </w:rPr>
                    <w:t>重点防范突发性水污染事件。</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逐步建立总磷排放控制台账</w:t>
                  </w:r>
                  <w:r>
                    <w:rPr>
                      <w:rFonts w:hint="eastAsia"/>
                      <w:color w:val="000000"/>
                    </w:rPr>
                    <w:t>，</w:t>
                  </w:r>
                  <w:r>
                    <w:rPr>
                      <w:color w:val="000000"/>
                    </w:rPr>
                    <w:t>推进区域水体总磷联防联控。</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继续推进昌九区域大气污染联防联控工作机制</w:t>
                  </w:r>
                  <w:r>
                    <w:rPr>
                      <w:rFonts w:hint="eastAsia"/>
                      <w:color w:val="000000"/>
                    </w:rPr>
                    <w:t>，</w:t>
                  </w:r>
                  <w:r>
                    <w:rPr>
                      <w:color w:val="000000"/>
                    </w:rPr>
                    <w:t>推动昌九区域空气质量不断改善。</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restart"/>
                  <w:vAlign w:val="center"/>
                </w:tcPr>
                <w:p>
                  <w:pPr>
                    <w:pStyle w:val="37"/>
                    <w:spacing w:line="240" w:lineRule="atLeast"/>
                    <w:rPr>
                      <w:color w:val="000000"/>
                    </w:rPr>
                  </w:pPr>
                  <w:r>
                    <w:rPr>
                      <w:rFonts w:hint="eastAsia"/>
                      <w:color w:val="000000"/>
                    </w:rPr>
                    <w:t>其他环境风险防控要求</w:t>
                  </w:r>
                </w:p>
              </w:tc>
              <w:tc>
                <w:tcPr>
                  <w:tcW w:w="2948" w:type="pct"/>
                  <w:vAlign w:val="center"/>
                </w:tcPr>
                <w:p>
                  <w:pPr>
                    <w:pStyle w:val="37"/>
                    <w:spacing w:line="240" w:lineRule="atLeast"/>
                    <w:jc w:val="left"/>
                    <w:rPr>
                      <w:color w:val="000000"/>
                    </w:rPr>
                  </w:pPr>
                  <w:r>
                    <w:rPr>
                      <w:color w:val="000000"/>
                    </w:rPr>
                    <w:t>对于安全利用类农用地</w:t>
                  </w:r>
                  <w:r>
                    <w:rPr>
                      <w:rFonts w:hint="eastAsia"/>
                      <w:color w:val="000000"/>
                    </w:rPr>
                    <w:t>，</w:t>
                  </w:r>
                  <w:r>
                    <w:rPr>
                      <w:color w:val="000000"/>
                    </w:rPr>
                    <w:t>要制定实施受污染耕地安全利用方案</w:t>
                  </w:r>
                  <w:r>
                    <w:rPr>
                      <w:rFonts w:hint="eastAsia"/>
                      <w:color w:val="000000"/>
                    </w:rPr>
                    <w:t>，</w:t>
                  </w:r>
                  <w:r>
                    <w:rPr>
                      <w:color w:val="000000"/>
                    </w:rPr>
                    <w:t>采取农艺调控、替代种植等措施</w:t>
                  </w:r>
                  <w:r>
                    <w:rPr>
                      <w:rFonts w:hint="eastAsia"/>
                      <w:color w:val="000000"/>
                    </w:rPr>
                    <w:t>，</w:t>
                  </w:r>
                  <w:r>
                    <w:rPr>
                      <w:color w:val="000000"/>
                    </w:rPr>
                    <w:t>降低农产品超标风险。强化农产品质量检测。</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加强对严格管控类耕地的用途管理</w:t>
                  </w:r>
                  <w:r>
                    <w:rPr>
                      <w:rFonts w:hint="eastAsia"/>
                      <w:color w:val="000000"/>
                    </w:rPr>
                    <w:t>，</w:t>
                  </w:r>
                  <w:r>
                    <w:rPr>
                      <w:color w:val="000000"/>
                    </w:rPr>
                    <w:t>依法划定特定农产品禁止生产区域</w:t>
                  </w:r>
                  <w:r>
                    <w:rPr>
                      <w:rFonts w:hint="eastAsia"/>
                      <w:color w:val="000000"/>
                    </w:rPr>
                    <w:t>，</w:t>
                  </w:r>
                  <w:r>
                    <w:rPr>
                      <w:color w:val="000000"/>
                    </w:rPr>
                    <w:t>严禁种植食用农产品</w:t>
                  </w:r>
                  <w:r>
                    <w:rPr>
                      <w:rFonts w:hint="eastAsia"/>
                      <w:color w:val="000000"/>
                    </w:rPr>
                    <w:t>，</w:t>
                  </w:r>
                  <w:r>
                    <w:rPr>
                      <w:color w:val="000000"/>
                    </w:rPr>
                    <w:t>禁止在有毒有害物质超过规定标准的区域生产、捕捞、采集食用特定农产品和建立特定农产品生产基地。</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对于已污染地块</w:t>
                  </w:r>
                  <w:r>
                    <w:rPr>
                      <w:rFonts w:hint="eastAsia"/>
                      <w:color w:val="000000"/>
                    </w:rPr>
                    <w:t>，</w:t>
                  </w:r>
                  <w:r>
                    <w:rPr>
                      <w:color w:val="000000"/>
                    </w:rPr>
                    <w:t>应依法开展建设用地土壤环境状况调查、风险评估和污染地块治理与修复活动</w:t>
                  </w:r>
                  <w:r>
                    <w:rPr>
                      <w:rFonts w:hint="eastAsia"/>
                      <w:color w:val="000000"/>
                    </w:rPr>
                    <w:t>，</w:t>
                  </w:r>
                  <w:r>
                    <w:rPr>
                      <w:color w:val="000000"/>
                    </w:rPr>
                    <w:t>符合相应规划用地土壤环境质量要求的地块</w:t>
                  </w:r>
                  <w:r>
                    <w:rPr>
                      <w:rFonts w:hint="eastAsia"/>
                      <w:color w:val="000000"/>
                    </w:rPr>
                    <w:t>，</w:t>
                  </w:r>
                  <w:r>
                    <w:rPr>
                      <w:color w:val="000000"/>
                    </w:rPr>
                    <w:t>可进入用地程序。</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生产、存储危险化学品及产生大量废水的企业</w:t>
                  </w:r>
                  <w:r>
                    <w:rPr>
                      <w:rFonts w:hint="eastAsia"/>
                      <w:color w:val="000000"/>
                    </w:rPr>
                    <w:t>，</w:t>
                  </w:r>
                  <w:r>
                    <w:rPr>
                      <w:color w:val="000000"/>
                    </w:rPr>
                    <w:t>应配套有效措施</w:t>
                  </w:r>
                  <w:r>
                    <w:rPr>
                      <w:rFonts w:hint="eastAsia"/>
                      <w:color w:val="000000"/>
                    </w:rPr>
                    <w:t>，</w:t>
                  </w:r>
                  <w:r>
                    <w:rPr>
                      <w:color w:val="000000"/>
                    </w:rPr>
                    <w:t>防止因渗漏污染地下水、土壤</w:t>
                  </w:r>
                  <w:r>
                    <w:rPr>
                      <w:rFonts w:hint="eastAsia"/>
                      <w:color w:val="000000"/>
                    </w:rPr>
                    <w:t>，</w:t>
                  </w:r>
                  <w:r>
                    <w:rPr>
                      <w:color w:val="000000"/>
                    </w:rPr>
                    <w:t>以及因事故废水直排污染地表水体。</w:t>
                  </w:r>
                </w:p>
              </w:tc>
              <w:tc>
                <w:tcPr>
                  <w:tcW w:w="1148" w:type="pct"/>
                  <w:vAlign w:val="center"/>
                </w:tcPr>
                <w:p>
                  <w:pPr>
                    <w:pStyle w:val="37"/>
                    <w:spacing w:line="240" w:lineRule="atLeast"/>
                    <w:jc w:val="left"/>
                    <w:rPr>
                      <w:color w:val="000000"/>
                    </w:rPr>
                  </w:pPr>
                  <w:r>
                    <w:rPr>
                      <w:rFonts w:hint="eastAsia"/>
                      <w:color w:val="000000"/>
                    </w:rPr>
                    <w:t>项目已</w:t>
                  </w:r>
                  <w:r>
                    <w:rPr>
                      <w:color w:val="000000"/>
                    </w:rPr>
                    <w:t>配套有效措施</w:t>
                  </w:r>
                  <w:r>
                    <w:rPr>
                      <w:rFonts w:hint="eastAsia"/>
                      <w:color w:val="000000"/>
                    </w:rPr>
                    <w:t>，</w:t>
                  </w:r>
                  <w:r>
                    <w:rPr>
                      <w:color w:val="000000"/>
                    </w:rPr>
                    <w:t>防止因渗漏污染地下水、土壤</w:t>
                  </w:r>
                  <w:r>
                    <w:rPr>
                      <w:rFonts w:hint="eastAsia"/>
                      <w:color w:val="000000"/>
                    </w:rPr>
                    <w:t>，</w:t>
                  </w:r>
                  <w:r>
                    <w:rPr>
                      <w:color w:val="000000"/>
                    </w:rPr>
                    <w:t>以及因事故废水直排污染地表水体</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产生、利用或处置固体废物(含危险废物)的企业</w:t>
                  </w:r>
                  <w:r>
                    <w:rPr>
                      <w:rFonts w:hint="eastAsia"/>
                      <w:color w:val="000000"/>
                    </w:rPr>
                    <w:t>，</w:t>
                  </w:r>
                  <w:r>
                    <w:rPr>
                      <w:color w:val="000000"/>
                    </w:rPr>
                    <w:t>在贮存、转移、利用、处置固体废物(含危险废物)过程中</w:t>
                  </w:r>
                  <w:r>
                    <w:rPr>
                      <w:rFonts w:hint="eastAsia"/>
                      <w:color w:val="000000"/>
                    </w:rPr>
                    <w:t>，</w:t>
                  </w:r>
                  <w:r>
                    <w:rPr>
                      <w:color w:val="000000"/>
                    </w:rPr>
                    <w:t>应配套防扬散、防流失、防渗漏及其他防止污染环境的措施。</w:t>
                  </w:r>
                </w:p>
              </w:tc>
              <w:tc>
                <w:tcPr>
                  <w:tcW w:w="1148" w:type="pct"/>
                  <w:vAlign w:val="center"/>
                </w:tcPr>
                <w:p>
                  <w:pPr>
                    <w:pStyle w:val="37"/>
                    <w:spacing w:line="240" w:lineRule="atLeast"/>
                    <w:jc w:val="left"/>
                    <w:rPr>
                      <w:color w:val="000000"/>
                    </w:rPr>
                  </w:pPr>
                  <w:r>
                    <w:rPr>
                      <w:rFonts w:hint="eastAsia"/>
                      <w:color w:val="000000"/>
                    </w:rPr>
                    <w:t>项目</w:t>
                  </w:r>
                  <w:r>
                    <w:rPr>
                      <w:color w:val="000000"/>
                    </w:rPr>
                    <w:t>配套防扬散、防流失、防渗漏及其他防止污染环境的措施</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restart"/>
                  <w:vAlign w:val="center"/>
                </w:tcPr>
                <w:p>
                  <w:pPr>
                    <w:pStyle w:val="37"/>
                    <w:spacing w:line="240" w:lineRule="atLeast"/>
                    <w:rPr>
                      <w:color w:val="000000"/>
                    </w:rPr>
                  </w:pPr>
                  <w:r>
                    <w:rPr>
                      <w:rFonts w:hint="eastAsia"/>
                      <w:color w:val="000000"/>
                    </w:rPr>
                    <w:t>资源利用效率要求</w:t>
                  </w:r>
                </w:p>
              </w:tc>
              <w:tc>
                <w:tcPr>
                  <w:tcW w:w="452" w:type="pct"/>
                  <w:vAlign w:val="center"/>
                </w:tcPr>
                <w:p>
                  <w:pPr>
                    <w:pStyle w:val="37"/>
                    <w:spacing w:line="240" w:lineRule="atLeast"/>
                    <w:rPr>
                      <w:color w:val="000000"/>
                    </w:rPr>
                  </w:pPr>
                  <w:r>
                    <w:rPr>
                      <w:rFonts w:hint="eastAsia"/>
                      <w:color w:val="000000"/>
                    </w:rPr>
                    <w:t>水资源利用总量要求</w:t>
                  </w:r>
                </w:p>
              </w:tc>
              <w:tc>
                <w:tcPr>
                  <w:tcW w:w="2948" w:type="pct"/>
                  <w:vAlign w:val="center"/>
                </w:tcPr>
                <w:p>
                  <w:pPr>
                    <w:pStyle w:val="37"/>
                    <w:spacing w:line="240" w:lineRule="atLeast"/>
                    <w:jc w:val="left"/>
                    <w:rPr>
                      <w:color w:val="000000"/>
                    </w:rPr>
                  </w:pPr>
                  <w:r>
                    <w:rPr>
                      <w:color w:val="000000"/>
                    </w:rPr>
                    <w:t>南昌市区域用水总量、万元GDP用水量、万元工业增加值用水量执行省级下达的管控指标要求。2035年区域用水总量不得超过35.10亿m²</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Align w:val="center"/>
                </w:tcPr>
                <w:p>
                  <w:pPr>
                    <w:pStyle w:val="37"/>
                    <w:spacing w:line="240" w:lineRule="atLeast"/>
                    <w:rPr>
                      <w:color w:val="000000"/>
                    </w:rPr>
                  </w:pPr>
                  <w:r>
                    <w:rPr>
                      <w:rFonts w:hint="eastAsia"/>
                      <w:color w:val="000000"/>
                    </w:rPr>
                    <w:t>地下水开采要求</w:t>
                  </w:r>
                </w:p>
              </w:tc>
              <w:tc>
                <w:tcPr>
                  <w:tcW w:w="2948" w:type="pct"/>
                  <w:vAlign w:val="center"/>
                </w:tcPr>
                <w:p>
                  <w:pPr>
                    <w:pStyle w:val="37"/>
                    <w:spacing w:line="240" w:lineRule="atLeast"/>
                    <w:jc w:val="left"/>
                    <w:rPr>
                      <w:color w:val="000000"/>
                    </w:rPr>
                  </w:pPr>
                  <w:r>
                    <w:rPr>
                      <w:color w:val="000000"/>
                    </w:rPr>
                    <w:t>严格控制开采深层承压水</w:t>
                  </w:r>
                  <w:r>
                    <w:rPr>
                      <w:rFonts w:hint="eastAsia"/>
                      <w:color w:val="000000"/>
                    </w:rPr>
                    <w:t>，</w:t>
                  </w:r>
                  <w:r>
                    <w:rPr>
                      <w:color w:val="000000"/>
                    </w:rPr>
                    <w:t>地热水、矿泉水开发应严格实行取水许可和采矿许可。</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restart"/>
                  <w:vAlign w:val="center"/>
                </w:tcPr>
                <w:p>
                  <w:pPr>
                    <w:pStyle w:val="37"/>
                    <w:spacing w:line="240" w:lineRule="atLeast"/>
                    <w:rPr>
                      <w:color w:val="000000"/>
                    </w:rPr>
                  </w:pPr>
                  <w:r>
                    <w:rPr>
                      <w:rFonts w:hint="eastAsia"/>
                      <w:color w:val="000000"/>
                    </w:rPr>
                    <w:t>能源利用总量要求</w:t>
                  </w:r>
                </w:p>
              </w:tc>
              <w:tc>
                <w:tcPr>
                  <w:tcW w:w="2948" w:type="pct"/>
                  <w:vAlign w:val="center"/>
                </w:tcPr>
                <w:p>
                  <w:pPr>
                    <w:pStyle w:val="37"/>
                    <w:spacing w:line="240" w:lineRule="atLeast"/>
                    <w:jc w:val="left"/>
                    <w:rPr>
                      <w:color w:val="000000"/>
                    </w:rPr>
                  </w:pPr>
                  <w:r>
                    <w:rPr>
                      <w:color w:val="000000"/>
                    </w:rPr>
                    <w:t>逐年降低全市煤炭消费比重</w:t>
                  </w:r>
                  <w:r>
                    <w:rPr>
                      <w:rFonts w:hint="eastAsia"/>
                      <w:color w:val="000000"/>
                    </w:rPr>
                    <w:t>，</w:t>
                  </w:r>
                  <w:r>
                    <w:rPr>
                      <w:color w:val="000000"/>
                    </w:rPr>
                    <w:t>逐年提高天然气占一次能源消费比重。</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能源消费总量、规模以上工业企业单位工业增加值能耗执行省级下达的管控指标要求</w:t>
                  </w:r>
                  <w:r>
                    <w:rPr>
                      <w:rFonts w:hint="eastAsia"/>
                      <w:color w:val="000000"/>
                    </w:rPr>
                    <w:t>。</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restart"/>
                  <w:vAlign w:val="center"/>
                </w:tcPr>
                <w:p>
                  <w:pPr>
                    <w:pStyle w:val="37"/>
                    <w:spacing w:line="240" w:lineRule="atLeast"/>
                    <w:rPr>
                      <w:color w:val="000000"/>
                    </w:rPr>
                  </w:pPr>
                  <w:r>
                    <w:rPr>
                      <w:rFonts w:hint="eastAsia"/>
                      <w:color w:val="000000"/>
                    </w:rPr>
                    <w:t>禁燃区要求</w:t>
                  </w:r>
                </w:p>
              </w:tc>
              <w:tc>
                <w:tcPr>
                  <w:tcW w:w="2948" w:type="pct"/>
                  <w:vAlign w:val="center"/>
                </w:tcPr>
                <w:p>
                  <w:pPr>
                    <w:pStyle w:val="37"/>
                    <w:spacing w:line="240" w:lineRule="atLeast"/>
                    <w:jc w:val="left"/>
                    <w:rPr>
                      <w:color w:val="000000"/>
                    </w:rPr>
                  </w:pPr>
                  <w:r>
                    <w:rPr>
                      <w:color w:val="000000"/>
                    </w:rPr>
                    <w:t>南昌县、进贤县、安义县应逐步划定辖区禁燃区范围</w:t>
                  </w:r>
                  <w:r>
                    <w:rPr>
                      <w:rFonts w:hint="eastAsia"/>
                      <w:color w:val="000000"/>
                    </w:rPr>
                    <w:t>。</w:t>
                  </w:r>
                </w:p>
              </w:tc>
              <w:tc>
                <w:tcPr>
                  <w:tcW w:w="1148" w:type="pct"/>
                  <w:vAlign w:val="center"/>
                </w:tcPr>
                <w:p>
                  <w:pPr>
                    <w:pStyle w:val="37"/>
                    <w:spacing w:line="240" w:lineRule="atLeast"/>
                    <w:rPr>
                      <w:color w:val="000000"/>
                    </w:rPr>
                  </w:pP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 w:type="pct"/>
                  <w:vMerge w:val="continue"/>
                  <w:vAlign w:val="center"/>
                </w:tcPr>
                <w:p>
                  <w:pPr>
                    <w:pStyle w:val="37"/>
                    <w:spacing w:line="240" w:lineRule="atLeast"/>
                    <w:rPr>
                      <w:color w:val="000000"/>
                    </w:rPr>
                  </w:pPr>
                </w:p>
              </w:tc>
              <w:tc>
                <w:tcPr>
                  <w:tcW w:w="452" w:type="pct"/>
                  <w:vMerge w:val="continue"/>
                  <w:vAlign w:val="center"/>
                </w:tcPr>
                <w:p>
                  <w:pPr>
                    <w:pStyle w:val="37"/>
                    <w:spacing w:line="240" w:lineRule="atLeast"/>
                    <w:rPr>
                      <w:color w:val="000000"/>
                    </w:rPr>
                  </w:pPr>
                </w:p>
              </w:tc>
              <w:tc>
                <w:tcPr>
                  <w:tcW w:w="2948" w:type="pct"/>
                  <w:vAlign w:val="center"/>
                </w:tcPr>
                <w:p>
                  <w:pPr>
                    <w:pStyle w:val="37"/>
                    <w:spacing w:line="240" w:lineRule="atLeast"/>
                    <w:jc w:val="left"/>
                    <w:rPr>
                      <w:color w:val="000000"/>
                    </w:rPr>
                  </w:pPr>
                  <w:r>
                    <w:rPr>
                      <w:color w:val="000000"/>
                    </w:rPr>
                    <w:t>禁止在划定的高污染燃料禁燃区燃用高污染燃料</w:t>
                  </w:r>
                  <w:r>
                    <w:rPr>
                      <w:rFonts w:hint="eastAsia"/>
                      <w:color w:val="000000"/>
                    </w:rPr>
                    <w:t>，</w:t>
                  </w:r>
                  <w:r>
                    <w:rPr>
                      <w:color w:val="000000"/>
                    </w:rPr>
                    <w:t>新建、扩建燃用高污染燃料的项目和设施</w:t>
                  </w:r>
                  <w:r>
                    <w:rPr>
                      <w:rFonts w:hint="eastAsia"/>
                      <w:color w:val="000000"/>
                    </w:rPr>
                    <w:t>；</w:t>
                  </w:r>
                  <w:r>
                    <w:rPr>
                      <w:color w:val="000000"/>
                    </w:rPr>
                    <w:t>禁燃区内现有使用高污染燃料的区域应分期分批次淘汰或实施清洁能源改造。</w:t>
                  </w:r>
                </w:p>
              </w:tc>
              <w:tc>
                <w:tcPr>
                  <w:tcW w:w="1148" w:type="pct"/>
                  <w:vAlign w:val="center"/>
                </w:tcPr>
                <w:p>
                  <w:pPr>
                    <w:pStyle w:val="37"/>
                    <w:spacing w:line="240" w:lineRule="atLeast"/>
                    <w:jc w:val="left"/>
                    <w:rPr>
                      <w:color w:val="000000"/>
                    </w:rPr>
                  </w:pPr>
                  <w:r>
                    <w:rPr>
                      <w:rFonts w:hint="eastAsia"/>
                      <w:color w:val="000000"/>
                    </w:rPr>
                    <w:t>项目不属于</w:t>
                  </w:r>
                  <w:r>
                    <w:rPr>
                      <w:color w:val="000000"/>
                    </w:rPr>
                    <w:t>燃用高污染燃料</w:t>
                  </w:r>
                  <w:r>
                    <w:rPr>
                      <w:rFonts w:hint="eastAsia"/>
                      <w:color w:val="000000"/>
                    </w:rPr>
                    <w:t>。</w:t>
                  </w:r>
                </w:p>
              </w:tc>
              <w:tc>
                <w:tcPr>
                  <w:tcW w:w="261" w:type="pct"/>
                  <w:vAlign w:val="center"/>
                </w:tcPr>
                <w:p>
                  <w:pPr>
                    <w:pStyle w:val="37"/>
                    <w:spacing w:line="240" w:lineRule="atLeast"/>
                    <w:rPr>
                      <w:color w:val="000000"/>
                    </w:rPr>
                  </w:pPr>
                  <w:r>
                    <w:rPr>
                      <w:rFonts w:hint="eastAsia"/>
                      <w:color w:val="000000"/>
                    </w:rPr>
                    <w:t>符合</w:t>
                  </w:r>
                </w:p>
              </w:tc>
            </w:tr>
          </w:tbl>
          <w:p>
            <w:pPr>
              <w:pStyle w:val="38"/>
              <w:rPr>
                <w:color w:val="000000"/>
              </w:rPr>
            </w:pPr>
            <w:r>
              <w:rPr>
                <w:rFonts w:hint="eastAsia"/>
                <w:color w:val="000000"/>
              </w:rPr>
              <w:t>表1-12  扩建项目与小蓝经济开发区（ZH36012120006）生态环境准入清单相符性分析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732"/>
              <w:gridCol w:w="1196"/>
              <w:gridCol w:w="552"/>
              <w:gridCol w:w="4751"/>
              <w:gridCol w:w="3481"/>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1" w:type="pct"/>
                  <w:vAlign w:val="center"/>
                </w:tcPr>
                <w:p>
                  <w:pPr>
                    <w:pStyle w:val="37"/>
                    <w:spacing w:line="240" w:lineRule="atLeast"/>
                    <w:rPr>
                      <w:b/>
                      <w:bCs/>
                      <w:color w:val="000000"/>
                      <w:kern w:val="2"/>
                    </w:rPr>
                  </w:pPr>
                  <w:r>
                    <w:rPr>
                      <w:b/>
                      <w:bCs/>
                      <w:color w:val="000000"/>
                      <w:kern w:val="2"/>
                    </w:rPr>
                    <w:t>维度</w:t>
                  </w:r>
                </w:p>
              </w:tc>
              <w:tc>
                <w:tcPr>
                  <w:tcW w:w="775" w:type="pct"/>
                  <w:gridSpan w:val="2"/>
                  <w:vAlign w:val="center"/>
                </w:tcPr>
                <w:p>
                  <w:pPr>
                    <w:pStyle w:val="37"/>
                    <w:spacing w:line="240" w:lineRule="atLeast"/>
                    <w:rPr>
                      <w:b/>
                      <w:bCs/>
                      <w:color w:val="000000"/>
                      <w:kern w:val="2"/>
                    </w:rPr>
                  </w:pPr>
                  <w:r>
                    <w:rPr>
                      <w:b/>
                      <w:bCs/>
                      <w:color w:val="000000"/>
                      <w:kern w:val="2"/>
                    </w:rPr>
                    <w:t>清单编制要求</w:t>
                  </w:r>
                </w:p>
              </w:tc>
              <w:tc>
                <w:tcPr>
                  <w:tcW w:w="222" w:type="pct"/>
                  <w:vAlign w:val="center"/>
                </w:tcPr>
                <w:p>
                  <w:pPr>
                    <w:pStyle w:val="37"/>
                    <w:spacing w:line="240" w:lineRule="atLeast"/>
                    <w:rPr>
                      <w:b/>
                      <w:bCs/>
                      <w:color w:val="000000"/>
                      <w:kern w:val="2"/>
                    </w:rPr>
                  </w:pPr>
                  <w:r>
                    <w:rPr>
                      <w:b/>
                      <w:bCs/>
                      <w:color w:val="000000"/>
                      <w:kern w:val="2"/>
                    </w:rPr>
                    <w:t>序号</w:t>
                  </w:r>
                </w:p>
              </w:tc>
              <w:tc>
                <w:tcPr>
                  <w:tcW w:w="1911" w:type="pct"/>
                  <w:vAlign w:val="center"/>
                </w:tcPr>
                <w:p>
                  <w:pPr>
                    <w:pStyle w:val="37"/>
                    <w:spacing w:line="240" w:lineRule="atLeast"/>
                    <w:rPr>
                      <w:b/>
                      <w:bCs/>
                      <w:color w:val="000000"/>
                      <w:kern w:val="2"/>
                    </w:rPr>
                  </w:pPr>
                  <w:r>
                    <w:rPr>
                      <w:b/>
                      <w:bCs/>
                      <w:color w:val="000000"/>
                      <w:kern w:val="2"/>
                    </w:rPr>
                    <w:t>准入要求</w:t>
                  </w:r>
                </w:p>
              </w:tc>
              <w:tc>
                <w:tcPr>
                  <w:tcW w:w="1400" w:type="pct"/>
                  <w:vAlign w:val="center"/>
                </w:tcPr>
                <w:p>
                  <w:pPr>
                    <w:pStyle w:val="37"/>
                    <w:spacing w:line="240" w:lineRule="atLeast"/>
                    <w:rPr>
                      <w:b/>
                      <w:bCs/>
                      <w:color w:val="000000"/>
                      <w:kern w:val="2"/>
                    </w:rPr>
                  </w:pPr>
                  <w:r>
                    <w:rPr>
                      <w:rFonts w:hint="eastAsia"/>
                      <w:b/>
                      <w:bCs/>
                      <w:color w:val="000000"/>
                      <w:kern w:val="2"/>
                    </w:rPr>
                    <w:t>项目情况</w:t>
                  </w:r>
                </w:p>
              </w:tc>
              <w:tc>
                <w:tcPr>
                  <w:tcW w:w="268" w:type="pct"/>
                  <w:vAlign w:val="center"/>
                </w:tcPr>
                <w:p>
                  <w:pPr>
                    <w:pStyle w:val="37"/>
                    <w:spacing w:line="240" w:lineRule="atLeast"/>
                    <w:rPr>
                      <w:b/>
                      <w:bCs/>
                      <w:color w:val="000000"/>
                      <w:kern w:val="2"/>
                    </w:rPr>
                  </w:pPr>
                  <w:r>
                    <w:rPr>
                      <w:rFonts w:hint="eastAsia"/>
                      <w:b/>
                      <w:bCs/>
                      <w:color w:val="000000"/>
                      <w:kern w:val="2"/>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vAlign w:val="center"/>
                </w:tcPr>
                <w:p>
                  <w:pPr>
                    <w:pStyle w:val="37"/>
                    <w:spacing w:line="240" w:lineRule="atLeast"/>
                    <w:rPr>
                      <w:color w:val="000000"/>
                      <w:kern w:val="2"/>
                    </w:rPr>
                  </w:pPr>
                  <w:r>
                    <w:rPr>
                      <w:color w:val="000000"/>
                      <w:kern w:val="2"/>
                    </w:rPr>
                    <w:t>空间布局约束</w:t>
                  </w:r>
                </w:p>
              </w:tc>
              <w:tc>
                <w:tcPr>
                  <w:tcW w:w="775" w:type="pct"/>
                  <w:gridSpan w:val="2"/>
                  <w:vAlign w:val="center"/>
                </w:tcPr>
                <w:p>
                  <w:pPr>
                    <w:pStyle w:val="37"/>
                    <w:spacing w:line="240" w:lineRule="atLeast"/>
                    <w:rPr>
                      <w:color w:val="000000"/>
                      <w:kern w:val="2"/>
                    </w:rPr>
                  </w:pPr>
                  <w:r>
                    <w:rPr>
                      <w:color w:val="000000"/>
                      <w:kern w:val="2"/>
                    </w:rPr>
                    <w:t>禁止开发建设活动的要求</w:t>
                  </w:r>
                </w:p>
              </w:tc>
              <w:tc>
                <w:tcPr>
                  <w:tcW w:w="222" w:type="pct"/>
                  <w:vAlign w:val="center"/>
                </w:tcPr>
                <w:p>
                  <w:pPr>
                    <w:pStyle w:val="37"/>
                    <w:spacing w:line="240" w:lineRule="atLeast"/>
                    <w:rPr>
                      <w:color w:val="000000"/>
                      <w:kern w:val="2"/>
                    </w:rPr>
                  </w:pPr>
                  <w:r>
                    <w:rPr>
                      <w:rFonts w:hint="eastAsia"/>
                      <w:color w:val="000000"/>
                      <w:kern w:val="2"/>
                    </w:rPr>
                    <w:t>1</w:t>
                  </w:r>
                </w:p>
              </w:tc>
              <w:tc>
                <w:tcPr>
                  <w:tcW w:w="1911" w:type="pct"/>
                  <w:vAlign w:val="center"/>
                </w:tcPr>
                <w:p>
                  <w:pPr>
                    <w:pStyle w:val="37"/>
                    <w:spacing w:line="240" w:lineRule="atLeast"/>
                    <w:jc w:val="left"/>
                    <w:rPr>
                      <w:color w:val="000000"/>
                      <w:kern w:val="2"/>
                    </w:rPr>
                  </w:pPr>
                  <w:r>
                    <w:rPr>
                      <w:rFonts w:hint="eastAsia"/>
                      <w:color w:val="000000"/>
                      <w:kern w:val="2"/>
                    </w:rPr>
                    <w:t>禁止新建不符合园区产业定位的企业。</w:t>
                  </w:r>
                </w:p>
              </w:tc>
              <w:tc>
                <w:tcPr>
                  <w:tcW w:w="1400" w:type="pct"/>
                  <w:vAlign w:val="center"/>
                </w:tcPr>
                <w:p>
                  <w:pPr>
                    <w:pStyle w:val="37"/>
                    <w:spacing w:line="240" w:lineRule="atLeast"/>
                    <w:jc w:val="left"/>
                    <w:rPr>
                      <w:color w:val="000000"/>
                      <w:kern w:val="2"/>
                    </w:rPr>
                  </w:pPr>
                  <w:r>
                    <w:rPr>
                      <w:rFonts w:hint="eastAsia"/>
                      <w:color w:val="000000"/>
                      <w:kern w:val="2"/>
                    </w:rPr>
                    <w:t>项目位于</w:t>
                  </w:r>
                  <w:r>
                    <w:rPr>
                      <w:rFonts w:hint="eastAsia"/>
                      <w:color w:val="000000"/>
                    </w:rPr>
                    <w:t>南昌小蓝经济技术开发区内，且符合园区产业定位</w:t>
                  </w:r>
                  <w:r>
                    <w:rPr>
                      <w:rFonts w:hint="eastAsia"/>
                      <w:color w:val="000000"/>
                      <w:kern w:val="2"/>
                    </w:rPr>
                    <w:t>。</w:t>
                  </w:r>
                </w:p>
              </w:tc>
              <w:tc>
                <w:tcPr>
                  <w:tcW w:w="268" w:type="pct"/>
                  <w:vAlign w:val="center"/>
                </w:tcPr>
                <w:p>
                  <w:pPr>
                    <w:pStyle w:val="37"/>
                    <w:spacing w:line="240" w:lineRule="atLeast"/>
                    <w:rPr>
                      <w:color w:val="000000"/>
                      <w:kern w:val="2"/>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775" w:type="pct"/>
                  <w:gridSpan w:val="2"/>
                  <w:vMerge w:val="restart"/>
                  <w:vAlign w:val="center"/>
                </w:tcPr>
                <w:p>
                  <w:pPr>
                    <w:pStyle w:val="37"/>
                    <w:spacing w:line="240" w:lineRule="atLeast"/>
                    <w:rPr>
                      <w:color w:val="000000"/>
                      <w:kern w:val="2"/>
                    </w:rPr>
                  </w:pPr>
                  <w:r>
                    <w:rPr>
                      <w:rFonts w:hint="eastAsia"/>
                      <w:color w:val="000000"/>
                      <w:kern w:val="2"/>
                    </w:rPr>
                    <w:t>限制开发建设活动的要求</w:t>
                  </w:r>
                </w:p>
              </w:tc>
              <w:tc>
                <w:tcPr>
                  <w:tcW w:w="222" w:type="pct"/>
                  <w:vAlign w:val="center"/>
                </w:tcPr>
                <w:p>
                  <w:pPr>
                    <w:pStyle w:val="37"/>
                    <w:spacing w:line="240" w:lineRule="atLeast"/>
                    <w:rPr>
                      <w:color w:val="000000"/>
                      <w:kern w:val="2"/>
                    </w:rPr>
                  </w:pPr>
                  <w:r>
                    <w:rPr>
                      <w:rFonts w:hint="eastAsia"/>
                      <w:color w:val="000000"/>
                      <w:kern w:val="2"/>
                    </w:rPr>
                    <w:t>2</w:t>
                  </w:r>
                </w:p>
              </w:tc>
              <w:tc>
                <w:tcPr>
                  <w:tcW w:w="1911" w:type="pct"/>
                  <w:vAlign w:val="center"/>
                </w:tcPr>
                <w:p>
                  <w:pPr>
                    <w:pStyle w:val="37"/>
                    <w:spacing w:line="240" w:lineRule="atLeast"/>
                    <w:jc w:val="left"/>
                    <w:rPr>
                      <w:color w:val="000000"/>
                      <w:kern w:val="2"/>
                    </w:rPr>
                  </w:pPr>
                  <w:r>
                    <w:rPr>
                      <w:rFonts w:hint="eastAsia"/>
                      <w:color w:val="000000"/>
                      <w:kern w:val="2"/>
                    </w:rPr>
                    <w:t>不得新建金属冶炼工艺、农药制造、陶瓷、水泥等污染严重项目。</w:t>
                  </w:r>
                </w:p>
              </w:tc>
              <w:tc>
                <w:tcPr>
                  <w:tcW w:w="1400" w:type="pct"/>
                  <w:vAlign w:val="center"/>
                </w:tcPr>
                <w:p>
                  <w:pPr>
                    <w:pStyle w:val="37"/>
                    <w:spacing w:line="240" w:lineRule="atLeast"/>
                    <w:jc w:val="left"/>
                    <w:rPr>
                      <w:color w:val="000000"/>
                      <w:kern w:val="2"/>
                    </w:rPr>
                  </w:pPr>
                  <w:r>
                    <w:rPr>
                      <w:rFonts w:hint="eastAsia"/>
                      <w:color w:val="000000"/>
                      <w:kern w:val="2"/>
                    </w:rPr>
                    <w:t>不属于金属冶炼工艺、农药制造、陶瓷、水泥等污染严重项目</w:t>
                  </w:r>
                </w:p>
              </w:tc>
              <w:tc>
                <w:tcPr>
                  <w:tcW w:w="268" w:type="pct"/>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775" w:type="pct"/>
                  <w:gridSpan w:val="2"/>
                  <w:vMerge w:val="continue"/>
                  <w:vAlign w:val="center"/>
                </w:tcPr>
                <w:p>
                  <w:pPr>
                    <w:pStyle w:val="37"/>
                    <w:spacing w:line="240" w:lineRule="atLeast"/>
                    <w:rPr>
                      <w:color w:val="000000"/>
                      <w:kern w:val="2"/>
                    </w:rPr>
                  </w:pPr>
                </w:p>
              </w:tc>
              <w:tc>
                <w:tcPr>
                  <w:tcW w:w="222" w:type="pct"/>
                  <w:vAlign w:val="center"/>
                </w:tcPr>
                <w:p>
                  <w:pPr>
                    <w:pStyle w:val="37"/>
                    <w:spacing w:line="240" w:lineRule="atLeast"/>
                    <w:rPr>
                      <w:color w:val="000000"/>
                      <w:kern w:val="2"/>
                    </w:rPr>
                  </w:pPr>
                  <w:r>
                    <w:rPr>
                      <w:rFonts w:hint="eastAsia"/>
                      <w:color w:val="000000"/>
                      <w:kern w:val="2"/>
                    </w:rPr>
                    <w:t>3</w:t>
                  </w:r>
                </w:p>
              </w:tc>
              <w:tc>
                <w:tcPr>
                  <w:tcW w:w="1911" w:type="pct"/>
                  <w:vAlign w:val="center"/>
                </w:tcPr>
                <w:p>
                  <w:pPr>
                    <w:pStyle w:val="37"/>
                    <w:spacing w:line="240" w:lineRule="atLeast"/>
                    <w:jc w:val="left"/>
                    <w:rPr>
                      <w:color w:val="000000"/>
                      <w:kern w:val="2"/>
                    </w:rPr>
                  </w:pPr>
                  <w:r>
                    <w:rPr>
                      <w:rFonts w:hint="eastAsia"/>
                      <w:color w:val="000000"/>
                      <w:kern w:val="2"/>
                    </w:rPr>
                    <w:t>不得在赣江干流5公里范围内再新布局重化工园区，1公里范围内新上化工、造纸、制革、冶炼等重污染项目。</w:t>
                  </w:r>
                </w:p>
              </w:tc>
              <w:tc>
                <w:tcPr>
                  <w:tcW w:w="1400" w:type="pct"/>
                  <w:vAlign w:val="center"/>
                </w:tcPr>
                <w:p>
                  <w:pPr>
                    <w:pStyle w:val="37"/>
                    <w:spacing w:line="240" w:lineRule="atLeast"/>
                    <w:jc w:val="left"/>
                    <w:rPr>
                      <w:color w:val="000000"/>
                      <w:kern w:val="2"/>
                    </w:rPr>
                  </w:pPr>
                  <w:r>
                    <w:rPr>
                      <w:rFonts w:hint="eastAsia"/>
                      <w:color w:val="000000"/>
                      <w:kern w:val="2"/>
                    </w:rPr>
                    <w:t>不属于化工、造纸、制革、冶炼等重污染项目。</w:t>
                  </w:r>
                </w:p>
              </w:tc>
              <w:tc>
                <w:tcPr>
                  <w:tcW w:w="667" w:type="dxa"/>
                  <w:vAlign w:val="center"/>
                </w:tcPr>
                <w:p>
                  <w:pPr>
                    <w:pStyle w:val="37"/>
                    <w:spacing w:line="240" w:lineRule="atLeast"/>
                    <w:rPr>
                      <w:color w:val="000000"/>
                      <w:kern w:val="2"/>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775" w:type="pct"/>
                  <w:gridSpan w:val="2"/>
                  <w:vMerge w:val="restart"/>
                  <w:vAlign w:val="center"/>
                </w:tcPr>
                <w:p>
                  <w:pPr>
                    <w:pStyle w:val="37"/>
                    <w:spacing w:line="240" w:lineRule="atLeast"/>
                    <w:rPr>
                      <w:color w:val="000000"/>
                      <w:kern w:val="2"/>
                    </w:rPr>
                  </w:pPr>
                  <w:r>
                    <w:rPr>
                      <w:rFonts w:hint="eastAsia"/>
                      <w:color w:val="000000"/>
                      <w:kern w:val="2"/>
                    </w:rPr>
                    <w:t>不符合空间布局要求活动的退出要求</w:t>
                  </w:r>
                </w:p>
              </w:tc>
              <w:tc>
                <w:tcPr>
                  <w:tcW w:w="222" w:type="pct"/>
                  <w:vAlign w:val="center"/>
                </w:tcPr>
                <w:p>
                  <w:pPr>
                    <w:pStyle w:val="37"/>
                    <w:spacing w:line="240" w:lineRule="atLeast"/>
                    <w:rPr>
                      <w:color w:val="000000"/>
                      <w:kern w:val="2"/>
                    </w:rPr>
                  </w:pPr>
                  <w:r>
                    <w:rPr>
                      <w:rFonts w:hint="eastAsia"/>
                      <w:color w:val="000000"/>
                      <w:kern w:val="2"/>
                    </w:rPr>
                    <w:t>4</w:t>
                  </w:r>
                </w:p>
              </w:tc>
              <w:tc>
                <w:tcPr>
                  <w:tcW w:w="1911" w:type="pct"/>
                  <w:vAlign w:val="center"/>
                </w:tcPr>
                <w:p>
                  <w:pPr>
                    <w:pStyle w:val="37"/>
                    <w:spacing w:line="240" w:lineRule="atLeast"/>
                    <w:jc w:val="left"/>
                    <w:rPr>
                      <w:color w:val="000000"/>
                      <w:kern w:val="2"/>
                    </w:rPr>
                  </w:pPr>
                  <w:r>
                    <w:rPr>
                      <w:rFonts w:hint="eastAsia"/>
                      <w:color w:val="000000"/>
                      <w:kern w:val="2"/>
                    </w:rPr>
                    <w:t>现有不符合城市用地规定的企业应逐步搬迁至园区内相应产业园区内。</w:t>
                  </w:r>
                </w:p>
              </w:tc>
              <w:tc>
                <w:tcPr>
                  <w:tcW w:w="1400" w:type="pct"/>
                  <w:vAlign w:val="center"/>
                </w:tcPr>
                <w:p>
                  <w:pPr>
                    <w:pStyle w:val="37"/>
                    <w:spacing w:line="240" w:lineRule="atLeast"/>
                    <w:jc w:val="left"/>
                    <w:rPr>
                      <w:color w:val="000000"/>
                      <w:kern w:val="2"/>
                    </w:rPr>
                  </w:pPr>
                  <w:r>
                    <w:rPr>
                      <w:rFonts w:hint="eastAsia"/>
                      <w:color w:val="000000"/>
                      <w:kern w:val="2"/>
                    </w:rPr>
                    <w:t>项目符合小蓝汽车城的产业定位。</w:t>
                  </w:r>
                </w:p>
              </w:tc>
              <w:tc>
                <w:tcPr>
                  <w:tcW w:w="667" w:type="dxa"/>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21" w:type="pct"/>
                  <w:vMerge w:val="continue"/>
                  <w:vAlign w:val="center"/>
                </w:tcPr>
                <w:p>
                  <w:pPr>
                    <w:pStyle w:val="37"/>
                    <w:spacing w:line="240" w:lineRule="atLeast"/>
                    <w:rPr>
                      <w:color w:val="000000"/>
                      <w:kern w:val="2"/>
                    </w:rPr>
                  </w:pPr>
                </w:p>
              </w:tc>
              <w:tc>
                <w:tcPr>
                  <w:tcW w:w="775" w:type="pct"/>
                  <w:gridSpan w:val="2"/>
                  <w:vMerge w:val="continue"/>
                  <w:vAlign w:val="center"/>
                </w:tcPr>
                <w:p>
                  <w:pPr>
                    <w:pStyle w:val="37"/>
                    <w:spacing w:line="240" w:lineRule="atLeast"/>
                    <w:rPr>
                      <w:color w:val="000000"/>
                      <w:kern w:val="2"/>
                    </w:rPr>
                  </w:pPr>
                </w:p>
              </w:tc>
              <w:tc>
                <w:tcPr>
                  <w:tcW w:w="222" w:type="pct"/>
                  <w:vAlign w:val="center"/>
                </w:tcPr>
                <w:p>
                  <w:pPr>
                    <w:pStyle w:val="37"/>
                    <w:spacing w:line="240" w:lineRule="atLeast"/>
                    <w:rPr>
                      <w:color w:val="000000"/>
                      <w:kern w:val="2"/>
                    </w:rPr>
                  </w:pPr>
                  <w:r>
                    <w:rPr>
                      <w:rFonts w:hint="eastAsia"/>
                      <w:color w:val="000000"/>
                      <w:kern w:val="2"/>
                    </w:rPr>
                    <w:t>5</w:t>
                  </w:r>
                </w:p>
              </w:tc>
              <w:tc>
                <w:tcPr>
                  <w:tcW w:w="1911" w:type="pct"/>
                  <w:vAlign w:val="center"/>
                </w:tcPr>
                <w:p>
                  <w:pPr>
                    <w:pStyle w:val="37"/>
                    <w:spacing w:line="240" w:lineRule="atLeast"/>
                    <w:jc w:val="left"/>
                    <w:rPr>
                      <w:color w:val="000000"/>
                      <w:kern w:val="2"/>
                    </w:rPr>
                  </w:pPr>
                  <w:r>
                    <w:rPr>
                      <w:rFonts w:hint="eastAsia"/>
                      <w:color w:val="000000"/>
                      <w:kern w:val="2"/>
                    </w:rPr>
                    <w:t>现有能源、环保、安全、技术达不到标准或生产不合格产品或淘汰产能依法依规关停退出。</w:t>
                  </w:r>
                </w:p>
              </w:tc>
              <w:tc>
                <w:tcPr>
                  <w:tcW w:w="1400" w:type="pct"/>
                  <w:vAlign w:val="center"/>
                </w:tcPr>
                <w:p>
                  <w:pPr>
                    <w:pStyle w:val="37"/>
                    <w:spacing w:line="240" w:lineRule="atLeast"/>
                    <w:jc w:val="left"/>
                    <w:rPr>
                      <w:color w:val="000000"/>
                      <w:kern w:val="2"/>
                    </w:rPr>
                  </w:pPr>
                  <w:r>
                    <w:rPr>
                      <w:rFonts w:hint="eastAsia"/>
                      <w:color w:val="000000"/>
                      <w:kern w:val="2"/>
                    </w:rPr>
                    <w:t>项目性质为新建，并严格按相关要求进行建设。</w:t>
                  </w:r>
                </w:p>
              </w:tc>
              <w:tc>
                <w:tcPr>
                  <w:tcW w:w="667" w:type="dxa"/>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vAlign w:val="center"/>
                </w:tcPr>
                <w:p>
                  <w:pPr>
                    <w:pStyle w:val="37"/>
                    <w:spacing w:line="240" w:lineRule="atLeast"/>
                    <w:rPr>
                      <w:color w:val="000000"/>
                      <w:kern w:val="2"/>
                    </w:rPr>
                  </w:pPr>
                  <w:r>
                    <w:rPr>
                      <w:rFonts w:hint="eastAsia"/>
                      <w:color w:val="000000"/>
                      <w:kern w:val="2"/>
                    </w:rPr>
                    <w:t>污染物排放管控</w:t>
                  </w:r>
                </w:p>
              </w:tc>
              <w:tc>
                <w:tcPr>
                  <w:tcW w:w="775" w:type="pct"/>
                  <w:gridSpan w:val="2"/>
                  <w:vMerge w:val="restart"/>
                  <w:vAlign w:val="center"/>
                </w:tcPr>
                <w:p>
                  <w:pPr>
                    <w:pStyle w:val="37"/>
                    <w:spacing w:line="240" w:lineRule="atLeast"/>
                    <w:rPr>
                      <w:color w:val="000000"/>
                      <w:kern w:val="2"/>
                    </w:rPr>
                  </w:pPr>
                  <w:r>
                    <w:rPr>
                      <w:color w:val="000000"/>
                      <w:kern w:val="2"/>
                    </w:rPr>
                    <w:t>现有源提标升级改造</w:t>
                  </w:r>
                </w:p>
              </w:tc>
              <w:tc>
                <w:tcPr>
                  <w:tcW w:w="222" w:type="pct"/>
                  <w:vAlign w:val="center"/>
                </w:tcPr>
                <w:p>
                  <w:pPr>
                    <w:pStyle w:val="37"/>
                    <w:spacing w:line="240" w:lineRule="atLeast"/>
                    <w:rPr>
                      <w:color w:val="000000"/>
                      <w:kern w:val="2"/>
                    </w:rPr>
                  </w:pPr>
                  <w:r>
                    <w:rPr>
                      <w:rFonts w:hint="eastAsia"/>
                      <w:color w:val="000000"/>
                      <w:kern w:val="2"/>
                    </w:rPr>
                    <w:t>6</w:t>
                  </w:r>
                </w:p>
              </w:tc>
              <w:tc>
                <w:tcPr>
                  <w:tcW w:w="1911" w:type="pct"/>
                  <w:vAlign w:val="center"/>
                </w:tcPr>
                <w:p>
                  <w:pPr>
                    <w:pStyle w:val="37"/>
                    <w:spacing w:line="240" w:lineRule="atLeast"/>
                    <w:jc w:val="left"/>
                    <w:rPr>
                      <w:color w:val="000000"/>
                      <w:kern w:val="2"/>
                    </w:rPr>
                  </w:pPr>
                  <w:r>
                    <w:rPr>
                      <w:rFonts w:hint="eastAsia"/>
                      <w:color w:val="000000"/>
                      <w:kern w:val="2"/>
                    </w:rPr>
                    <w:t>现有企业废水需预处理达到污水集中处理设施接管标准排入污水处理厂集中处理。</w:t>
                  </w:r>
                </w:p>
              </w:tc>
              <w:tc>
                <w:tcPr>
                  <w:tcW w:w="1400" w:type="pct"/>
                  <w:vAlign w:val="center"/>
                </w:tcPr>
                <w:p>
                  <w:pPr>
                    <w:pStyle w:val="37"/>
                    <w:spacing w:line="240" w:lineRule="atLeast"/>
                    <w:jc w:val="left"/>
                    <w:rPr>
                      <w:color w:val="000000"/>
                      <w:kern w:val="2"/>
                    </w:rPr>
                  </w:pPr>
                  <w:r>
                    <w:rPr>
                      <w:rFonts w:hint="eastAsia"/>
                      <w:color w:val="000000"/>
                      <w:kern w:val="2"/>
                    </w:rPr>
                    <w:t>项目废水经处理达标后由市政污水管网排入小蓝污水处理厂进行进一步处理。</w:t>
                  </w:r>
                </w:p>
              </w:tc>
              <w:tc>
                <w:tcPr>
                  <w:tcW w:w="667" w:type="dxa"/>
                  <w:vAlign w:val="center"/>
                </w:tcPr>
                <w:p>
                  <w:pPr>
                    <w:pStyle w:val="37"/>
                    <w:spacing w:line="240" w:lineRule="atLeast"/>
                    <w:rPr>
                      <w:color w:val="000000"/>
                      <w:kern w:val="2"/>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775" w:type="pct"/>
                  <w:gridSpan w:val="2"/>
                  <w:vMerge w:val="continue"/>
                  <w:vAlign w:val="center"/>
                </w:tcPr>
                <w:p>
                  <w:pPr>
                    <w:pStyle w:val="37"/>
                    <w:spacing w:line="240" w:lineRule="atLeast"/>
                    <w:rPr>
                      <w:color w:val="000000"/>
                      <w:kern w:val="2"/>
                    </w:rPr>
                  </w:pPr>
                </w:p>
              </w:tc>
              <w:tc>
                <w:tcPr>
                  <w:tcW w:w="222" w:type="pct"/>
                  <w:vAlign w:val="center"/>
                </w:tcPr>
                <w:p>
                  <w:pPr>
                    <w:pStyle w:val="37"/>
                    <w:spacing w:line="240" w:lineRule="atLeast"/>
                    <w:rPr>
                      <w:color w:val="000000"/>
                      <w:kern w:val="2"/>
                    </w:rPr>
                  </w:pPr>
                  <w:r>
                    <w:rPr>
                      <w:rFonts w:hint="eastAsia"/>
                      <w:color w:val="000000"/>
                      <w:kern w:val="2"/>
                    </w:rPr>
                    <w:t>7</w:t>
                  </w:r>
                </w:p>
              </w:tc>
              <w:tc>
                <w:tcPr>
                  <w:tcW w:w="1911" w:type="pct"/>
                  <w:vAlign w:val="center"/>
                </w:tcPr>
                <w:p>
                  <w:pPr>
                    <w:pStyle w:val="37"/>
                    <w:spacing w:line="240" w:lineRule="atLeast"/>
                    <w:jc w:val="left"/>
                    <w:rPr>
                      <w:color w:val="000000"/>
                      <w:kern w:val="2"/>
                    </w:rPr>
                  </w:pPr>
                  <w:r>
                    <w:rPr>
                      <w:rFonts w:hint="eastAsia"/>
                      <w:color w:val="000000"/>
                      <w:kern w:val="2"/>
                    </w:rPr>
                    <w:t>现有医药、有机化工等重点行业应提高有机废气收集率，主要行业VOCs治理实现达标排放。</w:t>
                  </w:r>
                </w:p>
              </w:tc>
              <w:tc>
                <w:tcPr>
                  <w:tcW w:w="1400" w:type="pct"/>
                  <w:vAlign w:val="center"/>
                </w:tcPr>
                <w:p>
                  <w:pPr>
                    <w:pStyle w:val="37"/>
                    <w:spacing w:line="240" w:lineRule="atLeast"/>
                    <w:jc w:val="left"/>
                    <w:rPr>
                      <w:color w:val="000000"/>
                      <w:kern w:val="2"/>
                    </w:rPr>
                  </w:pPr>
                  <w:r>
                    <w:rPr>
                      <w:rFonts w:hint="eastAsia"/>
                      <w:color w:val="000000"/>
                      <w:kern w:val="2"/>
                    </w:rPr>
                    <w:t>项目产生的废气经处理后均可达标排放。</w:t>
                  </w:r>
                </w:p>
              </w:tc>
              <w:tc>
                <w:tcPr>
                  <w:tcW w:w="667" w:type="dxa"/>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775" w:type="pct"/>
                  <w:gridSpan w:val="2"/>
                  <w:vMerge w:val="continue"/>
                  <w:vAlign w:val="center"/>
                </w:tcPr>
                <w:p>
                  <w:pPr>
                    <w:pStyle w:val="37"/>
                    <w:spacing w:line="240" w:lineRule="atLeast"/>
                    <w:rPr>
                      <w:color w:val="000000"/>
                      <w:kern w:val="2"/>
                    </w:rPr>
                  </w:pPr>
                </w:p>
              </w:tc>
              <w:tc>
                <w:tcPr>
                  <w:tcW w:w="222" w:type="pct"/>
                  <w:vAlign w:val="center"/>
                </w:tcPr>
                <w:p>
                  <w:pPr>
                    <w:pStyle w:val="37"/>
                    <w:spacing w:line="240" w:lineRule="atLeast"/>
                    <w:rPr>
                      <w:color w:val="000000"/>
                      <w:kern w:val="2"/>
                    </w:rPr>
                  </w:pPr>
                  <w:r>
                    <w:rPr>
                      <w:rFonts w:hint="eastAsia"/>
                      <w:color w:val="000000"/>
                      <w:kern w:val="2"/>
                    </w:rPr>
                    <w:t>8</w:t>
                  </w:r>
                </w:p>
              </w:tc>
              <w:tc>
                <w:tcPr>
                  <w:tcW w:w="1911" w:type="pct"/>
                  <w:vAlign w:val="center"/>
                </w:tcPr>
                <w:p>
                  <w:pPr>
                    <w:pStyle w:val="37"/>
                    <w:spacing w:line="240" w:lineRule="atLeast"/>
                    <w:jc w:val="left"/>
                    <w:rPr>
                      <w:color w:val="000000"/>
                      <w:kern w:val="2"/>
                    </w:rPr>
                  </w:pPr>
                  <w:r>
                    <w:rPr>
                      <w:rFonts w:hint="eastAsia"/>
                      <w:color w:val="000000"/>
                      <w:kern w:val="2"/>
                    </w:rPr>
                    <w:t>区内污水处理厂应逐步进行提标改造，其废水排放达一级A标准。</w:t>
                  </w:r>
                </w:p>
              </w:tc>
              <w:tc>
                <w:tcPr>
                  <w:tcW w:w="1400" w:type="pct"/>
                  <w:vAlign w:val="center"/>
                </w:tcPr>
                <w:p>
                  <w:pPr>
                    <w:spacing w:line="240" w:lineRule="auto"/>
                    <w:ind w:firstLine="0" w:firstLineChars="0"/>
                    <w:rPr>
                      <w:color w:val="000000"/>
                      <w:sz w:val="18"/>
                      <w:szCs w:val="20"/>
                    </w:rPr>
                  </w:pPr>
                  <w:r>
                    <w:rPr>
                      <w:rFonts w:hint="eastAsia"/>
                      <w:color w:val="000000"/>
                      <w:sz w:val="18"/>
                      <w:szCs w:val="20"/>
                    </w:rPr>
                    <w:t>/</w:t>
                  </w:r>
                </w:p>
              </w:tc>
              <w:tc>
                <w:tcPr>
                  <w:tcW w:w="667" w:type="dxa"/>
                  <w:vAlign w:val="center"/>
                </w:tcPr>
                <w:p>
                  <w:pPr>
                    <w:pStyle w:val="37"/>
                    <w:spacing w:line="240" w:lineRule="atLeast"/>
                    <w:rPr>
                      <w:color w:val="000000"/>
                    </w:rPr>
                  </w:pP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775" w:type="pct"/>
                  <w:gridSpan w:val="2"/>
                  <w:vAlign w:val="center"/>
                </w:tcPr>
                <w:p>
                  <w:pPr>
                    <w:pStyle w:val="37"/>
                    <w:spacing w:line="240" w:lineRule="atLeast"/>
                    <w:rPr>
                      <w:color w:val="000000"/>
                      <w:kern w:val="2"/>
                    </w:rPr>
                  </w:pPr>
                  <w:r>
                    <w:rPr>
                      <w:rFonts w:hint="eastAsia"/>
                      <w:color w:val="000000"/>
                      <w:kern w:val="2"/>
                    </w:rPr>
                    <w:t>新增源等量或倍量替代</w:t>
                  </w:r>
                </w:p>
              </w:tc>
              <w:tc>
                <w:tcPr>
                  <w:tcW w:w="222" w:type="pct"/>
                  <w:vAlign w:val="center"/>
                </w:tcPr>
                <w:p>
                  <w:pPr>
                    <w:pStyle w:val="37"/>
                    <w:spacing w:line="240" w:lineRule="atLeast"/>
                    <w:rPr>
                      <w:color w:val="000000"/>
                      <w:kern w:val="2"/>
                    </w:rPr>
                  </w:pPr>
                  <w:r>
                    <w:rPr>
                      <w:rFonts w:hint="eastAsia"/>
                      <w:color w:val="000000"/>
                      <w:kern w:val="2"/>
                    </w:rPr>
                    <w:t>9</w:t>
                  </w:r>
                </w:p>
              </w:tc>
              <w:tc>
                <w:tcPr>
                  <w:tcW w:w="1911" w:type="pct"/>
                  <w:vAlign w:val="center"/>
                </w:tcPr>
                <w:p>
                  <w:pPr>
                    <w:pStyle w:val="37"/>
                    <w:spacing w:line="240" w:lineRule="atLeast"/>
                    <w:jc w:val="left"/>
                    <w:rPr>
                      <w:color w:val="000000"/>
                      <w:kern w:val="2"/>
                    </w:rPr>
                  </w:pPr>
                  <w:r>
                    <w:rPr>
                      <w:rFonts w:hint="eastAsia"/>
                      <w:color w:val="000000"/>
                      <w:kern w:val="2"/>
                    </w:rPr>
                    <w:t>新建项目污染物排放量应实施县市平衡，县市污染物排放总量不增加。省、市重点项目实施省市域平衡，省市污染物排放总量不增加。</w:t>
                  </w:r>
                </w:p>
              </w:tc>
              <w:tc>
                <w:tcPr>
                  <w:tcW w:w="1400" w:type="pct"/>
                  <w:vAlign w:val="center"/>
                </w:tcPr>
                <w:p>
                  <w:pPr>
                    <w:pStyle w:val="37"/>
                    <w:spacing w:line="240" w:lineRule="atLeast"/>
                    <w:jc w:val="left"/>
                    <w:rPr>
                      <w:color w:val="000000"/>
                      <w:kern w:val="2"/>
                    </w:rPr>
                  </w:pPr>
                  <w:r>
                    <w:rPr>
                      <w:rFonts w:hint="eastAsia"/>
                      <w:color w:val="000000"/>
                      <w:kern w:val="2"/>
                    </w:rPr>
                    <w:t>项目无需补充申请</w:t>
                  </w:r>
                  <w:r>
                    <w:rPr>
                      <w:rFonts w:hint="eastAsia"/>
                      <w:color w:val="000000"/>
                    </w:rPr>
                    <w:t>总量控制指标</w:t>
                  </w:r>
                  <w:r>
                    <w:rPr>
                      <w:rFonts w:hint="eastAsia"/>
                      <w:color w:val="000000"/>
                      <w:kern w:val="2"/>
                    </w:rPr>
                    <w:t>。</w:t>
                  </w:r>
                </w:p>
              </w:tc>
              <w:tc>
                <w:tcPr>
                  <w:tcW w:w="667" w:type="dxa"/>
                  <w:vAlign w:val="center"/>
                </w:tcPr>
                <w:p>
                  <w:pPr>
                    <w:pStyle w:val="37"/>
                    <w:spacing w:line="240" w:lineRule="atLeast"/>
                    <w:rPr>
                      <w:color w:val="000000"/>
                      <w:kern w:val="2"/>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775" w:type="pct"/>
                  <w:gridSpan w:val="2"/>
                  <w:vAlign w:val="center"/>
                </w:tcPr>
                <w:p>
                  <w:pPr>
                    <w:pStyle w:val="37"/>
                    <w:spacing w:line="240" w:lineRule="atLeast"/>
                    <w:rPr>
                      <w:color w:val="000000"/>
                      <w:kern w:val="2"/>
                    </w:rPr>
                  </w:pPr>
                  <w:r>
                    <w:rPr>
                      <w:rFonts w:hint="eastAsia"/>
                      <w:color w:val="000000"/>
                      <w:kern w:val="2"/>
                    </w:rPr>
                    <w:t>新增源排放标准限值</w:t>
                  </w:r>
                </w:p>
              </w:tc>
              <w:tc>
                <w:tcPr>
                  <w:tcW w:w="222" w:type="pct"/>
                  <w:vAlign w:val="center"/>
                </w:tcPr>
                <w:p>
                  <w:pPr>
                    <w:pStyle w:val="37"/>
                    <w:spacing w:line="240" w:lineRule="atLeast"/>
                    <w:rPr>
                      <w:color w:val="000000"/>
                      <w:kern w:val="2"/>
                    </w:rPr>
                  </w:pPr>
                  <w:r>
                    <w:rPr>
                      <w:rFonts w:hint="eastAsia"/>
                      <w:color w:val="000000"/>
                      <w:kern w:val="2"/>
                    </w:rPr>
                    <w:t>10</w:t>
                  </w:r>
                </w:p>
              </w:tc>
              <w:tc>
                <w:tcPr>
                  <w:tcW w:w="1911" w:type="pct"/>
                  <w:vAlign w:val="center"/>
                </w:tcPr>
                <w:p>
                  <w:pPr>
                    <w:pStyle w:val="37"/>
                    <w:spacing w:line="240" w:lineRule="atLeast"/>
                    <w:jc w:val="left"/>
                    <w:rPr>
                      <w:color w:val="000000"/>
                      <w:kern w:val="2"/>
                    </w:rPr>
                  </w:pPr>
                  <w:r>
                    <w:rPr>
                      <w:rFonts w:hint="eastAsia"/>
                      <w:color w:val="000000"/>
                      <w:kern w:val="2"/>
                    </w:rPr>
                    <w:t>新建项目污染物排放应达工业污水接管标准或综合排放标准，特殊污染物应达相应行业标准。</w:t>
                  </w:r>
                </w:p>
              </w:tc>
              <w:tc>
                <w:tcPr>
                  <w:tcW w:w="1400" w:type="pct"/>
                  <w:vAlign w:val="center"/>
                </w:tcPr>
                <w:p>
                  <w:pPr>
                    <w:pStyle w:val="37"/>
                    <w:spacing w:line="240" w:lineRule="atLeast"/>
                    <w:jc w:val="left"/>
                    <w:rPr>
                      <w:color w:val="000000"/>
                      <w:kern w:val="2"/>
                    </w:rPr>
                  </w:pPr>
                  <w:r>
                    <w:rPr>
                      <w:rFonts w:hint="eastAsia"/>
                      <w:color w:val="000000"/>
                    </w:rPr>
                    <w:t>扩建项目建成后全厂不新增员工，故不新增生活污水，且无生产废水产生</w:t>
                  </w:r>
                  <w:r>
                    <w:rPr>
                      <w:rFonts w:hint="eastAsia"/>
                      <w:color w:val="000000"/>
                      <w:kern w:val="2"/>
                    </w:rPr>
                    <w:t>。</w:t>
                  </w:r>
                </w:p>
              </w:tc>
              <w:tc>
                <w:tcPr>
                  <w:tcW w:w="667" w:type="dxa"/>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775" w:type="pct"/>
                  <w:gridSpan w:val="2"/>
                  <w:vMerge w:val="restart"/>
                  <w:vAlign w:val="center"/>
                </w:tcPr>
                <w:p>
                  <w:pPr>
                    <w:pStyle w:val="37"/>
                    <w:spacing w:line="240" w:lineRule="atLeast"/>
                    <w:rPr>
                      <w:color w:val="000000"/>
                      <w:kern w:val="2"/>
                    </w:rPr>
                  </w:pPr>
                  <w:r>
                    <w:rPr>
                      <w:rFonts w:hint="eastAsia"/>
                      <w:color w:val="000000"/>
                      <w:kern w:val="2"/>
                    </w:rPr>
                    <w:t>污染排放绩效水平准入要求</w:t>
                  </w:r>
                </w:p>
              </w:tc>
              <w:tc>
                <w:tcPr>
                  <w:tcW w:w="222" w:type="pct"/>
                  <w:vAlign w:val="center"/>
                </w:tcPr>
                <w:p>
                  <w:pPr>
                    <w:pStyle w:val="37"/>
                    <w:spacing w:line="240" w:lineRule="atLeast"/>
                    <w:rPr>
                      <w:color w:val="000000"/>
                      <w:kern w:val="2"/>
                    </w:rPr>
                  </w:pPr>
                  <w:r>
                    <w:rPr>
                      <w:rFonts w:hint="eastAsia"/>
                      <w:color w:val="000000"/>
                      <w:kern w:val="2"/>
                    </w:rPr>
                    <w:t>11</w:t>
                  </w:r>
                </w:p>
              </w:tc>
              <w:tc>
                <w:tcPr>
                  <w:tcW w:w="1911" w:type="pct"/>
                  <w:vAlign w:val="center"/>
                </w:tcPr>
                <w:p>
                  <w:pPr>
                    <w:pStyle w:val="37"/>
                    <w:spacing w:line="240" w:lineRule="atLeast"/>
                    <w:jc w:val="left"/>
                    <w:rPr>
                      <w:color w:val="000000"/>
                      <w:kern w:val="2"/>
                    </w:rPr>
                  </w:pPr>
                  <w:r>
                    <w:rPr>
                      <w:rFonts w:hint="eastAsia"/>
                      <w:color w:val="000000"/>
                      <w:kern w:val="2"/>
                    </w:rPr>
                    <w:t>污染物排放应达到相应行业准入要求和清洁生产标准要求。</w:t>
                  </w:r>
                </w:p>
              </w:tc>
              <w:tc>
                <w:tcPr>
                  <w:tcW w:w="1400" w:type="pct"/>
                  <w:vAlign w:val="center"/>
                </w:tcPr>
                <w:p>
                  <w:pPr>
                    <w:pStyle w:val="37"/>
                    <w:spacing w:line="240" w:lineRule="atLeast"/>
                    <w:jc w:val="left"/>
                    <w:rPr>
                      <w:color w:val="000000"/>
                      <w:kern w:val="2"/>
                    </w:rPr>
                  </w:pPr>
                  <w:r>
                    <w:rPr>
                      <w:rFonts w:hint="eastAsia"/>
                      <w:color w:val="000000"/>
                      <w:kern w:val="2"/>
                    </w:rPr>
                    <w:t>项目污染物经处理后均可达标排放，可满足清洁生产相关要求。</w:t>
                  </w:r>
                </w:p>
              </w:tc>
              <w:tc>
                <w:tcPr>
                  <w:tcW w:w="268" w:type="pct"/>
                  <w:vAlign w:val="center"/>
                </w:tcPr>
                <w:p>
                  <w:pPr>
                    <w:pStyle w:val="37"/>
                    <w:spacing w:line="240" w:lineRule="atLeast"/>
                    <w:rPr>
                      <w:color w:val="000000"/>
                      <w:kern w:val="2"/>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775" w:type="pct"/>
                  <w:gridSpan w:val="2"/>
                  <w:vMerge w:val="continue"/>
                  <w:vAlign w:val="center"/>
                </w:tcPr>
                <w:p>
                  <w:pPr>
                    <w:pStyle w:val="37"/>
                    <w:spacing w:line="240" w:lineRule="atLeast"/>
                    <w:rPr>
                      <w:color w:val="000000"/>
                      <w:kern w:val="2"/>
                    </w:rPr>
                  </w:pPr>
                </w:p>
              </w:tc>
              <w:tc>
                <w:tcPr>
                  <w:tcW w:w="222" w:type="pct"/>
                  <w:vAlign w:val="center"/>
                </w:tcPr>
                <w:p>
                  <w:pPr>
                    <w:pStyle w:val="37"/>
                    <w:spacing w:line="240" w:lineRule="atLeast"/>
                    <w:rPr>
                      <w:color w:val="000000"/>
                      <w:kern w:val="2"/>
                    </w:rPr>
                  </w:pPr>
                  <w:r>
                    <w:rPr>
                      <w:rFonts w:hint="eastAsia"/>
                      <w:color w:val="000000"/>
                      <w:kern w:val="2"/>
                    </w:rPr>
                    <w:t>12</w:t>
                  </w:r>
                </w:p>
              </w:tc>
              <w:tc>
                <w:tcPr>
                  <w:tcW w:w="1911" w:type="pct"/>
                  <w:vAlign w:val="center"/>
                </w:tcPr>
                <w:p>
                  <w:pPr>
                    <w:pStyle w:val="37"/>
                    <w:spacing w:line="240" w:lineRule="atLeast"/>
                    <w:jc w:val="left"/>
                    <w:rPr>
                      <w:color w:val="000000"/>
                      <w:kern w:val="2"/>
                    </w:rPr>
                  </w:pPr>
                  <w:r>
                    <w:rPr>
                      <w:rFonts w:hint="eastAsia"/>
                      <w:color w:val="000000"/>
                      <w:kern w:val="2"/>
                    </w:rPr>
                    <w:t>园区内污水收集处理率不低于85%。</w:t>
                  </w:r>
                </w:p>
              </w:tc>
              <w:tc>
                <w:tcPr>
                  <w:tcW w:w="1400" w:type="pct"/>
                  <w:vAlign w:val="center"/>
                </w:tcPr>
                <w:p>
                  <w:pPr>
                    <w:pStyle w:val="37"/>
                    <w:spacing w:line="240" w:lineRule="atLeast"/>
                    <w:rPr>
                      <w:color w:val="000000"/>
                      <w:kern w:val="2"/>
                    </w:rPr>
                  </w:pPr>
                  <w:r>
                    <w:rPr>
                      <w:rFonts w:hint="eastAsia"/>
                      <w:color w:val="000000"/>
                      <w:kern w:val="2"/>
                    </w:rPr>
                    <w:t>/</w:t>
                  </w:r>
                </w:p>
              </w:tc>
              <w:tc>
                <w:tcPr>
                  <w:tcW w:w="268" w:type="pct"/>
                  <w:vAlign w:val="center"/>
                </w:tcPr>
                <w:p>
                  <w:pPr>
                    <w:pStyle w:val="37"/>
                    <w:spacing w:line="240" w:lineRule="atLeast"/>
                    <w:rPr>
                      <w:color w:val="000000"/>
                      <w:kern w:val="2"/>
                    </w:rPr>
                  </w:pP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vAlign w:val="center"/>
                </w:tcPr>
                <w:p>
                  <w:pPr>
                    <w:pStyle w:val="37"/>
                    <w:spacing w:line="240" w:lineRule="atLeast"/>
                    <w:rPr>
                      <w:color w:val="000000"/>
                      <w:kern w:val="2"/>
                    </w:rPr>
                  </w:pPr>
                  <w:r>
                    <w:rPr>
                      <w:rFonts w:hint="eastAsia"/>
                      <w:color w:val="000000"/>
                      <w:kern w:val="2"/>
                    </w:rPr>
                    <w:t>环境风险防控</w:t>
                  </w:r>
                </w:p>
              </w:tc>
              <w:tc>
                <w:tcPr>
                  <w:tcW w:w="294" w:type="pct"/>
                  <w:vMerge w:val="restart"/>
                  <w:vAlign w:val="center"/>
                </w:tcPr>
                <w:p>
                  <w:pPr>
                    <w:pStyle w:val="37"/>
                    <w:spacing w:line="240" w:lineRule="atLeast"/>
                    <w:rPr>
                      <w:color w:val="000000"/>
                      <w:kern w:val="2"/>
                    </w:rPr>
                  </w:pPr>
                  <w:r>
                    <w:rPr>
                      <w:rFonts w:hint="eastAsia"/>
                      <w:color w:val="000000"/>
                      <w:kern w:val="2"/>
                    </w:rPr>
                    <w:t>园区环境风险防控要求</w:t>
                  </w:r>
                </w:p>
              </w:tc>
              <w:tc>
                <w:tcPr>
                  <w:tcW w:w="480" w:type="pct"/>
                  <w:vAlign w:val="center"/>
                </w:tcPr>
                <w:p>
                  <w:pPr>
                    <w:pStyle w:val="37"/>
                    <w:spacing w:line="240" w:lineRule="atLeast"/>
                    <w:rPr>
                      <w:color w:val="000000"/>
                      <w:kern w:val="2"/>
                    </w:rPr>
                  </w:pPr>
                  <w:r>
                    <w:rPr>
                      <w:rFonts w:hint="eastAsia"/>
                      <w:color w:val="000000"/>
                      <w:kern w:val="2"/>
                    </w:rPr>
                    <w:t>园区敏感点风险准入类防控要求</w:t>
                  </w:r>
                </w:p>
              </w:tc>
              <w:tc>
                <w:tcPr>
                  <w:tcW w:w="222" w:type="pct"/>
                  <w:vAlign w:val="center"/>
                </w:tcPr>
                <w:p>
                  <w:pPr>
                    <w:pStyle w:val="37"/>
                    <w:spacing w:line="240" w:lineRule="atLeast"/>
                    <w:rPr>
                      <w:color w:val="000000"/>
                      <w:kern w:val="2"/>
                    </w:rPr>
                  </w:pPr>
                  <w:r>
                    <w:rPr>
                      <w:rFonts w:hint="eastAsia"/>
                      <w:color w:val="000000"/>
                      <w:kern w:val="2"/>
                    </w:rPr>
                    <w:t>13</w:t>
                  </w:r>
                </w:p>
              </w:tc>
              <w:tc>
                <w:tcPr>
                  <w:tcW w:w="1911" w:type="pct"/>
                  <w:vAlign w:val="center"/>
                </w:tcPr>
                <w:p>
                  <w:pPr>
                    <w:pStyle w:val="37"/>
                    <w:spacing w:line="240" w:lineRule="atLeast"/>
                    <w:jc w:val="left"/>
                    <w:rPr>
                      <w:color w:val="000000"/>
                      <w:kern w:val="2"/>
                    </w:rPr>
                  </w:pPr>
                  <w:r>
                    <w:rPr>
                      <w:rFonts w:hint="eastAsia"/>
                      <w:color w:val="000000"/>
                      <w:kern w:val="2"/>
                    </w:rPr>
                    <w:t>紧邻居住、科教、医院等环境敏感点的工业用地，禁止新建环境风险潜势等级高建设项目。</w:t>
                  </w:r>
                </w:p>
              </w:tc>
              <w:tc>
                <w:tcPr>
                  <w:tcW w:w="1400" w:type="pct"/>
                  <w:vAlign w:val="center"/>
                </w:tcPr>
                <w:p>
                  <w:pPr>
                    <w:pStyle w:val="37"/>
                    <w:spacing w:line="240" w:lineRule="atLeast"/>
                    <w:jc w:val="left"/>
                    <w:rPr>
                      <w:color w:val="000000"/>
                      <w:kern w:val="2"/>
                    </w:rPr>
                  </w:pPr>
                  <w:r>
                    <w:rPr>
                      <w:rFonts w:hint="eastAsia"/>
                      <w:color w:val="000000"/>
                      <w:kern w:val="2"/>
                    </w:rPr>
                    <w:t>不属于环境风险潜势等级高建设项目。</w:t>
                  </w:r>
                </w:p>
              </w:tc>
              <w:tc>
                <w:tcPr>
                  <w:tcW w:w="667" w:type="dxa"/>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294" w:type="pct"/>
                  <w:vMerge w:val="continue"/>
                  <w:vAlign w:val="center"/>
                </w:tcPr>
                <w:p>
                  <w:pPr>
                    <w:pStyle w:val="37"/>
                    <w:spacing w:line="240" w:lineRule="atLeast"/>
                    <w:rPr>
                      <w:color w:val="000000"/>
                      <w:kern w:val="2"/>
                    </w:rPr>
                  </w:pPr>
                </w:p>
              </w:tc>
              <w:tc>
                <w:tcPr>
                  <w:tcW w:w="480" w:type="pct"/>
                  <w:vAlign w:val="center"/>
                </w:tcPr>
                <w:p>
                  <w:pPr>
                    <w:pStyle w:val="37"/>
                    <w:spacing w:line="240" w:lineRule="atLeast"/>
                    <w:rPr>
                      <w:color w:val="000000"/>
                      <w:kern w:val="2"/>
                    </w:rPr>
                  </w:pPr>
                  <w:r>
                    <w:rPr>
                      <w:rFonts w:hint="eastAsia"/>
                      <w:color w:val="000000"/>
                      <w:kern w:val="2"/>
                    </w:rPr>
                    <w:t>园区风险防控体系要求</w:t>
                  </w:r>
                </w:p>
              </w:tc>
              <w:tc>
                <w:tcPr>
                  <w:tcW w:w="222" w:type="pct"/>
                  <w:vAlign w:val="center"/>
                </w:tcPr>
                <w:p>
                  <w:pPr>
                    <w:pStyle w:val="37"/>
                    <w:spacing w:line="240" w:lineRule="atLeast"/>
                    <w:rPr>
                      <w:color w:val="000000"/>
                      <w:kern w:val="2"/>
                    </w:rPr>
                  </w:pPr>
                  <w:r>
                    <w:rPr>
                      <w:rFonts w:hint="eastAsia"/>
                      <w:color w:val="000000"/>
                      <w:kern w:val="2"/>
                    </w:rPr>
                    <w:t>14</w:t>
                  </w:r>
                </w:p>
              </w:tc>
              <w:tc>
                <w:tcPr>
                  <w:tcW w:w="1911" w:type="pct"/>
                  <w:vAlign w:val="center"/>
                </w:tcPr>
                <w:p>
                  <w:pPr>
                    <w:pStyle w:val="37"/>
                    <w:spacing w:line="240" w:lineRule="atLeast"/>
                    <w:jc w:val="left"/>
                    <w:rPr>
                      <w:color w:val="000000"/>
                      <w:kern w:val="2"/>
                    </w:rPr>
                  </w:pPr>
                  <w:r>
                    <w:rPr>
                      <w:rFonts w:hint="eastAsia"/>
                      <w:color w:val="000000"/>
                      <w:kern w:val="2"/>
                    </w:rPr>
                    <w:t>园区应建立具科学性、实效性和可操作性的风险应急预案和环境风险防控体系。</w:t>
                  </w:r>
                </w:p>
              </w:tc>
              <w:tc>
                <w:tcPr>
                  <w:tcW w:w="1400" w:type="pct"/>
                  <w:vAlign w:val="center"/>
                </w:tcPr>
                <w:p>
                  <w:pPr>
                    <w:pStyle w:val="37"/>
                    <w:spacing w:line="240" w:lineRule="atLeast"/>
                    <w:rPr>
                      <w:color w:val="000000"/>
                      <w:kern w:val="2"/>
                    </w:rPr>
                  </w:pPr>
                  <w:r>
                    <w:rPr>
                      <w:rFonts w:hint="eastAsia"/>
                      <w:color w:val="000000"/>
                      <w:kern w:val="2"/>
                    </w:rPr>
                    <w:t>/</w:t>
                  </w:r>
                </w:p>
              </w:tc>
              <w:tc>
                <w:tcPr>
                  <w:tcW w:w="667" w:type="dxa"/>
                  <w:vAlign w:val="center"/>
                </w:tcPr>
                <w:p>
                  <w:pPr>
                    <w:pStyle w:val="37"/>
                    <w:spacing w:line="240" w:lineRule="atLeast"/>
                    <w:rPr>
                      <w:color w:val="000000"/>
                    </w:rPr>
                  </w:pP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294" w:type="pct"/>
                  <w:vMerge w:val="restart"/>
                  <w:vAlign w:val="center"/>
                </w:tcPr>
                <w:p>
                  <w:pPr>
                    <w:pStyle w:val="37"/>
                    <w:spacing w:line="240" w:lineRule="atLeast"/>
                    <w:rPr>
                      <w:color w:val="000000"/>
                      <w:kern w:val="2"/>
                    </w:rPr>
                  </w:pPr>
                  <w:r>
                    <w:rPr>
                      <w:rFonts w:hint="eastAsia"/>
                      <w:color w:val="000000"/>
                      <w:kern w:val="2"/>
                    </w:rPr>
                    <w:t>企业环境风险防控要求</w:t>
                  </w:r>
                </w:p>
              </w:tc>
              <w:tc>
                <w:tcPr>
                  <w:tcW w:w="480" w:type="pct"/>
                  <w:vAlign w:val="center"/>
                </w:tcPr>
                <w:p>
                  <w:pPr>
                    <w:pStyle w:val="37"/>
                    <w:spacing w:line="240" w:lineRule="atLeast"/>
                    <w:rPr>
                      <w:color w:val="000000"/>
                      <w:kern w:val="2"/>
                    </w:rPr>
                  </w:pPr>
                  <w:r>
                    <w:rPr>
                      <w:rFonts w:hint="eastAsia"/>
                      <w:color w:val="000000"/>
                      <w:kern w:val="2"/>
                    </w:rPr>
                    <w:t>企业风险防控配套措施</w:t>
                  </w:r>
                </w:p>
              </w:tc>
              <w:tc>
                <w:tcPr>
                  <w:tcW w:w="222" w:type="pct"/>
                  <w:vAlign w:val="center"/>
                </w:tcPr>
                <w:p>
                  <w:pPr>
                    <w:pStyle w:val="37"/>
                    <w:spacing w:line="240" w:lineRule="atLeast"/>
                    <w:rPr>
                      <w:color w:val="000000"/>
                      <w:kern w:val="2"/>
                    </w:rPr>
                  </w:pPr>
                  <w:r>
                    <w:rPr>
                      <w:rFonts w:hint="eastAsia"/>
                      <w:color w:val="000000"/>
                      <w:kern w:val="2"/>
                    </w:rPr>
                    <w:t>15</w:t>
                  </w:r>
                </w:p>
              </w:tc>
              <w:tc>
                <w:tcPr>
                  <w:tcW w:w="1911" w:type="pct"/>
                  <w:vAlign w:val="center"/>
                </w:tcPr>
                <w:p>
                  <w:pPr>
                    <w:pStyle w:val="37"/>
                    <w:spacing w:line="240" w:lineRule="atLeast"/>
                    <w:jc w:val="left"/>
                    <w:rPr>
                      <w:color w:val="000000"/>
                      <w:kern w:val="2"/>
                    </w:rPr>
                  </w:pPr>
                  <w:r>
                    <w:rPr>
                      <w:rFonts w:hint="eastAsia"/>
                      <w:color w:val="000000"/>
                      <w:kern w:val="2"/>
                    </w:rPr>
                    <w:t>生产、存储危险化学品及产生大量废水的生物医药、轻工纺织企业，应配套有效措施，防止因渗漏污染地下水、土壤，以及因事故废水直排污染地表水体。</w:t>
                  </w:r>
                </w:p>
              </w:tc>
              <w:tc>
                <w:tcPr>
                  <w:tcW w:w="1400" w:type="pct"/>
                  <w:vAlign w:val="center"/>
                </w:tcPr>
                <w:p>
                  <w:pPr>
                    <w:pStyle w:val="37"/>
                    <w:spacing w:line="240" w:lineRule="atLeast"/>
                    <w:jc w:val="left"/>
                    <w:rPr>
                      <w:color w:val="000000"/>
                      <w:kern w:val="2"/>
                    </w:rPr>
                  </w:pPr>
                  <w:r>
                    <w:rPr>
                      <w:rFonts w:hint="eastAsia"/>
                      <w:color w:val="000000"/>
                      <w:kern w:val="2"/>
                    </w:rPr>
                    <w:t>不属于生产、存储危险化学品及产生大量废水的生物医药、轻工纺织企业，且项目产生的废水均可达标排放。</w:t>
                  </w:r>
                </w:p>
              </w:tc>
              <w:tc>
                <w:tcPr>
                  <w:tcW w:w="667" w:type="dxa"/>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294" w:type="pct"/>
                  <w:vMerge w:val="continue"/>
                  <w:vAlign w:val="center"/>
                </w:tcPr>
                <w:p>
                  <w:pPr>
                    <w:pStyle w:val="37"/>
                    <w:spacing w:line="240" w:lineRule="atLeast"/>
                    <w:rPr>
                      <w:color w:val="000000"/>
                      <w:kern w:val="2"/>
                    </w:rPr>
                  </w:pPr>
                </w:p>
              </w:tc>
              <w:tc>
                <w:tcPr>
                  <w:tcW w:w="480" w:type="pct"/>
                  <w:vAlign w:val="center"/>
                </w:tcPr>
                <w:p>
                  <w:pPr>
                    <w:pStyle w:val="37"/>
                    <w:spacing w:line="240" w:lineRule="atLeast"/>
                    <w:rPr>
                      <w:color w:val="000000"/>
                      <w:kern w:val="2"/>
                    </w:rPr>
                  </w:pPr>
                  <w:r>
                    <w:rPr>
                      <w:rFonts w:hint="eastAsia"/>
                      <w:color w:val="000000"/>
                      <w:kern w:val="2"/>
                    </w:rPr>
                    <w:t>企业生产过程风险防控要求</w:t>
                  </w:r>
                </w:p>
              </w:tc>
              <w:tc>
                <w:tcPr>
                  <w:tcW w:w="222" w:type="pct"/>
                  <w:vAlign w:val="center"/>
                </w:tcPr>
                <w:p>
                  <w:pPr>
                    <w:pStyle w:val="37"/>
                    <w:spacing w:line="240" w:lineRule="atLeast"/>
                    <w:rPr>
                      <w:color w:val="000000"/>
                      <w:kern w:val="2"/>
                    </w:rPr>
                  </w:pPr>
                  <w:r>
                    <w:rPr>
                      <w:rFonts w:hint="eastAsia"/>
                      <w:color w:val="000000"/>
                      <w:kern w:val="2"/>
                    </w:rPr>
                    <w:t>16</w:t>
                  </w:r>
                </w:p>
              </w:tc>
              <w:tc>
                <w:tcPr>
                  <w:tcW w:w="1911" w:type="pct"/>
                  <w:vAlign w:val="center"/>
                </w:tcPr>
                <w:p>
                  <w:pPr>
                    <w:pStyle w:val="37"/>
                    <w:spacing w:line="240" w:lineRule="atLeast"/>
                    <w:jc w:val="left"/>
                    <w:rPr>
                      <w:color w:val="000000"/>
                      <w:kern w:val="2"/>
                    </w:rPr>
                  </w:pPr>
                  <w:r>
                    <w:rPr>
                      <w:rFonts w:hint="eastAsia"/>
                      <w:color w:val="000000"/>
                      <w:kern w:val="2"/>
                    </w:rPr>
                    <w:t>产生、利用或处置固体废物（含危险废物）的生物医药、轻工纺织、汽车制造企业，在贮存、转移、利用、处置固体废物（含危险废物）过程中，应配套防扬散、防流失、防渗漏及其他防止污染环境的措施。</w:t>
                  </w:r>
                </w:p>
              </w:tc>
              <w:tc>
                <w:tcPr>
                  <w:tcW w:w="1400" w:type="pct"/>
                  <w:vAlign w:val="center"/>
                </w:tcPr>
                <w:p>
                  <w:pPr>
                    <w:pStyle w:val="37"/>
                    <w:spacing w:line="240" w:lineRule="atLeast"/>
                    <w:jc w:val="left"/>
                    <w:rPr>
                      <w:color w:val="000000"/>
                      <w:kern w:val="2"/>
                    </w:rPr>
                  </w:pPr>
                  <w:r>
                    <w:rPr>
                      <w:color w:val="000000"/>
                      <w:kern w:val="2"/>
                    </w:rPr>
                    <w:t>项目设有危险废物暂存间，配套防扬散、防流失、防渗漏及其他防止污染环境的措施。</w:t>
                  </w:r>
                </w:p>
              </w:tc>
              <w:tc>
                <w:tcPr>
                  <w:tcW w:w="667" w:type="dxa"/>
                  <w:vAlign w:val="center"/>
                </w:tcPr>
                <w:p>
                  <w:pPr>
                    <w:pStyle w:val="37"/>
                    <w:spacing w:line="240" w:lineRule="atLeast"/>
                    <w:rPr>
                      <w:color w:val="000000"/>
                    </w:rPr>
                  </w:pPr>
                  <w:r>
                    <w:rPr>
                      <w:rFonts w:hint="eastAsia"/>
                      <w:color w:val="00000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vAlign w:val="center"/>
                </w:tcPr>
                <w:p>
                  <w:pPr>
                    <w:pStyle w:val="37"/>
                    <w:spacing w:line="240" w:lineRule="atLeast"/>
                    <w:rPr>
                      <w:color w:val="000000"/>
                      <w:kern w:val="2"/>
                    </w:rPr>
                  </w:pPr>
                  <w:r>
                    <w:rPr>
                      <w:color w:val="000000"/>
                      <w:kern w:val="2"/>
                    </w:rPr>
                    <w:t>资源利用效率要求</w:t>
                  </w:r>
                </w:p>
              </w:tc>
              <w:tc>
                <w:tcPr>
                  <w:tcW w:w="294" w:type="pct"/>
                  <w:vMerge w:val="restart"/>
                  <w:vAlign w:val="center"/>
                </w:tcPr>
                <w:p>
                  <w:pPr>
                    <w:pStyle w:val="37"/>
                    <w:spacing w:line="240" w:lineRule="atLeast"/>
                    <w:rPr>
                      <w:color w:val="000000"/>
                      <w:kern w:val="2"/>
                    </w:rPr>
                  </w:pPr>
                  <w:r>
                    <w:rPr>
                      <w:rFonts w:hint="eastAsia"/>
                      <w:color w:val="000000"/>
                      <w:kern w:val="2"/>
                    </w:rPr>
                    <w:t>水资源利用效率要求</w:t>
                  </w:r>
                </w:p>
              </w:tc>
              <w:tc>
                <w:tcPr>
                  <w:tcW w:w="480" w:type="pct"/>
                  <w:vAlign w:val="center"/>
                </w:tcPr>
                <w:p>
                  <w:pPr>
                    <w:pStyle w:val="37"/>
                    <w:spacing w:line="240" w:lineRule="atLeast"/>
                    <w:rPr>
                      <w:color w:val="000000"/>
                      <w:kern w:val="2"/>
                    </w:rPr>
                  </w:pPr>
                  <w:r>
                    <w:rPr>
                      <w:rFonts w:hint="eastAsia"/>
                      <w:color w:val="000000"/>
                      <w:kern w:val="2"/>
                    </w:rPr>
                    <w:t>水资源重复利用率要求</w:t>
                  </w:r>
                </w:p>
              </w:tc>
              <w:tc>
                <w:tcPr>
                  <w:tcW w:w="222" w:type="pct"/>
                  <w:vAlign w:val="center"/>
                </w:tcPr>
                <w:p>
                  <w:pPr>
                    <w:pStyle w:val="37"/>
                    <w:spacing w:line="240" w:lineRule="atLeast"/>
                    <w:rPr>
                      <w:color w:val="000000"/>
                      <w:kern w:val="2"/>
                    </w:rPr>
                  </w:pPr>
                  <w:r>
                    <w:rPr>
                      <w:rFonts w:hint="eastAsia"/>
                      <w:color w:val="000000"/>
                      <w:kern w:val="2"/>
                    </w:rPr>
                    <w:t>17</w:t>
                  </w:r>
                </w:p>
              </w:tc>
              <w:tc>
                <w:tcPr>
                  <w:tcW w:w="1911" w:type="pct"/>
                  <w:vAlign w:val="center"/>
                </w:tcPr>
                <w:p>
                  <w:pPr>
                    <w:pStyle w:val="37"/>
                    <w:spacing w:line="240" w:lineRule="atLeast"/>
                    <w:jc w:val="left"/>
                    <w:rPr>
                      <w:color w:val="000000"/>
                      <w:kern w:val="2"/>
                    </w:rPr>
                  </w:pPr>
                  <w:r>
                    <w:rPr>
                      <w:rFonts w:hint="eastAsia"/>
                      <w:color w:val="000000"/>
                      <w:kern w:val="2"/>
                    </w:rPr>
                    <w:t>鼓励企业加大工业用水重复利用率，特定行业工业用水重复利用率应满足该行业清洁生产要求。</w:t>
                  </w:r>
                </w:p>
              </w:tc>
              <w:tc>
                <w:tcPr>
                  <w:tcW w:w="1400" w:type="pct"/>
                  <w:vAlign w:val="center"/>
                </w:tcPr>
                <w:p>
                  <w:pPr>
                    <w:pStyle w:val="37"/>
                    <w:spacing w:line="240" w:lineRule="atLeast"/>
                    <w:rPr>
                      <w:color w:val="000000"/>
                      <w:kern w:val="2"/>
                    </w:rPr>
                  </w:pPr>
                  <w:r>
                    <w:rPr>
                      <w:rFonts w:hint="eastAsia"/>
                    </w:rPr>
                    <w:t>扩建项目不新增新鲜水用量。</w:t>
                  </w:r>
                </w:p>
              </w:tc>
              <w:tc>
                <w:tcPr>
                  <w:tcW w:w="268" w:type="pct"/>
                  <w:vAlign w:val="center"/>
                </w:tcPr>
                <w:p>
                  <w:pPr>
                    <w:pStyle w:val="37"/>
                    <w:spacing w:line="240" w:lineRule="atLeast"/>
                    <w:rPr>
                      <w:color w:val="000000"/>
                      <w:kern w:val="2"/>
                    </w:rPr>
                  </w:pP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pPr>
                    <w:pStyle w:val="37"/>
                    <w:spacing w:line="240" w:lineRule="atLeast"/>
                    <w:rPr>
                      <w:color w:val="000000"/>
                      <w:kern w:val="2"/>
                    </w:rPr>
                  </w:pPr>
                </w:p>
              </w:tc>
              <w:tc>
                <w:tcPr>
                  <w:tcW w:w="294" w:type="pct"/>
                  <w:vMerge w:val="continue"/>
                  <w:vAlign w:val="center"/>
                </w:tcPr>
                <w:p>
                  <w:pPr>
                    <w:pStyle w:val="37"/>
                    <w:spacing w:line="240" w:lineRule="atLeast"/>
                    <w:rPr>
                      <w:color w:val="000000"/>
                      <w:kern w:val="2"/>
                    </w:rPr>
                  </w:pPr>
                </w:p>
              </w:tc>
              <w:tc>
                <w:tcPr>
                  <w:tcW w:w="480" w:type="pct"/>
                  <w:vAlign w:val="center"/>
                </w:tcPr>
                <w:p>
                  <w:pPr>
                    <w:pStyle w:val="37"/>
                    <w:spacing w:line="240" w:lineRule="atLeast"/>
                    <w:rPr>
                      <w:color w:val="000000"/>
                      <w:kern w:val="2"/>
                    </w:rPr>
                  </w:pPr>
                  <w:r>
                    <w:rPr>
                      <w:rFonts w:hint="eastAsia"/>
                      <w:color w:val="000000"/>
                      <w:kern w:val="2"/>
                    </w:rPr>
                    <w:t>水资源利用效率和强度要求</w:t>
                  </w:r>
                </w:p>
              </w:tc>
              <w:tc>
                <w:tcPr>
                  <w:tcW w:w="222" w:type="pct"/>
                  <w:vAlign w:val="center"/>
                </w:tcPr>
                <w:p>
                  <w:pPr>
                    <w:pStyle w:val="37"/>
                    <w:spacing w:line="240" w:lineRule="atLeast"/>
                    <w:rPr>
                      <w:color w:val="000000"/>
                      <w:kern w:val="2"/>
                    </w:rPr>
                  </w:pPr>
                  <w:r>
                    <w:rPr>
                      <w:rFonts w:hint="eastAsia"/>
                      <w:color w:val="000000"/>
                      <w:kern w:val="2"/>
                    </w:rPr>
                    <w:t>18</w:t>
                  </w:r>
                </w:p>
              </w:tc>
              <w:tc>
                <w:tcPr>
                  <w:tcW w:w="1911" w:type="pct"/>
                  <w:vAlign w:val="center"/>
                </w:tcPr>
                <w:p>
                  <w:pPr>
                    <w:pStyle w:val="37"/>
                    <w:spacing w:line="240" w:lineRule="atLeast"/>
                    <w:jc w:val="left"/>
                    <w:rPr>
                      <w:color w:val="000000"/>
                      <w:kern w:val="2"/>
                    </w:rPr>
                  </w:pPr>
                  <w:r>
                    <w:rPr>
                      <w:rFonts w:hint="eastAsia"/>
                      <w:color w:val="000000"/>
                      <w:kern w:val="2"/>
                    </w:rPr>
                    <w:t>万元工业增加值新鲜水耗不高于9m</w:t>
                  </w:r>
                  <w:r>
                    <w:rPr>
                      <w:rFonts w:hint="eastAsia"/>
                      <w:color w:val="000000"/>
                      <w:kern w:val="2"/>
                      <w:vertAlign w:val="superscript"/>
                    </w:rPr>
                    <w:t>3</w:t>
                  </w:r>
                  <w:r>
                    <w:rPr>
                      <w:rFonts w:hint="eastAsia"/>
                      <w:color w:val="000000"/>
                      <w:kern w:val="2"/>
                    </w:rPr>
                    <w:t>。</w:t>
                  </w:r>
                </w:p>
              </w:tc>
              <w:tc>
                <w:tcPr>
                  <w:tcW w:w="1400" w:type="pct"/>
                  <w:vAlign w:val="center"/>
                </w:tcPr>
                <w:p>
                  <w:pPr>
                    <w:pStyle w:val="37"/>
                    <w:spacing w:line="240" w:lineRule="atLeast"/>
                    <w:rPr>
                      <w:color w:val="000000"/>
                      <w:kern w:val="2"/>
                    </w:rPr>
                  </w:pPr>
                  <w:r>
                    <w:rPr>
                      <w:rFonts w:hint="eastAsia"/>
                    </w:rPr>
                    <w:t>扩建项目不新增新鲜水用量。</w:t>
                  </w:r>
                </w:p>
              </w:tc>
              <w:tc>
                <w:tcPr>
                  <w:tcW w:w="667" w:type="dxa"/>
                  <w:vAlign w:val="center"/>
                </w:tcPr>
                <w:p>
                  <w:pPr>
                    <w:pStyle w:val="37"/>
                    <w:spacing w:line="240" w:lineRule="atLeast"/>
                    <w:rPr>
                      <w:color w:val="000000"/>
                    </w:rPr>
                  </w:pPr>
                  <w:r>
                    <w:rPr>
                      <w:rFonts w:hint="eastAsia"/>
                      <w:color w:val="000000"/>
                    </w:rPr>
                    <w:t>符合</w:t>
                  </w:r>
                </w:p>
              </w:tc>
            </w:tr>
          </w:tbl>
          <w:p>
            <w:pPr>
              <w:ind w:firstLine="480"/>
              <w:rPr>
                <w:color w:val="000000"/>
              </w:rPr>
            </w:pPr>
            <w:r>
              <w:rPr>
                <w:rFonts w:hint="eastAsia"/>
                <w:color w:val="000000"/>
              </w:rPr>
              <w:t>综上所述，扩建项目建设符合区域“三线一单”相关管理要求。</w:t>
            </w:r>
          </w:p>
        </w:tc>
      </w:tr>
    </w:tbl>
    <w:p>
      <w:pPr>
        <w:pStyle w:val="41"/>
        <w:rPr>
          <w:b/>
          <w:bCs/>
          <w:color w:val="000000"/>
        </w:rPr>
        <w:sectPr>
          <w:pgSz w:w="16838" w:h="11906" w:orient="landscape"/>
          <w:pgMar w:top="1531" w:right="1701" w:bottom="1531" w:left="1701" w:header="851" w:footer="1077" w:gutter="0"/>
          <w:cols w:space="720" w:num="1"/>
          <w:docGrid w:linePitch="312" w:charSpace="0"/>
        </w:sectPr>
      </w:pPr>
    </w:p>
    <w:p>
      <w:pPr>
        <w:pStyle w:val="24"/>
        <w:snapToGrid w:val="0"/>
        <w:spacing w:before="0" w:beforeAutospacing="0" w:afterLines="100" w:afterAutospacing="0"/>
        <w:ind w:firstLine="0" w:firstLineChars="0"/>
        <w:jc w:val="center"/>
        <w:outlineLvl w:val="0"/>
        <w:rPr>
          <w:rFonts w:ascii="Times New Roman" w:hAnsi="Times New Roman"/>
          <w:b/>
          <w:bCs/>
          <w:snapToGrid w:val="0"/>
          <w:color w:val="000000"/>
          <w:sz w:val="30"/>
          <w:szCs w:val="30"/>
        </w:rPr>
      </w:pPr>
      <w:r>
        <w:rPr>
          <w:rFonts w:ascii="Times New Roman" w:hAnsi="Times New Roman"/>
          <w:b/>
          <w:bCs/>
          <w:snapToGrid w:val="0"/>
          <w:color w:val="000000"/>
          <w:sz w:val="30"/>
          <w:szCs w:val="30"/>
        </w:rPr>
        <w:t>二、建设项目工程分析</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82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13" w:hRule="atLeast"/>
          <w:jc w:val="center"/>
        </w:trPr>
        <w:tc>
          <w:tcPr>
            <w:tcW w:w="902" w:type="dxa"/>
            <w:vAlign w:val="center"/>
          </w:tcPr>
          <w:p>
            <w:pPr>
              <w:pStyle w:val="41"/>
              <w:rPr>
                <w:b/>
                <w:bCs/>
                <w:color w:val="000000"/>
              </w:rPr>
            </w:pPr>
            <w:r>
              <w:rPr>
                <w:b/>
                <w:bCs/>
                <w:color w:val="000000"/>
              </w:rPr>
              <w:t>建设内容</w:t>
            </w:r>
          </w:p>
        </w:tc>
        <w:tc>
          <w:tcPr>
            <w:tcW w:w="8158" w:type="dxa"/>
          </w:tcPr>
          <w:p>
            <w:pPr>
              <w:adjustRightInd w:val="0"/>
              <w:snapToGrid w:val="0"/>
              <w:ind w:firstLine="482"/>
              <w:rPr>
                <w:b/>
                <w:bCs/>
                <w:color w:val="000000"/>
              </w:rPr>
            </w:pPr>
            <w:r>
              <w:rPr>
                <w:b/>
                <w:bCs/>
                <w:color w:val="000000"/>
              </w:rPr>
              <w:t>（1）</w:t>
            </w:r>
            <w:r>
              <w:rPr>
                <w:rFonts w:hint="eastAsia"/>
                <w:b/>
                <w:bCs/>
                <w:color w:val="000000"/>
              </w:rPr>
              <w:t>扩建</w:t>
            </w:r>
            <w:r>
              <w:rPr>
                <w:b/>
                <w:bCs/>
                <w:color w:val="000000"/>
              </w:rPr>
              <w:t>项目组成情况</w:t>
            </w:r>
          </w:p>
          <w:p>
            <w:pPr>
              <w:adjustRightInd w:val="0"/>
              <w:snapToGrid w:val="0"/>
              <w:ind w:firstLine="480"/>
              <w:rPr>
                <w:color w:val="000000"/>
              </w:rPr>
            </w:pPr>
            <w:r>
              <w:rPr>
                <w:color w:val="000000"/>
              </w:rPr>
              <w:t>1、</w:t>
            </w:r>
            <w:r>
              <w:rPr>
                <w:rFonts w:hint="eastAsia"/>
                <w:color w:val="000000"/>
              </w:rPr>
              <w:t>扩建</w:t>
            </w:r>
            <w:r>
              <w:rPr>
                <w:color w:val="000000"/>
              </w:rPr>
              <w:t>项目概况</w:t>
            </w:r>
          </w:p>
          <w:p>
            <w:pPr>
              <w:widowControl/>
              <w:ind w:firstLine="480"/>
              <w:jc w:val="left"/>
              <w:rPr>
                <w:color w:val="000000"/>
              </w:rPr>
            </w:pPr>
            <w:r>
              <w:rPr>
                <w:rFonts w:hint="eastAsia"/>
                <w:color w:val="000000"/>
              </w:rPr>
              <w:t>为完善企业产业链、扩大市场份额，江铃汽车股份有限公司拟投资2100万元，于南昌小蓝经济开发区江铃汽车股份有限公司（小蓝分公司）现有600亩厂区占地范围内扩建“江铃汽车股份有限公司前后副车架焊接线体项目”，扩建项目占地面积为450m</w:t>
            </w:r>
            <w:r>
              <w:rPr>
                <w:rFonts w:hint="eastAsia"/>
                <w:color w:val="000000"/>
                <w:vertAlign w:val="superscript"/>
              </w:rPr>
              <w:t>2</w:t>
            </w:r>
            <w:r>
              <w:rPr>
                <w:rFonts w:hint="eastAsia"/>
                <w:color w:val="000000"/>
              </w:rPr>
              <w:t>，建筑面积为450m</w:t>
            </w:r>
            <w:r>
              <w:rPr>
                <w:rFonts w:hint="eastAsia"/>
                <w:color w:val="000000"/>
                <w:vertAlign w:val="superscript"/>
              </w:rPr>
              <w:t>2</w:t>
            </w:r>
            <w:r>
              <w:rPr>
                <w:rFonts w:hint="eastAsia"/>
                <w:color w:val="000000"/>
              </w:rPr>
              <w:t>。</w:t>
            </w:r>
          </w:p>
          <w:p>
            <w:pPr>
              <w:ind w:firstLine="480"/>
              <w:rPr>
                <w:color w:val="000000"/>
              </w:rPr>
            </w:pPr>
            <w:r>
              <w:rPr>
                <w:rFonts w:hint="eastAsia"/>
                <w:color w:val="000000"/>
              </w:rPr>
              <w:t>按照《环境影响评价法》规定，项目在建设前应报批环境影响评价文件，经对比《建设环境影响评价分类管理名录》（2021年版），项目属于“三十三、汽车制造业36”中的“71汽车零部件及配件制造367-其他（年用非溶剂型低VOCs含量涂料10吨以下的除外）”，因此报批环境影响评价文件为环境影响报告表。</w:t>
            </w:r>
          </w:p>
          <w:p>
            <w:pPr>
              <w:adjustRightInd w:val="0"/>
              <w:snapToGrid w:val="0"/>
              <w:ind w:firstLine="480"/>
              <w:rPr>
                <w:color w:val="000000"/>
              </w:rPr>
            </w:pPr>
            <w:r>
              <w:rPr>
                <w:rFonts w:hint="eastAsia"/>
                <w:color w:val="000000"/>
              </w:rPr>
              <w:t>2、扩建项目建设内容</w:t>
            </w:r>
          </w:p>
          <w:p>
            <w:pPr>
              <w:widowControl/>
              <w:ind w:firstLine="480"/>
              <w:jc w:val="left"/>
              <w:rPr>
                <w:color w:val="000000"/>
              </w:rPr>
            </w:pPr>
            <w:r>
              <w:rPr>
                <w:rFonts w:hint="eastAsia"/>
                <w:color w:val="000000"/>
              </w:rPr>
              <w:t>项目为扩建性质，总投资2100万元，设计建成后可形成新增年产12.4万套CX835车架焊接的生产规模。</w:t>
            </w:r>
          </w:p>
          <w:p>
            <w:pPr>
              <w:ind w:firstLine="480"/>
              <w:rPr>
                <w:color w:val="000000"/>
              </w:rPr>
            </w:pPr>
            <w:r>
              <w:rPr>
                <w:rFonts w:hint="eastAsia"/>
                <w:color w:val="000000"/>
              </w:rPr>
              <w:t>扩建项目主要建设内容为：新建</w:t>
            </w:r>
            <w:r>
              <w:rPr>
                <w:rFonts w:hint="eastAsia"/>
                <w:color w:val="000000"/>
                <w:highlight w:val="none"/>
              </w:rPr>
              <w:t>焊接房（位于车架焊接车间内现有空地）等主体工程，办公区等辅助工程（依托现有）</w:t>
            </w:r>
            <w:r>
              <w:rPr>
                <w:rFonts w:hint="eastAsia"/>
                <w:color w:val="000000"/>
              </w:rPr>
              <w:t>，车架存放区等储运工程（依托现有），供水、供电、排水等公用工程（依托现</w:t>
            </w:r>
            <w:r>
              <w:rPr>
                <w:rFonts w:hint="eastAsia"/>
                <w:color w:val="000000"/>
                <w:highlight w:val="none"/>
              </w:rPr>
              <w:t>有），废气</w:t>
            </w:r>
            <w:r>
              <w:rPr>
                <w:rFonts w:hint="eastAsia"/>
                <w:color w:val="000000"/>
                <w:highlight w:val="none"/>
                <w:lang w:val="en-US" w:eastAsia="zh-CN"/>
              </w:rPr>
              <w:t>治理设施</w:t>
            </w:r>
            <w:r>
              <w:rPr>
                <w:rFonts w:hint="eastAsia"/>
                <w:color w:val="000000"/>
                <w:highlight w:val="none"/>
              </w:rPr>
              <w:t>（</w:t>
            </w:r>
            <w:r>
              <w:rPr>
                <w:rFonts w:hint="eastAsia"/>
                <w:color w:val="000000"/>
              </w:rPr>
              <w:t>新建）、噪声</w:t>
            </w:r>
            <w:r>
              <w:rPr>
                <w:rFonts w:hint="eastAsia"/>
                <w:color w:val="000000"/>
                <w:lang w:val="en-US" w:eastAsia="zh-CN"/>
              </w:rPr>
              <w:t>治理设施</w:t>
            </w:r>
            <w:r>
              <w:rPr>
                <w:rFonts w:hint="eastAsia"/>
                <w:color w:val="000000"/>
              </w:rPr>
              <w:t>（新建）、固废</w:t>
            </w:r>
            <w:r>
              <w:rPr>
                <w:rFonts w:hint="eastAsia"/>
                <w:color w:val="000000"/>
                <w:lang w:val="en-US" w:eastAsia="zh-CN"/>
              </w:rPr>
              <w:t>治理设施</w:t>
            </w:r>
            <w:r>
              <w:rPr>
                <w:rFonts w:hint="eastAsia"/>
                <w:color w:val="000000"/>
              </w:rPr>
              <w:t>（依托现有）等环保工程</w:t>
            </w:r>
            <w:r>
              <w:rPr>
                <w:color w:val="000000"/>
              </w:rPr>
              <w:t>。</w:t>
            </w:r>
          </w:p>
          <w:p>
            <w:pPr>
              <w:adjustRightInd w:val="0"/>
              <w:snapToGrid w:val="0"/>
              <w:ind w:firstLine="480"/>
              <w:rPr>
                <w:color w:val="000000"/>
              </w:rPr>
            </w:pPr>
            <w:r>
              <w:rPr>
                <w:rFonts w:hint="eastAsia"/>
                <w:color w:val="000000"/>
              </w:rPr>
              <w:t>扩建项目具体建设情况</w:t>
            </w:r>
            <w:r>
              <w:rPr>
                <w:color w:val="000000"/>
              </w:rPr>
              <w:t>见表2-</w:t>
            </w:r>
            <w:r>
              <w:rPr>
                <w:rFonts w:hint="eastAsia"/>
                <w:color w:val="000000"/>
              </w:rPr>
              <w:t>1</w:t>
            </w:r>
            <w:r>
              <w:rPr>
                <w:color w:val="000000"/>
              </w:rPr>
              <w:t>，厂房平面布置见附图</w:t>
            </w:r>
            <w:r>
              <w:rPr>
                <w:rFonts w:hint="eastAsia"/>
                <w:color w:val="000000"/>
              </w:rPr>
              <w:t>四</w:t>
            </w:r>
            <w:r>
              <w:rPr>
                <w:color w:val="000000"/>
              </w:rPr>
              <w:t>。</w:t>
            </w:r>
          </w:p>
          <w:p>
            <w:pPr>
              <w:pStyle w:val="38"/>
              <w:rPr>
                <w:color w:val="000000"/>
                <w:spacing w:val="0"/>
              </w:rPr>
            </w:pPr>
            <w:r>
              <w:rPr>
                <w:color w:val="000000"/>
                <w:spacing w:val="0"/>
              </w:rPr>
              <w:t>表2-</w:t>
            </w:r>
            <w:r>
              <w:rPr>
                <w:rFonts w:hint="eastAsia"/>
                <w:color w:val="000000"/>
                <w:spacing w:val="0"/>
              </w:rPr>
              <w:t>1</w:t>
            </w:r>
            <w:r>
              <w:rPr>
                <w:color w:val="000000"/>
                <w:spacing w:val="0"/>
              </w:rPr>
              <w:t xml:space="preserve"> </w:t>
            </w:r>
            <w:r>
              <w:rPr>
                <w:rFonts w:hint="eastAsia"/>
                <w:color w:val="000000"/>
                <w:spacing w:val="0"/>
              </w:rPr>
              <w:t xml:space="preserve"> </w:t>
            </w:r>
            <w:r>
              <w:rPr>
                <w:color w:val="000000"/>
                <w:spacing w:val="0"/>
              </w:rPr>
              <w:t>建设项目组成表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331"/>
              <w:gridCol w:w="4854"/>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388" w:type="pct"/>
                  <w:vAlign w:val="center"/>
                </w:tcPr>
                <w:p>
                  <w:pPr>
                    <w:pStyle w:val="37"/>
                    <w:rPr>
                      <w:b/>
                      <w:bCs/>
                      <w:color w:val="000000"/>
                    </w:rPr>
                  </w:pPr>
                  <w:r>
                    <w:rPr>
                      <w:b/>
                      <w:bCs/>
                      <w:color w:val="000000"/>
                    </w:rPr>
                    <w:t>类别</w:t>
                  </w:r>
                </w:p>
              </w:tc>
              <w:tc>
                <w:tcPr>
                  <w:tcW w:w="833" w:type="pct"/>
                  <w:vAlign w:val="center"/>
                </w:tcPr>
                <w:p>
                  <w:pPr>
                    <w:pStyle w:val="37"/>
                    <w:rPr>
                      <w:b/>
                      <w:bCs/>
                      <w:color w:val="000000"/>
                    </w:rPr>
                  </w:pPr>
                  <w:r>
                    <w:rPr>
                      <w:rFonts w:hint="eastAsia"/>
                      <w:b/>
                      <w:bCs/>
                      <w:color w:val="000000"/>
                    </w:rPr>
                    <w:t>项目组成</w:t>
                  </w:r>
                </w:p>
              </w:tc>
              <w:tc>
                <w:tcPr>
                  <w:tcW w:w="3038" w:type="pct"/>
                  <w:vAlign w:val="center"/>
                </w:tcPr>
                <w:p>
                  <w:pPr>
                    <w:pStyle w:val="37"/>
                    <w:rPr>
                      <w:b/>
                      <w:bCs/>
                      <w:color w:val="000000"/>
                    </w:rPr>
                  </w:pPr>
                  <w:r>
                    <w:rPr>
                      <w:b/>
                      <w:bCs/>
                      <w:color w:val="000000"/>
                    </w:rPr>
                    <w:t>建设内容</w:t>
                  </w:r>
                </w:p>
              </w:tc>
              <w:tc>
                <w:tcPr>
                  <w:tcW w:w="738" w:type="pct"/>
                  <w:vAlign w:val="center"/>
                </w:tcPr>
                <w:p>
                  <w:pPr>
                    <w:pStyle w:val="37"/>
                    <w:rPr>
                      <w:b/>
                      <w:bCs/>
                      <w:color w:val="000000"/>
                    </w:rPr>
                  </w:pPr>
                  <w:r>
                    <w:rPr>
                      <w:rFonts w:hint="eastAsia"/>
                      <w:b/>
                      <w:bCs/>
                      <w:color w:val="000000"/>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Align w:val="center"/>
                </w:tcPr>
                <w:p>
                  <w:pPr>
                    <w:pStyle w:val="37"/>
                    <w:rPr>
                      <w:color w:val="000000"/>
                    </w:rPr>
                  </w:pPr>
                  <w:r>
                    <w:rPr>
                      <w:color w:val="000000"/>
                    </w:rPr>
                    <w:t>主体工程</w:t>
                  </w:r>
                </w:p>
              </w:tc>
              <w:tc>
                <w:tcPr>
                  <w:tcW w:w="833" w:type="pct"/>
                  <w:vAlign w:val="center"/>
                </w:tcPr>
                <w:p>
                  <w:pPr>
                    <w:pStyle w:val="37"/>
                    <w:rPr>
                      <w:color w:val="000000"/>
                    </w:rPr>
                  </w:pPr>
                  <w:r>
                    <w:rPr>
                      <w:rFonts w:hint="eastAsia"/>
                      <w:color w:val="000000"/>
                    </w:rPr>
                    <w:t>焊接房</w:t>
                  </w:r>
                </w:p>
              </w:tc>
              <w:tc>
                <w:tcPr>
                  <w:tcW w:w="3038" w:type="pct"/>
                  <w:vAlign w:val="center"/>
                </w:tcPr>
                <w:p>
                  <w:pPr>
                    <w:pStyle w:val="37"/>
                    <w:jc w:val="left"/>
                    <w:rPr>
                      <w:color w:val="000000"/>
                    </w:rPr>
                  </w:pPr>
                  <w:r>
                    <w:rPr>
                      <w:rFonts w:hint="eastAsia"/>
                      <w:color w:val="000000"/>
                    </w:rPr>
                    <w:t>建筑面积450m</w:t>
                  </w:r>
                  <w:r>
                    <w:rPr>
                      <w:rFonts w:hint="eastAsia"/>
                      <w:color w:val="000000"/>
                      <w:vertAlign w:val="superscript"/>
                    </w:rPr>
                    <w:t>2</w:t>
                  </w:r>
                  <w:r>
                    <w:rPr>
                      <w:rFonts w:hint="eastAsia"/>
                      <w:color w:val="000000"/>
                    </w:rPr>
                    <w:t>，主要设置CX835前后副车架总成生产线1条。</w:t>
                  </w:r>
                </w:p>
              </w:tc>
              <w:tc>
                <w:tcPr>
                  <w:tcW w:w="738" w:type="pct"/>
                  <w:vAlign w:val="center"/>
                </w:tcPr>
                <w:p>
                  <w:pPr>
                    <w:pStyle w:val="37"/>
                    <w:rPr>
                      <w:color w:val="000000"/>
                    </w:rPr>
                  </w:pPr>
                  <w:r>
                    <w:rPr>
                      <w:rFonts w:hint="eastAsia"/>
                      <w:color w:val="000000"/>
                    </w:rPr>
                    <w:t>利用现有空地安装生产设备、搭建焊</w:t>
                  </w:r>
                  <w:r>
                    <w:rPr>
                      <w:rFonts w:hint="eastAsia"/>
                      <w:color w:val="000000"/>
                      <w:lang w:val="en-US" w:eastAsia="zh-CN"/>
                    </w:rPr>
                    <w:t>接</w:t>
                  </w:r>
                  <w:r>
                    <w:rPr>
                      <w:rFonts w:hint="eastAsia"/>
                      <w:color w:val="000000"/>
                    </w:rPr>
                    <w:t>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Align w:val="center"/>
                </w:tcPr>
                <w:p>
                  <w:pPr>
                    <w:pStyle w:val="37"/>
                    <w:rPr>
                      <w:color w:val="000000"/>
                    </w:rPr>
                  </w:pPr>
                  <w:r>
                    <w:rPr>
                      <w:rFonts w:hint="eastAsia"/>
                      <w:color w:val="000000"/>
                    </w:rPr>
                    <w:t>辅助工程</w:t>
                  </w:r>
                </w:p>
              </w:tc>
              <w:tc>
                <w:tcPr>
                  <w:tcW w:w="833" w:type="pct"/>
                  <w:vAlign w:val="center"/>
                </w:tcPr>
                <w:p>
                  <w:pPr>
                    <w:pStyle w:val="37"/>
                    <w:rPr>
                      <w:color w:val="000000"/>
                    </w:rPr>
                  </w:pPr>
                  <w:r>
                    <w:rPr>
                      <w:rFonts w:hint="eastAsia"/>
                      <w:color w:val="000000"/>
                    </w:rPr>
                    <w:t>办公区</w:t>
                  </w:r>
                </w:p>
              </w:tc>
              <w:tc>
                <w:tcPr>
                  <w:tcW w:w="3038" w:type="pct"/>
                  <w:vAlign w:val="center"/>
                </w:tcPr>
                <w:p>
                  <w:pPr>
                    <w:pStyle w:val="37"/>
                    <w:jc w:val="left"/>
                    <w:rPr>
                      <w:color w:val="000000"/>
                    </w:rPr>
                  </w:pPr>
                  <w:r>
                    <w:rPr>
                      <w:rFonts w:hint="eastAsia"/>
                      <w:color w:val="000000"/>
                    </w:rPr>
                    <w:t>位于厂区车架焊接车间北侧。</w:t>
                  </w:r>
                </w:p>
              </w:tc>
              <w:tc>
                <w:tcPr>
                  <w:tcW w:w="738" w:type="pct"/>
                  <w:vMerge w:val="restart"/>
                  <w:vAlign w:val="center"/>
                </w:tcPr>
                <w:p>
                  <w:pPr>
                    <w:pStyle w:val="37"/>
                    <w:rPr>
                      <w:color w:val="000000"/>
                    </w:rPr>
                  </w:pPr>
                  <w:r>
                    <w:rPr>
                      <w:rFonts w:hint="eastAsia"/>
                      <w:color w:val="000000"/>
                    </w:rPr>
                    <w:t>依托厂区现有设施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88" w:type="pct"/>
                  <w:vMerge w:val="restart"/>
                  <w:vAlign w:val="center"/>
                </w:tcPr>
                <w:p>
                  <w:pPr>
                    <w:pStyle w:val="37"/>
                    <w:rPr>
                      <w:color w:val="000000"/>
                    </w:rPr>
                  </w:pPr>
                  <w:r>
                    <w:rPr>
                      <w:color w:val="000000"/>
                    </w:rPr>
                    <w:t>公用工程</w:t>
                  </w:r>
                </w:p>
              </w:tc>
              <w:tc>
                <w:tcPr>
                  <w:tcW w:w="833" w:type="pct"/>
                  <w:vAlign w:val="center"/>
                </w:tcPr>
                <w:p>
                  <w:pPr>
                    <w:pStyle w:val="37"/>
                    <w:rPr>
                      <w:color w:val="000000"/>
                    </w:rPr>
                  </w:pPr>
                  <w:r>
                    <w:rPr>
                      <w:rFonts w:hint="eastAsia"/>
                      <w:color w:val="000000"/>
                    </w:rPr>
                    <w:t>供水</w:t>
                  </w:r>
                </w:p>
              </w:tc>
              <w:tc>
                <w:tcPr>
                  <w:tcW w:w="3038" w:type="pct"/>
                  <w:vAlign w:val="center"/>
                </w:tcPr>
                <w:p>
                  <w:pPr>
                    <w:pStyle w:val="37"/>
                    <w:jc w:val="left"/>
                    <w:rPr>
                      <w:color w:val="000000"/>
                    </w:rPr>
                  </w:pPr>
                  <w:r>
                    <w:rPr>
                      <w:rFonts w:hint="eastAsia"/>
                      <w:color w:val="000000"/>
                    </w:rPr>
                    <w:t>市政供水。</w:t>
                  </w:r>
                </w:p>
              </w:tc>
              <w:tc>
                <w:tcPr>
                  <w:tcW w:w="738"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88" w:type="pct"/>
                  <w:vMerge w:val="continue"/>
                  <w:vAlign w:val="center"/>
                </w:tcPr>
                <w:p>
                  <w:pPr>
                    <w:pStyle w:val="37"/>
                    <w:rPr>
                      <w:color w:val="000000"/>
                    </w:rPr>
                  </w:pPr>
                </w:p>
              </w:tc>
              <w:tc>
                <w:tcPr>
                  <w:tcW w:w="833" w:type="pct"/>
                  <w:vAlign w:val="center"/>
                </w:tcPr>
                <w:p>
                  <w:pPr>
                    <w:pStyle w:val="37"/>
                    <w:rPr>
                      <w:color w:val="000000"/>
                    </w:rPr>
                  </w:pPr>
                  <w:r>
                    <w:rPr>
                      <w:rFonts w:hint="eastAsia"/>
                      <w:color w:val="000000"/>
                    </w:rPr>
                    <w:t>排水</w:t>
                  </w:r>
                </w:p>
              </w:tc>
              <w:tc>
                <w:tcPr>
                  <w:tcW w:w="3038" w:type="pct"/>
                  <w:vAlign w:val="center"/>
                </w:tcPr>
                <w:p>
                  <w:pPr>
                    <w:pStyle w:val="37"/>
                    <w:jc w:val="left"/>
                    <w:rPr>
                      <w:color w:val="000000"/>
                    </w:rPr>
                  </w:pPr>
                  <w:r>
                    <w:rPr>
                      <w:rFonts w:hint="eastAsia"/>
                      <w:color w:val="000000"/>
                    </w:rPr>
                    <w:t>雨污分流。雨水排入园区市政雨水管网；污水排入园区市政污水管网。</w:t>
                  </w:r>
                </w:p>
              </w:tc>
              <w:tc>
                <w:tcPr>
                  <w:tcW w:w="738"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continue"/>
                  <w:vAlign w:val="center"/>
                </w:tcPr>
                <w:p>
                  <w:pPr>
                    <w:pStyle w:val="37"/>
                    <w:rPr>
                      <w:color w:val="000000"/>
                    </w:rPr>
                  </w:pPr>
                </w:p>
              </w:tc>
              <w:tc>
                <w:tcPr>
                  <w:tcW w:w="833" w:type="pct"/>
                  <w:vAlign w:val="center"/>
                </w:tcPr>
                <w:p>
                  <w:pPr>
                    <w:pStyle w:val="37"/>
                    <w:rPr>
                      <w:color w:val="000000"/>
                    </w:rPr>
                  </w:pPr>
                  <w:r>
                    <w:rPr>
                      <w:rFonts w:hint="eastAsia"/>
                      <w:color w:val="000000"/>
                    </w:rPr>
                    <w:t>供电</w:t>
                  </w:r>
                </w:p>
              </w:tc>
              <w:tc>
                <w:tcPr>
                  <w:tcW w:w="3038" w:type="pct"/>
                  <w:vAlign w:val="center"/>
                </w:tcPr>
                <w:p>
                  <w:pPr>
                    <w:pStyle w:val="37"/>
                    <w:jc w:val="left"/>
                    <w:rPr>
                      <w:color w:val="000000"/>
                    </w:rPr>
                  </w:pPr>
                  <w:r>
                    <w:rPr>
                      <w:rFonts w:hint="eastAsia"/>
                      <w:color w:val="000000"/>
                    </w:rPr>
                    <w:t>市政供电。</w:t>
                  </w:r>
                </w:p>
              </w:tc>
              <w:tc>
                <w:tcPr>
                  <w:tcW w:w="738"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88" w:type="pct"/>
                  <w:vAlign w:val="center"/>
                </w:tcPr>
                <w:p>
                  <w:pPr>
                    <w:pStyle w:val="37"/>
                    <w:rPr>
                      <w:color w:val="000000"/>
                    </w:rPr>
                  </w:pPr>
                  <w:r>
                    <w:rPr>
                      <w:rFonts w:hint="eastAsia"/>
                      <w:color w:val="000000"/>
                    </w:rPr>
                    <w:t>储运工程</w:t>
                  </w:r>
                </w:p>
              </w:tc>
              <w:tc>
                <w:tcPr>
                  <w:tcW w:w="833" w:type="pct"/>
                  <w:vAlign w:val="center"/>
                </w:tcPr>
                <w:p>
                  <w:pPr>
                    <w:pStyle w:val="37"/>
                    <w:rPr>
                      <w:color w:val="000000"/>
                    </w:rPr>
                  </w:pPr>
                  <w:r>
                    <w:rPr>
                      <w:rFonts w:hint="eastAsia"/>
                      <w:color w:val="000000"/>
                    </w:rPr>
                    <w:t>车架存放区</w:t>
                  </w:r>
                </w:p>
              </w:tc>
              <w:tc>
                <w:tcPr>
                  <w:tcW w:w="3038" w:type="pct"/>
                  <w:vAlign w:val="center"/>
                </w:tcPr>
                <w:p>
                  <w:pPr>
                    <w:pStyle w:val="37"/>
                    <w:jc w:val="left"/>
                    <w:rPr>
                      <w:color w:val="000000"/>
                    </w:rPr>
                  </w:pPr>
                  <w:r>
                    <w:rPr>
                      <w:rFonts w:hint="eastAsia"/>
                      <w:color w:val="000000"/>
                    </w:rPr>
                    <w:t>主要用于原辅材料、产品的储存，位于厂区西侧。</w:t>
                  </w:r>
                </w:p>
              </w:tc>
              <w:tc>
                <w:tcPr>
                  <w:tcW w:w="738"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restart"/>
                  <w:vAlign w:val="center"/>
                </w:tcPr>
                <w:p>
                  <w:pPr>
                    <w:pStyle w:val="37"/>
                    <w:rPr>
                      <w:color w:val="000000"/>
                    </w:rPr>
                  </w:pPr>
                  <w:r>
                    <w:rPr>
                      <w:color w:val="000000"/>
                    </w:rPr>
                    <w:t>环保工程</w:t>
                  </w:r>
                </w:p>
              </w:tc>
              <w:tc>
                <w:tcPr>
                  <w:tcW w:w="833" w:type="pct"/>
                  <w:vAlign w:val="center"/>
                </w:tcPr>
                <w:p>
                  <w:pPr>
                    <w:pStyle w:val="37"/>
                    <w:rPr>
                      <w:color w:val="000000"/>
                    </w:rPr>
                  </w:pPr>
                  <w:r>
                    <w:rPr>
                      <w:rFonts w:hint="eastAsia"/>
                      <w:color w:val="000000"/>
                    </w:rPr>
                    <w:t>废水</w:t>
                  </w:r>
                </w:p>
              </w:tc>
              <w:tc>
                <w:tcPr>
                  <w:tcW w:w="3038" w:type="pct"/>
                  <w:vAlign w:val="center"/>
                </w:tcPr>
                <w:p>
                  <w:pPr>
                    <w:pStyle w:val="37"/>
                    <w:jc w:val="left"/>
                    <w:rPr>
                      <w:color w:val="000000"/>
                    </w:rPr>
                  </w:pPr>
                  <w:r>
                    <w:rPr>
                      <w:rFonts w:hint="eastAsia"/>
                      <w:color w:val="000000"/>
                    </w:rPr>
                    <w:t>扩建项目建成后全厂不新增员工，故不新增生活污水，且无生产废水产生。</w:t>
                  </w:r>
                </w:p>
              </w:tc>
              <w:tc>
                <w:tcPr>
                  <w:tcW w:w="738" w:type="pct"/>
                  <w:vAlign w:val="center"/>
                </w:tcPr>
                <w:p>
                  <w:pPr>
                    <w:pStyle w:val="37"/>
                    <w:rPr>
                      <w:color w:val="000000"/>
                    </w:rPr>
                  </w:pPr>
                  <w:r>
                    <w:rPr>
                      <w:rFonts w:hint="eastAsia"/>
                      <w:color w:val="000000"/>
                    </w:rPr>
                    <w:t>依托厂区现有设施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continue"/>
                  <w:vAlign w:val="center"/>
                </w:tcPr>
                <w:p>
                  <w:pPr>
                    <w:pStyle w:val="37"/>
                    <w:rPr>
                      <w:color w:val="000000"/>
                    </w:rPr>
                  </w:pPr>
                </w:p>
              </w:tc>
              <w:tc>
                <w:tcPr>
                  <w:tcW w:w="833" w:type="pct"/>
                  <w:vAlign w:val="center"/>
                </w:tcPr>
                <w:p>
                  <w:pPr>
                    <w:pStyle w:val="37"/>
                    <w:rPr>
                      <w:color w:val="000000"/>
                    </w:rPr>
                  </w:pPr>
                  <w:r>
                    <w:rPr>
                      <w:rFonts w:hint="eastAsia"/>
                      <w:color w:val="000000"/>
                    </w:rPr>
                    <w:t>废气</w:t>
                  </w:r>
                </w:p>
              </w:tc>
              <w:tc>
                <w:tcPr>
                  <w:tcW w:w="3038" w:type="pct"/>
                  <w:vAlign w:val="center"/>
                </w:tcPr>
                <w:p>
                  <w:pPr>
                    <w:pStyle w:val="37"/>
                    <w:jc w:val="left"/>
                    <w:rPr>
                      <w:color w:val="000000"/>
                    </w:rPr>
                  </w:pPr>
                  <w:r>
                    <w:rPr>
                      <w:rFonts w:hint="eastAsia"/>
                      <w:color w:val="000000"/>
                    </w:rPr>
                    <w:t>焊接废气（颗粒物、锡及其化合物）经密闭焊</w:t>
                  </w:r>
                  <w:r>
                    <w:rPr>
                      <w:rFonts w:hint="eastAsia"/>
                      <w:color w:val="000000"/>
                      <w:lang w:val="en-US" w:eastAsia="zh-CN"/>
                    </w:rPr>
                    <w:t>接</w:t>
                  </w:r>
                  <w:r>
                    <w:rPr>
                      <w:rFonts w:hint="eastAsia"/>
                      <w:color w:val="000000"/>
                    </w:rPr>
                    <w:t>房顶部集气系统收集进入布袋除尘器处理后，由2根15m高排气筒（DA001、DA002）排放；未被收集处理的废气通过车间通风以无组织形式排放。</w:t>
                  </w:r>
                </w:p>
              </w:tc>
              <w:tc>
                <w:tcPr>
                  <w:tcW w:w="738" w:type="pct"/>
                  <w:vAlign w:val="center"/>
                </w:tcPr>
                <w:p>
                  <w:pPr>
                    <w:pStyle w:val="37"/>
                    <w:rPr>
                      <w:color w:val="000000"/>
                    </w:rPr>
                  </w:pPr>
                  <w:r>
                    <w:rPr>
                      <w:rFonts w:hint="eastAsia"/>
                      <w:color w:val="000000"/>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continue"/>
                  <w:vAlign w:val="center"/>
                </w:tcPr>
                <w:p>
                  <w:pPr>
                    <w:pStyle w:val="37"/>
                    <w:rPr>
                      <w:color w:val="000000"/>
                    </w:rPr>
                  </w:pPr>
                </w:p>
              </w:tc>
              <w:tc>
                <w:tcPr>
                  <w:tcW w:w="833" w:type="pct"/>
                  <w:vAlign w:val="center"/>
                </w:tcPr>
                <w:p>
                  <w:pPr>
                    <w:pStyle w:val="37"/>
                    <w:spacing w:line="240" w:lineRule="atLeast"/>
                    <w:rPr>
                      <w:color w:val="000000"/>
                    </w:rPr>
                  </w:pPr>
                  <w:r>
                    <w:rPr>
                      <w:color w:val="000000"/>
                    </w:rPr>
                    <w:t>噪声</w:t>
                  </w:r>
                </w:p>
              </w:tc>
              <w:tc>
                <w:tcPr>
                  <w:tcW w:w="3038" w:type="pct"/>
                  <w:vAlign w:val="center"/>
                </w:tcPr>
                <w:p>
                  <w:pPr>
                    <w:pStyle w:val="37"/>
                    <w:spacing w:line="240" w:lineRule="atLeast"/>
                    <w:jc w:val="left"/>
                    <w:rPr>
                      <w:color w:val="000000"/>
                    </w:rPr>
                  </w:pPr>
                  <w:r>
                    <w:rPr>
                      <w:rFonts w:hint="eastAsia"/>
                      <w:color w:val="000000"/>
                    </w:rPr>
                    <w:t>隔声、减振措施。</w:t>
                  </w:r>
                </w:p>
              </w:tc>
              <w:tc>
                <w:tcPr>
                  <w:tcW w:w="738" w:type="pct"/>
                  <w:vAlign w:val="center"/>
                </w:tcPr>
                <w:p>
                  <w:pPr>
                    <w:pStyle w:val="37"/>
                    <w:rPr>
                      <w:color w:val="000000"/>
                    </w:rPr>
                  </w:pPr>
                  <w:r>
                    <w:rPr>
                      <w:rFonts w:hint="eastAsia"/>
                      <w:color w:val="000000"/>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continue"/>
                  <w:vAlign w:val="center"/>
                </w:tcPr>
                <w:p>
                  <w:pPr>
                    <w:pStyle w:val="37"/>
                    <w:rPr>
                      <w:color w:val="000000"/>
                    </w:rPr>
                  </w:pPr>
                </w:p>
              </w:tc>
              <w:tc>
                <w:tcPr>
                  <w:tcW w:w="833" w:type="pct"/>
                  <w:vMerge w:val="restart"/>
                  <w:vAlign w:val="center"/>
                </w:tcPr>
                <w:p>
                  <w:pPr>
                    <w:pStyle w:val="37"/>
                    <w:spacing w:line="240" w:lineRule="atLeast"/>
                    <w:rPr>
                      <w:color w:val="000000"/>
                    </w:rPr>
                  </w:pPr>
                  <w:r>
                    <w:rPr>
                      <w:color w:val="000000"/>
                    </w:rPr>
                    <w:t>固废</w:t>
                  </w:r>
                </w:p>
              </w:tc>
              <w:tc>
                <w:tcPr>
                  <w:tcW w:w="3038" w:type="pct"/>
                  <w:vAlign w:val="center"/>
                </w:tcPr>
                <w:p>
                  <w:pPr>
                    <w:pStyle w:val="37"/>
                    <w:spacing w:line="240" w:lineRule="atLeast"/>
                    <w:jc w:val="left"/>
                    <w:rPr>
                      <w:color w:val="000000"/>
                    </w:rPr>
                  </w:pPr>
                  <w:r>
                    <w:rPr>
                      <w:rFonts w:hint="eastAsia"/>
                      <w:color w:val="000000"/>
                    </w:rPr>
                    <w:t>依托现有已建一般固废暂存间</w:t>
                  </w:r>
                  <w:r>
                    <w:rPr>
                      <w:rFonts w:hint="eastAsia"/>
                      <w:color w:val="000000"/>
                      <w:highlight w:val="none"/>
                    </w:rPr>
                    <w:t>（</w:t>
                  </w:r>
                  <w:r>
                    <w:rPr>
                      <w:rFonts w:hint="eastAsia"/>
                      <w:color w:val="000000"/>
                      <w:highlight w:val="none"/>
                      <w:lang w:val="en-US" w:eastAsia="zh-CN"/>
                    </w:rPr>
                    <w:t>120</w:t>
                  </w:r>
                  <w:r>
                    <w:rPr>
                      <w:rFonts w:hint="eastAsia"/>
                      <w:color w:val="000000"/>
                      <w:highlight w:val="none"/>
                    </w:rPr>
                    <w:t>m</w:t>
                  </w:r>
                  <w:r>
                    <w:rPr>
                      <w:rFonts w:hint="eastAsia"/>
                      <w:color w:val="000000"/>
                      <w:highlight w:val="none"/>
                      <w:vertAlign w:val="superscript"/>
                    </w:rPr>
                    <w:t>2</w:t>
                  </w:r>
                  <w:r>
                    <w:rPr>
                      <w:rFonts w:hint="eastAsia"/>
                      <w:color w:val="000000"/>
                      <w:highlight w:val="none"/>
                    </w:rPr>
                    <w:t>）</w:t>
                  </w:r>
                  <w:r>
                    <w:rPr>
                      <w:rFonts w:hint="eastAsia"/>
                      <w:color w:val="000000"/>
                    </w:rPr>
                    <w:t>，位于厂区西侧。</w:t>
                  </w:r>
                </w:p>
              </w:tc>
              <w:tc>
                <w:tcPr>
                  <w:tcW w:w="738" w:type="pct"/>
                  <w:vMerge w:val="restart"/>
                  <w:vAlign w:val="center"/>
                </w:tcPr>
                <w:p>
                  <w:pPr>
                    <w:pStyle w:val="37"/>
                    <w:rPr>
                      <w:color w:val="000000"/>
                    </w:rPr>
                  </w:pPr>
                  <w:r>
                    <w:rPr>
                      <w:rFonts w:hint="eastAsia"/>
                      <w:color w:val="000000"/>
                    </w:rPr>
                    <w:t>依托厂区现有设施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vMerge w:val="continue"/>
                  <w:vAlign w:val="center"/>
                </w:tcPr>
                <w:p>
                  <w:pPr>
                    <w:pStyle w:val="37"/>
                    <w:rPr>
                      <w:color w:val="000000"/>
                    </w:rPr>
                  </w:pPr>
                </w:p>
              </w:tc>
              <w:tc>
                <w:tcPr>
                  <w:tcW w:w="833" w:type="pct"/>
                  <w:vMerge w:val="continue"/>
                  <w:vAlign w:val="center"/>
                </w:tcPr>
                <w:p>
                  <w:pPr>
                    <w:pStyle w:val="37"/>
                    <w:spacing w:line="240" w:lineRule="atLeast"/>
                    <w:rPr>
                      <w:color w:val="000000"/>
                    </w:rPr>
                  </w:pPr>
                </w:p>
              </w:tc>
              <w:tc>
                <w:tcPr>
                  <w:tcW w:w="3038" w:type="pct"/>
                  <w:vAlign w:val="center"/>
                </w:tcPr>
                <w:p>
                  <w:pPr>
                    <w:pStyle w:val="37"/>
                    <w:spacing w:line="240" w:lineRule="atLeast"/>
                    <w:jc w:val="left"/>
                    <w:rPr>
                      <w:color w:val="000000"/>
                    </w:rPr>
                  </w:pPr>
                  <w:r>
                    <w:rPr>
                      <w:rFonts w:hint="eastAsia"/>
                      <w:color w:val="000000"/>
                    </w:rPr>
                    <w:t>依托现有已建危废暂存间（</w:t>
                  </w:r>
                  <w:r>
                    <w:rPr>
                      <w:rFonts w:hint="eastAsia"/>
                      <w:color w:val="000000"/>
                      <w:lang w:val="en-US" w:eastAsia="zh-CN"/>
                    </w:rPr>
                    <w:t>320</w:t>
                  </w:r>
                  <w:r>
                    <w:rPr>
                      <w:rFonts w:hint="eastAsia"/>
                      <w:color w:val="000000"/>
                    </w:rPr>
                    <w:t>m</w:t>
                  </w:r>
                  <w:r>
                    <w:rPr>
                      <w:rFonts w:hint="eastAsia"/>
                      <w:color w:val="000000"/>
                      <w:vertAlign w:val="superscript"/>
                    </w:rPr>
                    <w:t>2</w:t>
                  </w:r>
                  <w:r>
                    <w:rPr>
                      <w:rFonts w:hint="eastAsia"/>
                      <w:color w:val="000000"/>
                    </w:rPr>
                    <w:t>），位于厂区西侧。</w:t>
                  </w:r>
                </w:p>
              </w:tc>
              <w:tc>
                <w:tcPr>
                  <w:tcW w:w="738" w:type="pct"/>
                  <w:vMerge w:val="continue"/>
                  <w:vAlign w:val="center"/>
                </w:tcPr>
                <w:p>
                  <w:pPr>
                    <w:pStyle w:val="37"/>
                    <w:rPr>
                      <w:color w:val="000000"/>
                    </w:rPr>
                  </w:pPr>
                </w:p>
              </w:tc>
            </w:tr>
          </w:tbl>
          <w:p>
            <w:pPr>
              <w:adjustRightInd w:val="0"/>
              <w:snapToGrid w:val="0"/>
              <w:ind w:firstLine="482"/>
              <w:rPr>
                <w:b/>
                <w:bCs/>
                <w:color w:val="000000"/>
              </w:rPr>
            </w:pPr>
            <w:r>
              <w:rPr>
                <w:b/>
                <w:bCs/>
                <w:color w:val="000000"/>
              </w:rPr>
              <w:t>（2）</w:t>
            </w:r>
            <w:r>
              <w:rPr>
                <w:rFonts w:hint="eastAsia"/>
                <w:b/>
                <w:bCs/>
                <w:color w:val="000000"/>
              </w:rPr>
              <w:t>扩建项目</w:t>
            </w:r>
            <w:r>
              <w:rPr>
                <w:b/>
                <w:bCs/>
                <w:color w:val="000000"/>
              </w:rPr>
              <w:t>主要产品及产能</w:t>
            </w:r>
          </w:p>
          <w:p>
            <w:pPr>
              <w:ind w:firstLine="480"/>
              <w:rPr>
                <w:color w:val="000000"/>
              </w:rPr>
            </w:pPr>
            <w:r>
              <w:rPr>
                <w:rFonts w:hint="eastAsia"/>
                <w:color w:val="000000"/>
              </w:rPr>
              <w:t>扩建项目建成后可形成年产12.4万套CX835车架焊接的生产规模，具体见表2-2。</w:t>
            </w:r>
          </w:p>
          <w:p>
            <w:pPr>
              <w:pStyle w:val="38"/>
              <w:rPr>
                <w:color w:val="000000"/>
                <w:spacing w:val="0"/>
              </w:rPr>
            </w:pPr>
            <w:r>
              <w:rPr>
                <w:color w:val="000000"/>
                <w:spacing w:val="0"/>
              </w:rPr>
              <w:t>表2-</w:t>
            </w:r>
            <w:r>
              <w:rPr>
                <w:rFonts w:hint="eastAsia"/>
                <w:color w:val="000000"/>
                <w:spacing w:val="0"/>
              </w:rPr>
              <w:t>2</w:t>
            </w:r>
            <w:r>
              <w:rPr>
                <w:color w:val="000000"/>
                <w:spacing w:val="0"/>
              </w:rPr>
              <w:t xml:space="preserve"> </w:t>
            </w:r>
            <w:r>
              <w:rPr>
                <w:rFonts w:hint="eastAsia"/>
                <w:color w:val="000000"/>
                <w:spacing w:val="0"/>
              </w:rPr>
              <w:t xml:space="preserve"> </w:t>
            </w:r>
            <w:r>
              <w:rPr>
                <w:color w:val="000000"/>
                <w:spacing w:val="0"/>
              </w:rPr>
              <w:t>项目主要</w:t>
            </w:r>
            <w:r>
              <w:rPr>
                <w:rFonts w:hint="eastAsia"/>
                <w:color w:val="000000"/>
                <w:spacing w:val="0"/>
              </w:rPr>
              <w:t>产品</w:t>
            </w:r>
            <w:r>
              <w:rPr>
                <w:color w:val="000000"/>
                <w:spacing w:val="0"/>
              </w:rPr>
              <w:t>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881"/>
              <w:gridCol w:w="1158"/>
              <w:gridCol w:w="2128"/>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29" w:type="pct"/>
                  <w:vAlign w:val="center"/>
                </w:tcPr>
                <w:p>
                  <w:pPr>
                    <w:pStyle w:val="38"/>
                    <w:rPr>
                      <w:color w:val="000000"/>
                      <w:sz w:val="18"/>
                      <w:szCs w:val="18"/>
                    </w:rPr>
                  </w:pPr>
                  <w:r>
                    <w:rPr>
                      <w:rFonts w:hint="eastAsia"/>
                      <w:color w:val="000000"/>
                      <w:sz w:val="18"/>
                      <w:szCs w:val="18"/>
                    </w:rPr>
                    <w:t>序号</w:t>
                  </w:r>
                </w:p>
              </w:tc>
              <w:tc>
                <w:tcPr>
                  <w:tcW w:w="1178" w:type="pct"/>
                  <w:vAlign w:val="center"/>
                </w:tcPr>
                <w:p>
                  <w:pPr>
                    <w:pStyle w:val="38"/>
                    <w:rPr>
                      <w:color w:val="000000"/>
                      <w:sz w:val="18"/>
                      <w:szCs w:val="18"/>
                    </w:rPr>
                  </w:pPr>
                  <w:r>
                    <w:rPr>
                      <w:rFonts w:hint="eastAsia"/>
                      <w:color w:val="000000"/>
                      <w:sz w:val="18"/>
                      <w:szCs w:val="18"/>
                    </w:rPr>
                    <w:t>产品名称</w:t>
                  </w:r>
                </w:p>
              </w:tc>
              <w:tc>
                <w:tcPr>
                  <w:tcW w:w="725" w:type="pct"/>
                  <w:vAlign w:val="center"/>
                </w:tcPr>
                <w:p>
                  <w:pPr>
                    <w:pStyle w:val="38"/>
                    <w:rPr>
                      <w:color w:val="000000"/>
                      <w:sz w:val="18"/>
                      <w:szCs w:val="18"/>
                    </w:rPr>
                  </w:pPr>
                  <w:r>
                    <w:rPr>
                      <w:rFonts w:hint="eastAsia"/>
                      <w:color w:val="000000"/>
                      <w:sz w:val="18"/>
                      <w:szCs w:val="18"/>
                    </w:rPr>
                    <w:t>单位</w:t>
                  </w:r>
                </w:p>
              </w:tc>
              <w:tc>
                <w:tcPr>
                  <w:tcW w:w="1333" w:type="pct"/>
                  <w:vAlign w:val="center"/>
                </w:tcPr>
                <w:p>
                  <w:pPr>
                    <w:pStyle w:val="38"/>
                    <w:rPr>
                      <w:color w:val="000000"/>
                      <w:sz w:val="18"/>
                      <w:szCs w:val="18"/>
                    </w:rPr>
                  </w:pPr>
                  <w:r>
                    <w:rPr>
                      <w:rFonts w:hint="eastAsia"/>
                      <w:color w:val="000000"/>
                      <w:sz w:val="18"/>
                      <w:szCs w:val="18"/>
                    </w:rPr>
                    <w:t>产量</w:t>
                  </w:r>
                </w:p>
              </w:tc>
              <w:tc>
                <w:tcPr>
                  <w:tcW w:w="1333" w:type="pct"/>
                  <w:vAlign w:val="center"/>
                </w:tcPr>
                <w:p>
                  <w:pPr>
                    <w:pStyle w:val="38"/>
                    <w:rPr>
                      <w:color w:val="000000"/>
                      <w:sz w:val="18"/>
                      <w:szCs w:val="18"/>
                    </w:rPr>
                  </w:pPr>
                  <w:r>
                    <w:rPr>
                      <w:rFonts w:hint="eastAsia"/>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pPr>
                    <w:pStyle w:val="37"/>
                  </w:pPr>
                  <w:r>
                    <w:rPr>
                      <w:rFonts w:hint="eastAsia"/>
                    </w:rPr>
                    <w:t>1</w:t>
                  </w:r>
                </w:p>
              </w:tc>
              <w:tc>
                <w:tcPr>
                  <w:tcW w:w="1178" w:type="pct"/>
                  <w:vAlign w:val="center"/>
                </w:tcPr>
                <w:p>
                  <w:pPr>
                    <w:pStyle w:val="37"/>
                  </w:pPr>
                  <w:r>
                    <w:rPr>
                      <w:rFonts w:hint="eastAsia"/>
                    </w:rPr>
                    <w:t>CX835车架</w:t>
                  </w:r>
                </w:p>
              </w:tc>
              <w:tc>
                <w:tcPr>
                  <w:tcW w:w="725" w:type="pct"/>
                  <w:vAlign w:val="center"/>
                </w:tcPr>
                <w:p>
                  <w:pPr>
                    <w:pStyle w:val="37"/>
                  </w:pPr>
                  <w:r>
                    <w:rPr>
                      <w:rFonts w:hint="eastAsia"/>
                    </w:rPr>
                    <w:t>万套</w:t>
                  </w:r>
                </w:p>
              </w:tc>
              <w:tc>
                <w:tcPr>
                  <w:tcW w:w="1333" w:type="pct"/>
                  <w:vAlign w:val="center"/>
                </w:tcPr>
                <w:p>
                  <w:pPr>
                    <w:pStyle w:val="37"/>
                  </w:pPr>
                  <w:r>
                    <w:rPr>
                      <w:rFonts w:hint="eastAsia"/>
                    </w:rPr>
                    <w:t>12.4</w:t>
                  </w:r>
                </w:p>
              </w:tc>
              <w:tc>
                <w:tcPr>
                  <w:tcW w:w="1333" w:type="pct"/>
                  <w:vAlign w:val="center"/>
                </w:tcPr>
                <w:p>
                  <w:pPr>
                    <w:pStyle w:val="37"/>
                  </w:pPr>
                  <w:r>
                    <w:rPr>
                      <w:rFonts w:hint="eastAsia"/>
                    </w:rPr>
                    <w:t>仅涉及车架焊接</w:t>
                  </w:r>
                </w:p>
              </w:tc>
            </w:tr>
          </w:tbl>
          <w:p>
            <w:pPr>
              <w:ind w:firstLine="482"/>
              <w:rPr>
                <w:color w:val="000000"/>
              </w:rPr>
            </w:pPr>
            <w:r>
              <w:rPr>
                <w:rFonts w:hint="eastAsia"/>
                <w:b/>
                <w:bCs/>
                <w:color w:val="000000"/>
              </w:rPr>
              <w:t>车架：</w:t>
            </w:r>
            <w:r>
              <w:rPr>
                <w:rFonts w:hint="eastAsia"/>
                <w:color w:val="000000"/>
              </w:rPr>
              <w:t>是跨接在汽车前后车桥上的框架式结构，俗称大梁，是汽车的基体。一般由两根纵梁和几根横梁组成，经由悬挂装置﹑前桥﹑后桥支承在车轮上。车架的功用是支撑、连接汽车的各总成，使各总成保持相对正确的位置，并承受汽车内外的各种载荷。本次扩建项目建设产品为汽车底盘车架，包括前副车架、后副车架两种类型。</w:t>
            </w:r>
          </w:p>
          <w:p>
            <w:pPr>
              <w:ind w:firstLine="0" w:firstLineChars="0"/>
              <w:jc w:val="center"/>
              <w:rPr>
                <w:b/>
                <w:bCs/>
                <w:color w:val="000000"/>
              </w:rPr>
            </w:pPr>
            <w:r>
              <w:rPr>
                <w:b/>
                <w:bCs/>
                <w:color w:val="000000"/>
              </w:rPr>
              <w:drawing>
                <wp:inline distT="0" distB="0" distL="114300" distR="114300">
                  <wp:extent cx="2473325" cy="1856105"/>
                  <wp:effectExtent l="0" t="0" r="3175" b="10795"/>
                  <wp:docPr id="5" name="图片 27" descr="b1b92db16ca0432fc9f62615ae0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b1b92db16ca0432fc9f62615ae05253"/>
                          <pic:cNvPicPr>
                            <a:picLocks noChangeAspect="1"/>
                          </pic:cNvPicPr>
                        </pic:nvPicPr>
                        <pic:blipFill>
                          <a:blip r:embed="rId15" cstate="print"/>
                          <a:stretch>
                            <a:fillRect/>
                          </a:stretch>
                        </pic:blipFill>
                        <pic:spPr>
                          <a:xfrm>
                            <a:off x="0" y="0"/>
                            <a:ext cx="2473325" cy="1856105"/>
                          </a:xfrm>
                          <a:prstGeom prst="rect">
                            <a:avLst/>
                          </a:prstGeom>
                          <a:noFill/>
                          <a:ln>
                            <a:noFill/>
                          </a:ln>
                        </pic:spPr>
                      </pic:pic>
                    </a:graphicData>
                  </a:graphic>
                </wp:inline>
              </w:drawing>
            </w:r>
            <w:r>
              <w:rPr>
                <w:rFonts w:hint="eastAsia"/>
                <w:b/>
                <w:bCs/>
                <w:color w:val="000000"/>
              </w:rPr>
              <w:drawing>
                <wp:inline distT="0" distB="0" distL="114300" distR="114300">
                  <wp:extent cx="2478405" cy="1859280"/>
                  <wp:effectExtent l="0" t="0" r="17145" b="7620"/>
                  <wp:docPr id="6" name="图片 28" descr="61d9d1103ca76f6419b837c95cd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61d9d1103ca76f6419b837c95cd3603"/>
                          <pic:cNvPicPr>
                            <a:picLocks noChangeAspect="1"/>
                          </pic:cNvPicPr>
                        </pic:nvPicPr>
                        <pic:blipFill>
                          <a:blip r:embed="rId16" cstate="print"/>
                          <a:stretch>
                            <a:fillRect/>
                          </a:stretch>
                        </pic:blipFill>
                        <pic:spPr>
                          <a:xfrm>
                            <a:off x="0" y="0"/>
                            <a:ext cx="2478405" cy="1859280"/>
                          </a:xfrm>
                          <a:prstGeom prst="rect">
                            <a:avLst/>
                          </a:prstGeom>
                          <a:noFill/>
                          <a:ln>
                            <a:noFill/>
                          </a:ln>
                        </pic:spPr>
                      </pic:pic>
                    </a:graphicData>
                  </a:graphic>
                </wp:inline>
              </w:drawing>
            </w:r>
          </w:p>
          <w:p>
            <w:pPr>
              <w:pStyle w:val="2"/>
              <w:ind w:firstLine="0" w:firstLineChars="0"/>
              <w:jc w:val="center"/>
            </w:pPr>
            <w:r>
              <w:rPr>
                <w:rFonts w:hint="eastAsia"/>
              </w:rPr>
              <w:t>后副车架                       前副车架</w:t>
            </w:r>
          </w:p>
          <w:p>
            <w:pPr>
              <w:ind w:firstLine="361" w:firstLineChars="150"/>
              <w:rPr>
                <w:b/>
                <w:bCs/>
                <w:color w:val="000000"/>
              </w:rPr>
            </w:pPr>
            <w:r>
              <w:rPr>
                <w:b/>
                <w:bCs/>
                <w:color w:val="000000"/>
              </w:rPr>
              <w:t>（</w:t>
            </w:r>
            <w:r>
              <w:rPr>
                <w:rFonts w:hint="eastAsia"/>
                <w:b/>
                <w:bCs/>
                <w:color w:val="000000"/>
              </w:rPr>
              <w:t>3</w:t>
            </w:r>
            <w:r>
              <w:rPr>
                <w:b/>
                <w:bCs/>
                <w:color w:val="000000"/>
              </w:rPr>
              <w:t>）</w:t>
            </w:r>
            <w:r>
              <w:rPr>
                <w:rFonts w:hint="eastAsia"/>
                <w:b/>
                <w:bCs/>
                <w:color w:val="000000"/>
              </w:rPr>
              <w:t>扩建项目</w:t>
            </w:r>
            <w:r>
              <w:rPr>
                <w:b/>
                <w:bCs/>
                <w:color w:val="000000"/>
              </w:rPr>
              <w:t>主要原、辅料及其用量</w:t>
            </w:r>
          </w:p>
          <w:p>
            <w:pPr>
              <w:pStyle w:val="38"/>
              <w:rPr>
                <w:color w:val="000000"/>
                <w:spacing w:val="0"/>
              </w:rPr>
            </w:pPr>
            <w:r>
              <w:rPr>
                <w:color w:val="000000"/>
                <w:spacing w:val="0"/>
              </w:rPr>
              <w:t>表2-</w:t>
            </w:r>
            <w:r>
              <w:rPr>
                <w:rFonts w:hint="eastAsia"/>
                <w:color w:val="000000"/>
                <w:spacing w:val="0"/>
              </w:rPr>
              <w:t>3</w:t>
            </w:r>
            <w:r>
              <w:rPr>
                <w:color w:val="000000"/>
                <w:spacing w:val="0"/>
              </w:rPr>
              <w:t xml:space="preserve">  </w:t>
            </w:r>
            <w:r>
              <w:rPr>
                <w:rFonts w:hint="eastAsia"/>
                <w:color w:val="000000"/>
                <w:spacing w:val="0"/>
              </w:rPr>
              <w:t>扩建项目</w:t>
            </w:r>
            <w:r>
              <w:rPr>
                <w:color w:val="000000"/>
                <w:spacing w:val="0"/>
              </w:rPr>
              <w:t>主要原辅材料一览表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51"/>
              <w:gridCol w:w="623"/>
              <w:gridCol w:w="602"/>
              <w:gridCol w:w="1114"/>
              <w:gridCol w:w="606"/>
              <w:gridCol w:w="618"/>
              <w:gridCol w:w="767"/>
              <w:gridCol w:w="793"/>
              <w:gridCol w:w="868"/>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8" w:type="pct"/>
                  <w:vAlign w:val="center"/>
                </w:tcPr>
                <w:p>
                  <w:pPr>
                    <w:pStyle w:val="37"/>
                    <w:spacing w:line="240" w:lineRule="atLeast"/>
                    <w:rPr>
                      <w:b/>
                      <w:bCs/>
                      <w:color w:val="000000"/>
                    </w:rPr>
                  </w:pPr>
                  <w:r>
                    <w:rPr>
                      <w:rFonts w:hint="eastAsia"/>
                      <w:b/>
                      <w:bCs/>
                      <w:color w:val="000000"/>
                    </w:rPr>
                    <w:t>序号</w:t>
                  </w:r>
                </w:p>
              </w:tc>
              <w:tc>
                <w:tcPr>
                  <w:tcW w:w="596" w:type="pct"/>
                  <w:vAlign w:val="center"/>
                </w:tcPr>
                <w:p>
                  <w:pPr>
                    <w:pStyle w:val="37"/>
                    <w:spacing w:line="240" w:lineRule="atLeast"/>
                    <w:rPr>
                      <w:b/>
                      <w:bCs/>
                      <w:color w:val="000000"/>
                    </w:rPr>
                  </w:pPr>
                  <w:r>
                    <w:rPr>
                      <w:rFonts w:hint="eastAsia"/>
                      <w:b/>
                      <w:bCs/>
                      <w:color w:val="000000"/>
                    </w:rPr>
                    <w:t>原料名称</w:t>
                  </w:r>
                </w:p>
              </w:tc>
              <w:tc>
                <w:tcPr>
                  <w:tcW w:w="390" w:type="pct"/>
                  <w:vAlign w:val="center"/>
                </w:tcPr>
                <w:p>
                  <w:pPr>
                    <w:pStyle w:val="37"/>
                    <w:spacing w:line="240" w:lineRule="atLeast"/>
                    <w:rPr>
                      <w:b/>
                      <w:bCs/>
                      <w:color w:val="000000"/>
                    </w:rPr>
                  </w:pPr>
                  <w:r>
                    <w:rPr>
                      <w:rFonts w:hint="eastAsia"/>
                      <w:b/>
                      <w:bCs/>
                      <w:color w:val="000000"/>
                    </w:rPr>
                    <w:t>形态</w:t>
                  </w:r>
                </w:p>
              </w:tc>
              <w:tc>
                <w:tcPr>
                  <w:tcW w:w="377" w:type="pct"/>
                  <w:vAlign w:val="center"/>
                </w:tcPr>
                <w:p>
                  <w:pPr>
                    <w:pStyle w:val="37"/>
                    <w:spacing w:line="240" w:lineRule="atLeast"/>
                    <w:rPr>
                      <w:b/>
                      <w:bCs/>
                      <w:color w:val="000000"/>
                    </w:rPr>
                  </w:pPr>
                  <w:r>
                    <w:rPr>
                      <w:rFonts w:hint="eastAsia"/>
                      <w:b/>
                      <w:bCs/>
                      <w:color w:val="000000"/>
                    </w:rPr>
                    <w:t>性质</w:t>
                  </w:r>
                </w:p>
              </w:tc>
              <w:tc>
                <w:tcPr>
                  <w:tcW w:w="697" w:type="pct"/>
                  <w:vAlign w:val="center"/>
                </w:tcPr>
                <w:p>
                  <w:pPr>
                    <w:pStyle w:val="37"/>
                    <w:spacing w:line="240" w:lineRule="atLeast"/>
                    <w:rPr>
                      <w:b/>
                      <w:bCs/>
                      <w:color w:val="000000"/>
                    </w:rPr>
                  </w:pPr>
                  <w:r>
                    <w:rPr>
                      <w:rFonts w:hint="eastAsia"/>
                      <w:b/>
                      <w:bCs/>
                      <w:color w:val="000000"/>
                    </w:rPr>
                    <w:t>主要成分/用途</w:t>
                  </w:r>
                </w:p>
              </w:tc>
              <w:tc>
                <w:tcPr>
                  <w:tcW w:w="379" w:type="pct"/>
                  <w:vAlign w:val="center"/>
                </w:tcPr>
                <w:p>
                  <w:pPr>
                    <w:pStyle w:val="37"/>
                    <w:spacing w:line="240" w:lineRule="atLeast"/>
                    <w:rPr>
                      <w:b/>
                      <w:bCs/>
                      <w:color w:val="000000"/>
                    </w:rPr>
                  </w:pPr>
                  <w:r>
                    <w:rPr>
                      <w:rFonts w:hint="eastAsia"/>
                      <w:b/>
                      <w:bCs/>
                      <w:color w:val="000000"/>
                    </w:rPr>
                    <w:t>来源</w:t>
                  </w:r>
                </w:p>
              </w:tc>
              <w:tc>
                <w:tcPr>
                  <w:tcW w:w="387" w:type="pct"/>
                  <w:vAlign w:val="center"/>
                </w:tcPr>
                <w:p>
                  <w:pPr>
                    <w:pStyle w:val="37"/>
                    <w:spacing w:line="240" w:lineRule="atLeast"/>
                    <w:rPr>
                      <w:b/>
                      <w:bCs/>
                      <w:color w:val="000000"/>
                    </w:rPr>
                  </w:pPr>
                  <w:r>
                    <w:rPr>
                      <w:rFonts w:hint="eastAsia"/>
                      <w:b/>
                      <w:bCs/>
                      <w:color w:val="000000"/>
                    </w:rPr>
                    <w:t>年用量</w:t>
                  </w:r>
                </w:p>
              </w:tc>
              <w:tc>
                <w:tcPr>
                  <w:tcW w:w="480" w:type="pct"/>
                  <w:vAlign w:val="center"/>
                </w:tcPr>
                <w:p>
                  <w:pPr>
                    <w:pStyle w:val="37"/>
                    <w:spacing w:line="240" w:lineRule="atLeast"/>
                    <w:rPr>
                      <w:b/>
                      <w:bCs/>
                      <w:color w:val="000000"/>
                    </w:rPr>
                  </w:pPr>
                  <w:r>
                    <w:rPr>
                      <w:rFonts w:hint="eastAsia"/>
                      <w:b/>
                      <w:bCs/>
                      <w:color w:val="000000"/>
                    </w:rPr>
                    <w:t>最大储存量</w:t>
                  </w:r>
                </w:p>
              </w:tc>
              <w:tc>
                <w:tcPr>
                  <w:tcW w:w="496" w:type="pct"/>
                  <w:vAlign w:val="center"/>
                </w:tcPr>
                <w:p>
                  <w:pPr>
                    <w:pStyle w:val="37"/>
                    <w:spacing w:line="240" w:lineRule="atLeast"/>
                    <w:rPr>
                      <w:b/>
                      <w:bCs/>
                      <w:color w:val="000000"/>
                    </w:rPr>
                  </w:pPr>
                  <w:r>
                    <w:rPr>
                      <w:rFonts w:hint="eastAsia"/>
                      <w:b/>
                      <w:bCs/>
                      <w:color w:val="000000"/>
                    </w:rPr>
                    <w:t>单位</w:t>
                  </w:r>
                </w:p>
              </w:tc>
              <w:tc>
                <w:tcPr>
                  <w:tcW w:w="543" w:type="pct"/>
                  <w:vAlign w:val="center"/>
                </w:tcPr>
                <w:p>
                  <w:pPr>
                    <w:pStyle w:val="37"/>
                    <w:spacing w:line="240" w:lineRule="atLeast"/>
                    <w:rPr>
                      <w:b/>
                      <w:bCs/>
                      <w:color w:val="000000"/>
                    </w:rPr>
                  </w:pPr>
                  <w:r>
                    <w:rPr>
                      <w:rFonts w:hint="eastAsia"/>
                      <w:b/>
                      <w:bCs/>
                      <w:color w:val="000000"/>
                    </w:rPr>
                    <w:t>储存位置</w:t>
                  </w:r>
                </w:p>
              </w:tc>
              <w:tc>
                <w:tcPr>
                  <w:tcW w:w="403" w:type="pct"/>
                  <w:vAlign w:val="center"/>
                </w:tcPr>
                <w:p>
                  <w:pPr>
                    <w:pStyle w:val="37"/>
                    <w:spacing w:line="240" w:lineRule="atLeast"/>
                    <w:rPr>
                      <w:b/>
                      <w:bCs/>
                      <w:color w:val="000000"/>
                    </w:rPr>
                  </w:pPr>
                  <w:r>
                    <w:rPr>
                      <w:rFonts w:hint="eastAsia"/>
                      <w:b/>
                      <w:bCs/>
                      <w:color w:val="000000"/>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 w:type="pct"/>
                  <w:vAlign w:val="center"/>
                </w:tcPr>
                <w:p>
                  <w:pPr>
                    <w:pStyle w:val="37"/>
                    <w:rPr>
                      <w:color w:val="000000"/>
                    </w:rPr>
                  </w:pPr>
                  <w:r>
                    <w:rPr>
                      <w:rFonts w:hint="eastAsia"/>
                      <w:color w:val="000000"/>
                    </w:rPr>
                    <w:t>1</w:t>
                  </w:r>
                </w:p>
              </w:tc>
              <w:tc>
                <w:tcPr>
                  <w:tcW w:w="596" w:type="pct"/>
                  <w:vAlign w:val="center"/>
                </w:tcPr>
                <w:p>
                  <w:pPr>
                    <w:pStyle w:val="37"/>
                    <w:rPr>
                      <w:color w:val="000000"/>
                    </w:rPr>
                  </w:pPr>
                  <w:r>
                    <w:rPr>
                      <w:rFonts w:hint="eastAsia"/>
                      <w:color w:val="000000"/>
                    </w:rPr>
                    <w:t>纵梁</w:t>
                  </w:r>
                </w:p>
              </w:tc>
              <w:tc>
                <w:tcPr>
                  <w:tcW w:w="390" w:type="pct"/>
                  <w:vAlign w:val="center"/>
                </w:tcPr>
                <w:p>
                  <w:pPr>
                    <w:pStyle w:val="37"/>
                    <w:rPr>
                      <w:color w:val="000000"/>
                    </w:rPr>
                  </w:pPr>
                  <w:r>
                    <w:rPr>
                      <w:rFonts w:hint="eastAsia"/>
                      <w:color w:val="000000"/>
                    </w:rPr>
                    <w:t>固态</w:t>
                  </w:r>
                </w:p>
              </w:tc>
              <w:tc>
                <w:tcPr>
                  <w:tcW w:w="377" w:type="pct"/>
                  <w:vAlign w:val="center"/>
                </w:tcPr>
                <w:p>
                  <w:pPr>
                    <w:pStyle w:val="37"/>
                    <w:rPr>
                      <w:color w:val="000000"/>
                    </w:rPr>
                  </w:pPr>
                  <w:r>
                    <w:rPr>
                      <w:rFonts w:hint="eastAsia"/>
                      <w:color w:val="000000"/>
                    </w:rPr>
                    <w:t>原料</w:t>
                  </w:r>
                </w:p>
              </w:tc>
              <w:tc>
                <w:tcPr>
                  <w:tcW w:w="697" w:type="pct"/>
                  <w:vAlign w:val="center"/>
                </w:tcPr>
                <w:p>
                  <w:pPr>
                    <w:pStyle w:val="37"/>
                    <w:rPr>
                      <w:color w:val="000000"/>
                    </w:rPr>
                  </w:pPr>
                  <w:r>
                    <w:rPr>
                      <w:rFonts w:hint="eastAsia"/>
                      <w:color w:val="000000"/>
                    </w:rPr>
                    <w:t>碳钢</w:t>
                  </w:r>
                </w:p>
              </w:tc>
              <w:tc>
                <w:tcPr>
                  <w:tcW w:w="379" w:type="pct"/>
                  <w:vAlign w:val="center"/>
                </w:tcPr>
                <w:p>
                  <w:pPr>
                    <w:pStyle w:val="37"/>
                    <w:rPr>
                      <w:color w:val="000000"/>
                    </w:rPr>
                  </w:pPr>
                  <w:r>
                    <w:rPr>
                      <w:color w:val="000000"/>
                    </w:rPr>
                    <w:t>外购</w:t>
                  </w:r>
                </w:p>
              </w:tc>
              <w:tc>
                <w:tcPr>
                  <w:tcW w:w="387" w:type="pct"/>
                  <w:vAlign w:val="center"/>
                </w:tcPr>
                <w:p>
                  <w:pPr>
                    <w:pStyle w:val="37"/>
                    <w:rPr>
                      <w:color w:val="000000"/>
                    </w:rPr>
                  </w:pPr>
                  <w:r>
                    <w:rPr>
                      <w:rFonts w:hint="eastAsia"/>
                      <w:color w:val="000000"/>
                    </w:rPr>
                    <w:t>12.4</w:t>
                  </w:r>
                </w:p>
              </w:tc>
              <w:tc>
                <w:tcPr>
                  <w:tcW w:w="480" w:type="pct"/>
                  <w:vAlign w:val="center"/>
                </w:tcPr>
                <w:p>
                  <w:pPr>
                    <w:pStyle w:val="37"/>
                    <w:rPr>
                      <w:color w:val="000000"/>
                    </w:rPr>
                  </w:pPr>
                  <w:r>
                    <w:rPr>
                      <w:rFonts w:hint="eastAsia"/>
                      <w:color w:val="000000"/>
                    </w:rPr>
                    <w:t>1</w:t>
                  </w:r>
                </w:p>
              </w:tc>
              <w:tc>
                <w:tcPr>
                  <w:tcW w:w="496" w:type="pct"/>
                  <w:vAlign w:val="center"/>
                </w:tcPr>
                <w:p>
                  <w:pPr>
                    <w:pStyle w:val="37"/>
                    <w:rPr>
                      <w:color w:val="000000"/>
                    </w:rPr>
                  </w:pPr>
                  <w:r>
                    <w:rPr>
                      <w:rFonts w:hint="eastAsia"/>
                      <w:color w:val="000000"/>
                    </w:rPr>
                    <w:t>万套</w:t>
                  </w:r>
                </w:p>
              </w:tc>
              <w:tc>
                <w:tcPr>
                  <w:tcW w:w="543" w:type="pct"/>
                  <w:vMerge w:val="restart"/>
                  <w:vAlign w:val="center"/>
                </w:tcPr>
                <w:p>
                  <w:pPr>
                    <w:pStyle w:val="37"/>
                    <w:rPr>
                      <w:color w:val="000000"/>
                    </w:rPr>
                  </w:pPr>
                  <w:r>
                    <w:rPr>
                      <w:rFonts w:hint="eastAsia"/>
                      <w:color w:val="000000"/>
                    </w:rPr>
                    <w:t>车架存放区</w:t>
                  </w:r>
                </w:p>
              </w:tc>
              <w:tc>
                <w:tcPr>
                  <w:tcW w:w="403" w:type="pct"/>
                  <w:vAlign w:val="center"/>
                </w:tcPr>
                <w:p>
                  <w:pPr>
                    <w:pStyle w:val="37"/>
                    <w:rPr>
                      <w:color w:val="000000"/>
                    </w:rPr>
                  </w:pPr>
                  <w:r>
                    <w:rPr>
                      <w:rFonts w:hint="eastAsia"/>
                      <w:color w:val="000000"/>
                    </w:rPr>
                    <w:t>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 w:type="pct"/>
                  <w:vAlign w:val="center"/>
                </w:tcPr>
                <w:p>
                  <w:pPr>
                    <w:pStyle w:val="37"/>
                    <w:rPr>
                      <w:color w:val="000000"/>
                    </w:rPr>
                  </w:pPr>
                  <w:r>
                    <w:rPr>
                      <w:rFonts w:hint="eastAsia"/>
                      <w:color w:val="000000"/>
                    </w:rPr>
                    <w:t>2</w:t>
                  </w:r>
                </w:p>
              </w:tc>
              <w:tc>
                <w:tcPr>
                  <w:tcW w:w="596" w:type="pct"/>
                  <w:vAlign w:val="center"/>
                </w:tcPr>
                <w:p>
                  <w:pPr>
                    <w:pStyle w:val="37"/>
                    <w:rPr>
                      <w:color w:val="000000"/>
                    </w:rPr>
                  </w:pPr>
                  <w:r>
                    <w:rPr>
                      <w:color w:val="000000"/>
                    </w:rPr>
                    <w:t>横梁</w:t>
                  </w:r>
                </w:p>
              </w:tc>
              <w:tc>
                <w:tcPr>
                  <w:tcW w:w="390" w:type="pct"/>
                  <w:vAlign w:val="center"/>
                </w:tcPr>
                <w:p>
                  <w:pPr>
                    <w:pStyle w:val="37"/>
                    <w:rPr>
                      <w:color w:val="000000"/>
                    </w:rPr>
                  </w:pPr>
                  <w:r>
                    <w:rPr>
                      <w:rFonts w:hint="eastAsia"/>
                      <w:color w:val="000000"/>
                    </w:rPr>
                    <w:t>固态</w:t>
                  </w:r>
                </w:p>
              </w:tc>
              <w:tc>
                <w:tcPr>
                  <w:tcW w:w="377" w:type="pct"/>
                  <w:vAlign w:val="center"/>
                </w:tcPr>
                <w:p>
                  <w:pPr>
                    <w:pStyle w:val="37"/>
                    <w:rPr>
                      <w:color w:val="000000"/>
                    </w:rPr>
                  </w:pPr>
                  <w:r>
                    <w:rPr>
                      <w:rFonts w:hint="eastAsia"/>
                      <w:color w:val="000000"/>
                    </w:rPr>
                    <w:t>原料</w:t>
                  </w:r>
                </w:p>
              </w:tc>
              <w:tc>
                <w:tcPr>
                  <w:tcW w:w="697" w:type="pct"/>
                  <w:vAlign w:val="center"/>
                </w:tcPr>
                <w:p>
                  <w:pPr>
                    <w:pStyle w:val="37"/>
                    <w:rPr>
                      <w:color w:val="000000"/>
                    </w:rPr>
                  </w:pPr>
                  <w:r>
                    <w:rPr>
                      <w:rFonts w:hint="eastAsia"/>
                      <w:color w:val="000000"/>
                    </w:rPr>
                    <w:t>碳钢</w:t>
                  </w:r>
                </w:p>
              </w:tc>
              <w:tc>
                <w:tcPr>
                  <w:tcW w:w="379" w:type="pct"/>
                  <w:vAlign w:val="center"/>
                </w:tcPr>
                <w:p>
                  <w:pPr>
                    <w:pStyle w:val="37"/>
                    <w:rPr>
                      <w:color w:val="000000"/>
                      <w:lang w:val="zh-CN"/>
                    </w:rPr>
                  </w:pPr>
                  <w:r>
                    <w:rPr>
                      <w:rFonts w:hint="eastAsia"/>
                      <w:color w:val="000000"/>
                    </w:rPr>
                    <w:t>外购</w:t>
                  </w:r>
                </w:p>
              </w:tc>
              <w:tc>
                <w:tcPr>
                  <w:tcW w:w="387" w:type="pct"/>
                  <w:vAlign w:val="center"/>
                </w:tcPr>
                <w:p>
                  <w:pPr>
                    <w:pStyle w:val="37"/>
                    <w:rPr>
                      <w:color w:val="000000"/>
                    </w:rPr>
                  </w:pPr>
                  <w:r>
                    <w:rPr>
                      <w:rFonts w:hint="eastAsia"/>
                      <w:color w:val="000000"/>
                    </w:rPr>
                    <w:t>12.4</w:t>
                  </w:r>
                </w:p>
              </w:tc>
              <w:tc>
                <w:tcPr>
                  <w:tcW w:w="480" w:type="pct"/>
                  <w:vAlign w:val="center"/>
                </w:tcPr>
                <w:p>
                  <w:pPr>
                    <w:pStyle w:val="37"/>
                    <w:rPr>
                      <w:color w:val="000000"/>
                    </w:rPr>
                  </w:pPr>
                  <w:r>
                    <w:rPr>
                      <w:rFonts w:hint="eastAsia"/>
                      <w:color w:val="000000"/>
                    </w:rPr>
                    <w:t>1</w:t>
                  </w:r>
                </w:p>
              </w:tc>
              <w:tc>
                <w:tcPr>
                  <w:tcW w:w="496" w:type="pct"/>
                  <w:vAlign w:val="center"/>
                </w:tcPr>
                <w:p>
                  <w:pPr>
                    <w:pStyle w:val="37"/>
                    <w:rPr>
                      <w:color w:val="000000"/>
                    </w:rPr>
                  </w:pPr>
                  <w:r>
                    <w:rPr>
                      <w:rFonts w:hint="eastAsia"/>
                      <w:color w:val="000000"/>
                    </w:rPr>
                    <w:t>万套</w:t>
                  </w:r>
                </w:p>
              </w:tc>
              <w:tc>
                <w:tcPr>
                  <w:tcW w:w="543" w:type="pct"/>
                  <w:vMerge w:val="continue"/>
                  <w:vAlign w:val="center"/>
                </w:tcPr>
                <w:p>
                  <w:pPr>
                    <w:pStyle w:val="37"/>
                    <w:rPr>
                      <w:color w:val="000000"/>
                    </w:rPr>
                  </w:pPr>
                </w:p>
              </w:tc>
              <w:tc>
                <w:tcPr>
                  <w:tcW w:w="403" w:type="pct"/>
                  <w:vAlign w:val="center"/>
                </w:tcPr>
                <w:p>
                  <w:pPr>
                    <w:pStyle w:val="37"/>
                    <w:rPr>
                      <w:color w:val="000000"/>
                    </w:rPr>
                  </w:pPr>
                  <w:r>
                    <w:rPr>
                      <w:rFonts w:hint="eastAsia"/>
                      <w:color w:val="000000"/>
                    </w:rPr>
                    <w:t>捆装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48" w:type="pct"/>
                  <w:vAlign w:val="center"/>
                </w:tcPr>
                <w:p>
                  <w:pPr>
                    <w:pStyle w:val="37"/>
                    <w:rPr>
                      <w:color w:val="000000"/>
                    </w:rPr>
                  </w:pPr>
                  <w:r>
                    <w:rPr>
                      <w:rFonts w:hint="eastAsia"/>
                      <w:color w:val="000000"/>
                    </w:rPr>
                    <w:t>3</w:t>
                  </w:r>
                </w:p>
              </w:tc>
              <w:tc>
                <w:tcPr>
                  <w:tcW w:w="596" w:type="pct"/>
                  <w:vAlign w:val="center"/>
                </w:tcPr>
                <w:p>
                  <w:pPr>
                    <w:pStyle w:val="37"/>
                    <w:rPr>
                      <w:color w:val="000000"/>
                    </w:rPr>
                  </w:pPr>
                  <w:r>
                    <w:rPr>
                      <w:rFonts w:hint="eastAsia"/>
                      <w:color w:val="000000"/>
                    </w:rPr>
                    <w:t>焊丝</w:t>
                  </w:r>
                </w:p>
              </w:tc>
              <w:tc>
                <w:tcPr>
                  <w:tcW w:w="390" w:type="pct"/>
                  <w:vAlign w:val="center"/>
                </w:tcPr>
                <w:p>
                  <w:pPr>
                    <w:pStyle w:val="37"/>
                    <w:rPr>
                      <w:color w:val="000000"/>
                    </w:rPr>
                  </w:pPr>
                  <w:r>
                    <w:rPr>
                      <w:rFonts w:hint="eastAsia"/>
                      <w:color w:val="000000"/>
                    </w:rPr>
                    <w:t>固态</w:t>
                  </w:r>
                </w:p>
              </w:tc>
              <w:tc>
                <w:tcPr>
                  <w:tcW w:w="377" w:type="pct"/>
                  <w:vAlign w:val="center"/>
                </w:tcPr>
                <w:p>
                  <w:pPr>
                    <w:pStyle w:val="37"/>
                    <w:rPr>
                      <w:color w:val="000000"/>
                    </w:rPr>
                  </w:pPr>
                  <w:r>
                    <w:rPr>
                      <w:rFonts w:hint="eastAsia"/>
                      <w:color w:val="000000"/>
                    </w:rPr>
                    <w:t>辅料</w:t>
                  </w:r>
                </w:p>
              </w:tc>
              <w:tc>
                <w:tcPr>
                  <w:tcW w:w="697" w:type="pct"/>
                  <w:vAlign w:val="center"/>
                </w:tcPr>
                <w:p>
                  <w:pPr>
                    <w:pStyle w:val="37"/>
                    <w:rPr>
                      <w:color w:val="000000"/>
                    </w:rPr>
                  </w:pPr>
                  <w:r>
                    <w:rPr>
                      <w:rFonts w:hint="eastAsia"/>
                      <w:color w:val="000000"/>
                    </w:rPr>
                    <w:t>无铅焊丝</w:t>
                  </w:r>
                </w:p>
              </w:tc>
              <w:tc>
                <w:tcPr>
                  <w:tcW w:w="379" w:type="pct"/>
                  <w:vAlign w:val="center"/>
                </w:tcPr>
                <w:p>
                  <w:pPr>
                    <w:pStyle w:val="37"/>
                    <w:rPr>
                      <w:color w:val="000000"/>
                      <w:lang w:val="zh-CN"/>
                    </w:rPr>
                  </w:pPr>
                  <w:r>
                    <w:rPr>
                      <w:color w:val="000000"/>
                    </w:rPr>
                    <w:t>外购</w:t>
                  </w:r>
                </w:p>
              </w:tc>
              <w:tc>
                <w:tcPr>
                  <w:tcW w:w="387" w:type="pct"/>
                  <w:vAlign w:val="center"/>
                </w:tcPr>
                <w:p>
                  <w:pPr>
                    <w:pStyle w:val="37"/>
                    <w:rPr>
                      <w:color w:val="000000"/>
                    </w:rPr>
                  </w:pPr>
                  <w:r>
                    <w:rPr>
                      <w:rFonts w:hint="eastAsia"/>
                      <w:color w:val="000000"/>
                    </w:rPr>
                    <w:t>0.5</w:t>
                  </w:r>
                </w:p>
              </w:tc>
              <w:tc>
                <w:tcPr>
                  <w:tcW w:w="480" w:type="pct"/>
                  <w:vAlign w:val="center"/>
                </w:tcPr>
                <w:p>
                  <w:pPr>
                    <w:pStyle w:val="37"/>
                    <w:rPr>
                      <w:color w:val="000000"/>
                    </w:rPr>
                  </w:pPr>
                  <w:r>
                    <w:rPr>
                      <w:rFonts w:hint="eastAsia"/>
                      <w:color w:val="000000"/>
                    </w:rPr>
                    <w:t>0.05</w:t>
                  </w:r>
                </w:p>
              </w:tc>
              <w:tc>
                <w:tcPr>
                  <w:tcW w:w="496" w:type="pct"/>
                  <w:vAlign w:val="center"/>
                </w:tcPr>
                <w:p>
                  <w:pPr>
                    <w:pStyle w:val="37"/>
                    <w:rPr>
                      <w:color w:val="000000"/>
                    </w:rPr>
                  </w:pPr>
                  <w:r>
                    <w:rPr>
                      <w:rFonts w:hint="eastAsia"/>
                      <w:color w:val="000000"/>
                    </w:rPr>
                    <w:t>t</w:t>
                  </w:r>
                </w:p>
              </w:tc>
              <w:tc>
                <w:tcPr>
                  <w:tcW w:w="543" w:type="pct"/>
                  <w:vMerge w:val="continue"/>
                  <w:vAlign w:val="center"/>
                </w:tcPr>
                <w:p>
                  <w:pPr>
                    <w:pStyle w:val="37"/>
                    <w:rPr>
                      <w:color w:val="000000"/>
                    </w:rPr>
                  </w:pPr>
                </w:p>
              </w:tc>
              <w:tc>
                <w:tcPr>
                  <w:tcW w:w="403" w:type="pct"/>
                  <w:vAlign w:val="center"/>
                </w:tcPr>
                <w:p>
                  <w:pPr>
                    <w:pStyle w:val="37"/>
                    <w:rPr>
                      <w:color w:val="000000"/>
                    </w:rPr>
                  </w:pPr>
                  <w:r>
                    <w:rPr>
                      <w:rFonts w:hint="eastAsia"/>
                      <w:color w:val="000000"/>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248" w:type="pct"/>
                  <w:vAlign w:val="center"/>
                </w:tcPr>
                <w:p>
                  <w:pPr>
                    <w:pStyle w:val="37"/>
                    <w:rPr>
                      <w:color w:val="000000"/>
                    </w:rPr>
                  </w:pPr>
                  <w:r>
                    <w:rPr>
                      <w:rFonts w:hint="eastAsia"/>
                      <w:color w:val="000000"/>
                    </w:rPr>
                    <w:t>4</w:t>
                  </w:r>
                </w:p>
              </w:tc>
              <w:tc>
                <w:tcPr>
                  <w:tcW w:w="596" w:type="pct"/>
                  <w:vAlign w:val="center"/>
                </w:tcPr>
                <w:p>
                  <w:pPr>
                    <w:pStyle w:val="37"/>
                    <w:rPr>
                      <w:color w:val="000000"/>
                    </w:rPr>
                  </w:pPr>
                  <w:r>
                    <w:rPr>
                      <w:rFonts w:hint="eastAsia"/>
                      <w:color w:val="000000"/>
                    </w:rPr>
                    <w:t>二氧化碳</w:t>
                  </w:r>
                </w:p>
              </w:tc>
              <w:tc>
                <w:tcPr>
                  <w:tcW w:w="390" w:type="pct"/>
                  <w:vAlign w:val="center"/>
                </w:tcPr>
                <w:p>
                  <w:pPr>
                    <w:pStyle w:val="37"/>
                    <w:rPr>
                      <w:color w:val="000000"/>
                    </w:rPr>
                  </w:pPr>
                  <w:r>
                    <w:rPr>
                      <w:rFonts w:hint="eastAsia"/>
                      <w:color w:val="000000"/>
                    </w:rPr>
                    <w:t>气态</w:t>
                  </w:r>
                </w:p>
              </w:tc>
              <w:tc>
                <w:tcPr>
                  <w:tcW w:w="377" w:type="pct"/>
                  <w:vAlign w:val="center"/>
                </w:tcPr>
                <w:p>
                  <w:pPr>
                    <w:pStyle w:val="37"/>
                    <w:rPr>
                      <w:color w:val="000000"/>
                    </w:rPr>
                  </w:pPr>
                  <w:r>
                    <w:rPr>
                      <w:rFonts w:hint="eastAsia"/>
                      <w:color w:val="000000"/>
                    </w:rPr>
                    <w:t>辅料</w:t>
                  </w:r>
                </w:p>
              </w:tc>
              <w:tc>
                <w:tcPr>
                  <w:tcW w:w="697" w:type="pct"/>
                  <w:vAlign w:val="center"/>
                </w:tcPr>
                <w:p>
                  <w:pPr>
                    <w:pStyle w:val="37"/>
                    <w:rPr>
                      <w:color w:val="000000"/>
                    </w:rPr>
                  </w:pPr>
                  <w:r>
                    <w:rPr>
                      <w:rFonts w:hint="eastAsia"/>
                      <w:color w:val="000000"/>
                    </w:rPr>
                    <w:t>CO</w:t>
                  </w:r>
                  <w:r>
                    <w:rPr>
                      <w:rFonts w:hint="eastAsia"/>
                      <w:color w:val="000000"/>
                      <w:vertAlign w:val="subscript"/>
                    </w:rPr>
                    <w:t>2</w:t>
                  </w:r>
                </w:p>
              </w:tc>
              <w:tc>
                <w:tcPr>
                  <w:tcW w:w="379" w:type="pct"/>
                  <w:vAlign w:val="center"/>
                </w:tcPr>
                <w:p>
                  <w:pPr>
                    <w:pStyle w:val="37"/>
                    <w:rPr>
                      <w:color w:val="000000"/>
                    </w:rPr>
                  </w:pPr>
                  <w:r>
                    <w:rPr>
                      <w:rFonts w:hint="eastAsia"/>
                      <w:color w:val="000000"/>
                    </w:rPr>
                    <w:t>外购</w:t>
                  </w:r>
                </w:p>
              </w:tc>
              <w:tc>
                <w:tcPr>
                  <w:tcW w:w="387" w:type="pct"/>
                  <w:vAlign w:val="center"/>
                </w:tcPr>
                <w:p>
                  <w:pPr>
                    <w:pStyle w:val="37"/>
                    <w:rPr>
                      <w:color w:val="000000"/>
                    </w:rPr>
                  </w:pPr>
                  <w:r>
                    <w:rPr>
                      <w:rFonts w:hint="eastAsia"/>
                      <w:color w:val="000000"/>
                    </w:rPr>
                    <w:t>0.12</w:t>
                  </w:r>
                </w:p>
              </w:tc>
              <w:tc>
                <w:tcPr>
                  <w:tcW w:w="480" w:type="pct"/>
                  <w:vAlign w:val="center"/>
                </w:tcPr>
                <w:p>
                  <w:pPr>
                    <w:pStyle w:val="37"/>
                    <w:rPr>
                      <w:color w:val="000000"/>
                    </w:rPr>
                  </w:pPr>
                  <w:r>
                    <w:rPr>
                      <w:rFonts w:hint="eastAsia"/>
                      <w:color w:val="000000"/>
                    </w:rPr>
                    <w:t>0.02</w:t>
                  </w:r>
                </w:p>
              </w:tc>
              <w:tc>
                <w:tcPr>
                  <w:tcW w:w="496" w:type="pct"/>
                  <w:vAlign w:val="center"/>
                </w:tcPr>
                <w:p>
                  <w:pPr>
                    <w:pStyle w:val="37"/>
                    <w:rPr>
                      <w:color w:val="000000"/>
                    </w:rPr>
                  </w:pPr>
                  <w:r>
                    <w:rPr>
                      <w:rFonts w:hint="eastAsia"/>
                      <w:color w:val="000000"/>
                    </w:rPr>
                    <w:t>t</w:t>
                  </w:r>
                </w:p>
              </w:tc>
              <w:tc>
                <w:tcPr>
                  <w:tcW w:w="543" w:type="pct"/>
                  <w:vMerge w:val="continue"/>
                  <w:vAlign w:val="center"/>
                </w:tcPr>
                <w:p>
                  <w:pPr>
                    <w:pStyle w:val="37"/>
                    <w:rPr>
                      <w:color w:val="000000"/>
                    </w:rPr>
                  </w:pPr>
                </w:p>
              </w:tc>
              <w:tc>
                <w:tcPr>
                  <w:tcW w:w="403" w:type="pct"/>
                  <w:vAlign w:val="center"/>
                </w:tcPr>
                <w:p>
                  <w:pPr>
                    <w:pStyle w:val="37"/>
                    <w:rPr>
                      <w:color w:val="000000"/>
                    </w:rPr>
                  </w:pPr>
                  <w:r>
                    <w:rPr>
                      <w:rFonts w:hint="eastAsia"/>
                      <w:color w:val="000000"/>
                    </w:rPr>
                    <w:t>罐装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48" w:type="pct"/>
                  <w:vAlign w:val="center"/>
                </w:tcPr>
                <w:p>
                  <w:pPr>
                    <w:pStyle w:val="37"/>
                    <w:rPr>
                      <w:color w:val="000000"/>
                    </w:rPr>
                  </w:pPr>
                  <w:r>
                    <w:rPr>
                      <w:rFonts w:hint="eastAsia"/>
                      <w:color w:val="000000"/>
                    </w:rPr>
                    <w:t>5</w:t>
                  </w:r>
                </w:p>
              </w:tc>
              <w:tc>
                <w:tcPr>
                  <w:tcW w:w="596" w:type="pct"/>
                  <w:vAlign w:val="center"/>
                </w:tcPr>
                <w:p>
                  <w:pPr>
                    <w:pStyle w:val="37"/>
                    <w:rPr>
                      <w:color w:val="000000"/>
                    </w:rPr>
                  </w:pPr>
                  <w:r>
                    <w:rPr>
                      <w:rFonts w:hint="eastAsia"/>
                      <w:color w:val="000000"/>
                    </w:rPr>
                    <w:t>机油</w:t>
                  </w:r>
                </w:p>
              </w:tc>
              <w:tc>
                <w:tcPr>
                  <w:tcW w:w="390" w:type="pct"/>
                  <w:vAlign w:val="center"/>
                </w:tcPr>
                <w:p>
                  <w:pPr>
                    <w:pStyle w:val="37"/>
                    <w:rPr>
                      <w:color w:val="000000"/>
                    </w:rPr>
                  </w:pPr>
                  <w:r>
                    <w:rPr>
                      <w:rFonts w:hint="eastAsia"/>
                      <w:color w:val="000000"/>
                    </w:rPr>
                    <w:t>液态</w:t>
                  </w:r>
                </w:p>
              </w:tc>
              <w:tc>
                <w:tcPr>
                  <w:tcW w:w="377" w:type="pct"/>
                  <w:vAlign w:val="center"/>
                </w:tcPr>
                <w:p>
                  <w:pPr>
                    <w:pStyle w:val="37"/>
                    <w:rPr>
                      <w:color w:val="000000"/>
                    </w:rPr>
                  </w:pPr>
                  <w:r>
                    <w:rPr>
                      <w:rFonts w:hint="eastAsia"/>
                      <w:color w:val="000000"/>
                    </w:rPr>
                    <w:t>辅料</w:t>
                  </w:r>
                </w:p>
              </w:tc>
              <w:tc>
                <w:tcPr>
                  <w:tcW w:w="697" w:type="pct"/>
                  <w:vAlign w:val="center"/>
                </w:tcPr>
                <w:p>
                  <w:pPr>
                    <w:pStyle w:val="37"/>
                    <w:rPr>
                      <w:color w:val="000000"/>
                    </w:rPr>
                  </w:pPr>
                  <w:r>
                    <w:rPr>
                      <w:rFonts w:hint="eastAsia"/>
                      <w:color w:val="000000"/>
                    </w:rPr>
                    <w:t>设备维修</w:t>
                  </w:r>
                </w:p>
              </w:tc>
              <w:tc>
                <w:tcPr>
                  <w:tcW w:w="379" w:type="pct"/>
                  <w:vAlign w:val="center"/>
                </w:tcPr>
                <w:p>
                  <w:pPr>
                    <w:pStyle w:val="37"/>
                    <w:rPr>
                      <w:color w:val="000000"/>
                    </w:rPr>
                  </w:pPr>
                  <w:r>
                    <w:rPr>
                      <w:rFonts w:hint="eastAsia"/>
                      <w:color w:val="000000"/>
                    </w:rPr>
                    <w:t>外购</w:t>
                  </w:r>
                </w:p>
              </w:tc>
              <w:tc>
                <w:tcPr>
                  <w:tcW w:w="387" w:type="pct"/>
                  <w:vAlign w:val="center"/>
                </w:tcPr>
                <w:p>
                  <w:pPr>
                    <w:pStyle w:val="37"/>
                    <w:rPr>
                      <w:color w:val="000000"/>
                    </w:rPr>
                  </w:pPr>
                  <w:r>
                    <w:rPr>
                      <w:rFonts w:hint="eastAsia"/>
                      <w:color w:val="000000"/>
                    </w:rPr>
                    <w:t>0.1</w:t>
                  </w:r>
                </w:p>
              </w:tc>
              <w:tc>
                <w:tcPr>
                  <w:tcW w:w="480" w:type="pct"/>
                  <w:vAlign w:val="center"/>
                </w:tcPr>
                <w:p>
                  <w:pPr>
                    <w:pStyle w:val="37"/>
                    <w:spacing w:line="240" w:lineRule="atLeast"/>
                    <w:rPr>
                      <w:color w:val="000000"/>
                    </w:rPr>
                  </w:pPr>
                  <w:r>
                    <w:rPr>
                      <w:rFonts w:hint="eastAsia"/>
                      <w:color w:val="000000"/>
                    </w:rPr>
                    <w:t>0.1</w:t>
                  </w:r>
                </w:p>
              </w:tc>
              <w:tc>
                <w:tcPr>
                  <w:tcW w:w="496" w:type="pct"/>
                  <w:vAlign w:val="center"/>
                </w:tcPr>
                <w:p>
                  <w:pPr>
                    <w:pStyle w:val="37"/>
                    <w:rPr>
                      <w:color w:val="000000"/>
                    </w:rPr>
                  </w:pPr>
                  <w:r>
                    <w:rPr>
                      <w:rFonts w:hint="eastAsia"/>
                      <w:color w:val="000000"/>
                    </w:rPr>
                    <w:t>t</w:t>
                  </w:r>
                </w:p>
              </w:tc>
              <w:tc>
                <w:tcPr>
                  <w:tcW w:w="543" w:type="pct"/>
                  <w:vMerge w:val="continue"/>
                  <w:vAlign w:val="center"/>
                </w:tcPr>
                <w:p>
                  <w:pPr>
                    <w:pStyle w:val="37"/>
                    <w:rPr>
                      <w:color w:val="000000"/>
                    </w:rPr>
                  </w:pPr>
                </w:p>
              </w:tc>
              <w:tc>
                <w:tcPr>
                  <w:tcW w:w="403" w:type="pct"/>
                  <w:vAlign w:val="center"/>
                </w:tcPr>
                <w:p>
                  <w:pPr>
                    <w:pStyle w:val="37"/>
                    <w:rPr>
                      <w:color w:val="000000"/>
                    </w:rPr>
                  </w:pPr>
                  <w:r>
                    <w:rPr>
                      <w:rFonts w:hint="eastAsia"/>
                      <w:color w:val="000000"/>
                    </w:rPr>
                    <w:t>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48" w:type="pct"/>
                  <w:vAlign w:val="center"/>
                </w:tcPr>
                <w:p>
                  <w:pPr>
                    <w:pStyle w:val="37"/>
                    <w:rPr>
                      <w:color w:val="000000"/>
                    </w:rPr>
                  </w:pPr>
                  <w:r>
                    <w:rPr>
                      <w:rFonts w:hint="eastAsia"/>
                      <w:color w:val="000000"/>
                    </w:rPr>
                    <w:t>6</w:t>
                  </w:r>
                </w:p>
              </w:tc>
              <w:tc>
                <w:tcPr>
                  <w:tcW w:w="596" w:type="pct"/>
                  <w:vAlign w:val="center"/>
                </w:tcPr>
                <w:p>
                  <w:pPr>
                    <w:pStyle w:val="37"/>
                    <w:rPr>
                      <w:color w:val="000000"/>
                    </w:rPr>
                  </w:pPr>
                  <w:r>
                    <w:rPr>
                      <w:rFonts w:hint="eastAsia"/>
                      <w:color w:val="000000"/>
                    </w:rPr>
                    <w:t>电</w:t>
                  </w:r>
                </w:p>
              </w:tc>
              <w:tc>
                <w:tcPr>
                  <w:tcW w:w="390" w:type="pct"/>
                  <w:vAlign w:val="center"/>
                </w:tcPr>
                <w:p>
                  <w:pPr>
                    <w:pStyle w:val="37"/>
                    <w:rPr>
                      <w:color w:val="000000"/>
                    </w:rPr>
                  </w:pPr>
                  <w:r>
                    <w:rPr>
                      <w:rFonts w:hint="eastAsia"/>
                      <w:color w:val="000000"/>
                    </w:rPr>
                    <w:t>/</w:t>
                  </w:r>
                </w:p>
              </w:tc>
              <w:tc>
                <w:tcPr>
                  <w:tcW w:w="377" w:type="pct"/>
                  <w:vAlign w:val="center"/>
                </w:tcPr>
                <w:p>
                  <w:pPr>
                    <w:pStyle w:val="37"/>
                    <w:rPr>
                      <w:color w:val="000000"/>
                    </w:rPr>
                  </w:pPr>
                  <w:r>
                    <w:rPr>
                      <w:rFonts w:hint="eastAsia"/>
                      <w:color w:val="000000"/>
                    </w:rPr>
                    <w:t>能源</w:t>
                  </w:r>
                </w:p>
              </w:tc>
              <w:tc>
                <w:tcPr>
                  <w:tcW w:w="697" w:type="pct"/>
                  <w:vAlign w:val="center"/>
                </w:tcPr>
                <w:p>
                  <w:pPr>
                    <w:pStyle w:val="37"/>
                    <w:rPr>
                      <w:color w:val="000000"/>
                    </w:rPr>
                  </w:pPr>
                  <w:r>
                    <w:rPr>
                      <w:rFonts w:hint="eastAsia"/>
                      <w:color w:val="000000"/>
                    </w:rPr>
                    <w:t>/</w:t>
                  </w:r>
                </w:p>
              </w:tc>
              <w:tc>
                <w:tcPr>
                  <w:tcW w:w="379" w:type="pct"/>
                  <w:vAlign w:val="center"/>
                </w:tcPr>
                <w:p>
                  <w:pPr>
                    <w:pStyle w:val="37"/>
                    <w:rPr>
                      <w:color w:val="000000"/>
                    </w:rPr>
                  </w:pPr>
                  <w:r>
                    <w:rPr>
                      <w:rFonts w:hint="eastAsia"/>
                      <w:color w:val="000000"/>
                    </w:rPr>
                    <w:t>外购</w:t>
                  </w:r>
                </w:p>
              </w:tc>
              <w:tc>
                <w:tcPr>
                  <w:tcW w:w="387" w:type="pct"/>
                  <w:vAlign w:val="center"/>
                </w:tcPr>
                <w:p>
                  <w:pPr>
                    <w:pStyle w:val="37"/>
                    <w:rPr>
                      <w:color w:val="000000"/>
                    </w:rPr>
                  </w:pPr>
                  <w:r>
                    <w:rPr>
                      <w:rFonts w:hint="eastAsia"/>
                    </w:rPr>
                    <w:t>50</w:t>
                  </w:r>
                </w:p>
              </w:tc>
              <w:tc>
                <w:tcPr>
                  <w:tcW w:w="480" w:type="pct"/>
                  <w:vAlign w:val="center"/>
                </w:tcPr>
                <w:p>
                  <w:pPr>
                    <w:pStyle w:val="37"/>
                    <w:spacing w:line="240" w:lineRule="atLeast"/>
                    <w:rPr>
                      <w:color w:val="000000"/>
                    </w:rPr>
                  </w:pPr>
                  <w:r>
                    <w:rPr>
                      <w:rFonts w:hint="eastAsia"/>
                      <w:color w:val="000000"/>
                    </w:rPr>
                    <w:t>/</w:t>
                  </w:r>
                </w:p>
              </w:tc>
              <w:tc>
                <w:tcPr>
                  <w:tcW w:w="496" w:type="pct"/>
                  <w:vAlign w:val="center"/>
                </w:tcPr>
                <w:p>
                  <w:pPr>
                    <w:pStyle w:val="37"/>
                    <w:rPr>
                      <w:color w:val="000000"/>
                    </w:rPr>
                  </w:pPr>
                  <w:r>
                    <w:rPr>
                      <w:rFonts w:hint="eastAsia"/>
                      <w:color w:val="000000"/>
                    </w:rPr>
                    <w:t>万kWh</w:t>
                  </w:r>
                </w:p>
              </w:tc>
              <w:tc>
                <w:tcPr>
                  <w:tcW w:w="543" w:type="pct"/>
                  <w:vAlign w:val="center"/>
                </w:tcPr>
                <w:p>
                  <w:pPr>
                    <w:pStyle w:val="37"/>
                    <w:rPr>
                      <w:color w:val="000000"/>
                    </w:rPr>
                  </w:pPr>
                  <w:r>
                    <w:rPr>
                      <w:rFonts w:hint="eastAsia"/>
                      <w:color w:val="000000"/>
                    </w:rPr>
                    <w:t>/</w:t>
                  </w:r>
                </w:p>
              </w:tc>
              <w:tc>
                <w:tcPr>
                  <w:tcW w:w="403" w:type="pct"/>
                  <w:vAlign w:val="center"/>
                </w:tcPr>
                <w:p>
                  <w:pPr>
                    <w:pStyle w:val="37"/>
                    <w:rPr>
                      <w:color w:val="000000"/>
                    </w:rPr>
                  </w:pPr>
                  <w:r>
                    <w:rPr>
                      <w:rFonts w:hint="eastAsia"/>
                      <w:color w:val="000000"/>
                    </w:rPr>
                    <w:t>/</w:t>
                  </w:r>
                </w:p>
              </w:tc>
            </w:tr>
          </w:tbl>
          <w:p>
            <w:pPr>
              <w:spacing w:beforeLines="50"/>
              <w:ind w:firstLine="480"/>
              <w:rPr>
                <w:color w:val="000000"/>
              </w:rPr>
            </w:pPr>
            <w:r>
              <w:rPr>
                <w:rFonts w:hint="eastAsia"/>
                <w:color w:val="000000"/>
              </w:rPr>
              <w:t>扩建项目</w:t>
            </w:r>
            <w:r>
              <w:rPr>
                <w:color w:val="000000"/>
              </w:rPr>
              <w:t>主要原辅材料</w:t>
            </w:r>
            <w:r>
              <w:rPr>
                <w:rFonts w:hint="eastAsia"/>
                <w:color w:val="000000"/>
              </w:rPr>
              <w:t>理化性质</w:t>
            </w:r>
            <w:r>
              <w:rPr>
                <w:color w:val="000000"/>
              </w:rPr>
              <w:t>说明：</w:t>
            </w:r>
          </w:p>
          <w:p>
            <w:pPr>
              <w:pStyle w:val="38"/>
              <w:rPr>
                <w:color w:val="000000"/>
                <w:spacing w:val="0"/>
              </w:rPr>
            </w:pPr>
            <w:r>
              <w:rPr>
                <w:color w:val="000000"/>
                <w:spacing w:val="0"/>
              </w:rPr>
              <w:t>表2-</w:t>
            </w:r>
            <w:r>
              <w:rPr>
                <w:rFonts w:hint="eastAsia"/>
                <w:color w:val="000000"/>
                <w:spacing w:val="0"/>
              </w:rPr>
              <w:t>4</w:t>
            </w:r>
            <w:r>
              <w:rPr>
                <w:color w:val="000000"/>
                <w:spacing w:val="0"/>
              </w:rPr>
              <w:t xml:space="preserve"> </w:t>
            </w:r>
            <w:r>
              <w:rPr>
                <w:rFonts w:hint="eastAsia"/>
                <w:color w:val="000000"/>
                <w:spacing w:val="0"/>
              </w:rPr>
              <w:t xml:space="preserve"> 扩建项目主要</w:t>
            </w:r>
            <w:r>
              <w:rPr>
                <w:color w:val="000000"/>
                <w:spacing w:val="0"/>
              </w:rPr>
              <w:t>原辅材料成分或理化性质</w:t>
            </w:r>
          </w:p>
          <w:tbl>
            <w:tblPr>
              <w:tblStyle w:val="27"/>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1046"/>
              <w:gridCol w:w="6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pPr>
                    <w:pStyle w:val="37"/>
                    <w:spacing w:line="240" w:lineRule="atLeast"/>
                    <w:rPr>
                      <w:b/>
                      <w:bCs/>
                      <w:color w:val="000000"/>
                    </w:rPr>
                  </w:pPr>
                  <w:r>
                    <w:rPr>
                      <w:b/>
                      <w:bCs/>
                      <w:color w:val="000000"/>
                    </w:rPr>
                    <w:t>序号</w:t>
                  </w:r>
                </w:p>
              </w:tc>
              <w:tc>
                <w:tcPr>
                  <w:tcW w:w="655" w:type="pct"/>
                  <w:vAlign w:val="center"/>
                </w:tcPr>
                <w:p>
                  <w:pPr>
                    <w:pStyle w:val="37"/>
                    <w:spacing w:line="240" w:lineRule="atLeast"/>
                    <w:rPr>
                      <w:b/>
                      <w:bCs/>
                      <w:color w:val="000000"/>
                    </w:rPr>
                  </w:pPr>
                  <w:r>
                    <w:rPr>
                      <w:b/>
                      <w:bCs/>
                      <w:color w:val="000000"/>
                    </w:rPr>
                    <w:t>名称</w:t>
                  </w:r>
                </w:p>
              </w:tc>
              <w:tc>
                <w:tcPr>
                  <w:tcW w:w="3970" w:type="pct"/>
                  <w:vAlign w:val="center"/>
                </w:tcPr>
                <w:p>
                  <w:pPr>
                    <w:pStyle w:val="37"/>
                    <w:spacing w:line="240" w:lineRule="atLeast"/>
                    <w:rPr>
                      <w:b/>
                      <w:bCs/>
                      <w:color w:val="000000"/>
                    </w:rPr>
                  </w:pPr>
                  <w:r>
                    <w:rPr>
                      <w:b/>
                      <w:bCs/>
                      <w:color w:val="000000"/>
                    </w:rPr>
                    <w:t>理化性质或成分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pPr>
                    <w:pStyle w:val="37"/>
                    <w:spacing w:line="240" w:lineRule="atLeast"/>
                    <w:rPr>
                      <w:color w:val="000000"/>
                    </w:rPr>
                  </w:pPr>
                  <w:r>
                    <w:rPr>
                      <w:rFonts w:hint="eastAsia"/>
                      <w:color w:val="000000"/>
                    </w:rPr>
                    <w:t>1</w:t>
                  </w:r>
                </w:p>
              </w:tc>
              <w:tc>
                <w:tcPr>
                  <w:tcW w:w="655" w:type="pct"/>
                  <w:vAlign w:val="center"/>
                </w:tcPr>
                <w:p>
                  <w:pPr>
                    <w:pStyle w:val="37"/>
                    <w:rPr>
                      <w:color w:val="000000"/>
                    </w:rPr>
                  </w:pPr>
                  <w:r>
                    <w:rPr>
                      <w:rFonts w:hint="eastAsia"/>
                      <w:color w:val="000000"/>
                    </w:rPr>
                    <w:t>无铅焊丝</w:t>
                  </w:r>
                </w:p>
              </w:tc>
              <w:tc>
                <w:tcPr>
                  <w:tcW w:w="3970" w:type="pct"/>
                  <w:vAlign w:val="center"/>
                </w:tcPr>
                <w:p>
                  <w:pPr>
                    <w:pStyle w:val="37"/>
                    <w:jc w:val="both"/>
                    <w:rPr>
                      <w:color w:val="000000"/>
                    </w:rPr>
                  </w:pPr>
                  <w:r>
                    <w:rPr>
                      <w:rFonts w:hint="eastAsia"/>
                      <w:color w:val="000000"/>
                    </w:rPr>
                    <w:t>使用的无铅焊丝主要成分为：锡</w:t>
                  </w:r>
                  <w:r>
                    <w:rPr>
                      <w:color w:val="000000"/>
                    </w:rPr>
                    <w:t>&gt;</w:t>
                  </w:r>
                  <w:r>
                    <w:rPr>
                      <w:rFonts w:hint="eastAsia"/>
                      <w:color w:val="000000"/>
                    </w:rPr>
                    <w:t>90%、铜</w:t>
                  </w:r>
                  <w:r>
                    <w:rPr>
                      <w:color w:val="000000"/>
                    </w:rPr>
                    <w:t>&lt;</w:t>
                  </w:r>
                  <w:r>
                    <w:rPr>
                      <w:rFonts w:hint="eastAsia"/>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pPr>
                    <w:pStyle w:val="37"/>
                    <w:spacing w:line="240" w:lineRule="atLeast"/>
                    <w:rPr>
                      <w:color w:val="000000"/>
                    </w:rPr>
                  </w:pPr>
                  <w:r>
                    <w:rPr>
                      <w:rFonts w:hint="eastAsia"/>
                      <w:color w:val="000000"/>
                    </w:rPr>
                    <w:t>2</w:t>
                  </w:r>
                </w:p>
              </w:tc>
              <w:tc>
                <w:tcPr>
                  <w:tcW w:w="655" w:type="pct"/>
                  <w:vAlign w:val="center"/>
                </w:tcPr>
                <w:p>
                  <w:pPr>
                    <w:pStyle w:val="37"/>
                    <w:rPr>
                      <w:color w:val="000000"/>
                    </w:rPr>
                  </w:pPr>
                  <w:r>
                    <w:rPr>
                      <w:rFonts w:hint="eastAsia"/>
                      <w:color w:val="000000"/>
                    </w:rPr>
                    <w:t>机油</w:t>
                  </w:r>
                </w:p>
              </w:tc>
              <w:tc>
                <w:tcPr>
                  <w:tcW w:w="3970" w:type="pct"/>
                  <w:vAlign w:val="center"/>
                </w:tcPr>
                <w:p>
                  <w:pPr>
                    <w:pStyle w:val="37"/>
                    <w:jc w:val="both"/>
                    <w:rPr>
                      <w:color w:val="000000"/>
                    </w:rPr>
                  </w:pPr>
                  <w:r>
                    <w:rPr>
                      <w:rFonts w:hint="eastAsia"/>
                      <w:color w:val="000000"/>
                    </w:rPr>
                    <w:t>淡黄色透明外观，以高润滑性植物油和合成酯基础油为主要成分，加入高效极压添加剂和抗氧剂等制成，不含游离氯及其衍生物，适合微量润滑状态下的金属切削。</w:t>
                  </w:r>
                </w:p>
              </w:tc>
            </w:tr>
          </w:tbl>
          <w:p>
            <w:pPr>
              <w:ind w:firstLine="482"/>
              <w:rPr>
                <w:b/>
                <w:bCs/>
                <w:color w:val="000000"/>
              </w:rPr>
            </w:pPr>
            <w:r>
              <w:rPr>
                <w:b/>
                <w:bCs/>
                <w:color w:val="000000"/>
              </w:rPr>
              <w:t>（</w:t>
            </w:r>
            <w:r>
              <w:rPr>
                <w:rFonts w:hint="eastAsia"/>
                <w:b/>
                <w:bCs/>
                <w:color w:val="000000"/>
              </w:rPr>
              <w:t>4</w:t>
            </w:r>
            <w:r>
              <w:rPr>
                <w:b/>
                <w:bCs/>
                <w:color w:val="000000"/>
              </w:rPr>
              <w:t>）</w:t>
            </w:r>
            <w:r>
              <w:rPr>
                <w:rFonts w:hint="eastAsia"/>
                <w:b/>
                <w:bCs/>
                <w:color w:val="000000"/>
              </w:rPr>
              <w:t>扩建项目</w:t>
            </w:r>
            <w:r>
              <w:rPr>
                <w:b/>
                <w:bCs/>
                <w:color w:val="000000"/>
              </w:rPr>
              <w:t>主要生产设备</w:t>
            </w:r>
          </w:p>
          <w:p>
            <w:pPr>
              <w:pStyle w:val="38"/>
              <w:rPr>
                <w:color w:val="000000"/>
                <w:spacing w:val="0"/>
              </w:rPr>
            </w:pPr>
            <w:r>
              <w:rPr>
                <w:color w:val="000000"/>
                <w:spacing w:val="0"/>
              </w:rPr>
              <w:t>表2-</w:t>
            </w:r>
            <w:r>
              <w:rPr>
                <w:rFonts w:hint="eastAsia"/>
                <w:color w:val="000000"/>
                <w:spacing w:val="0"/>
              </w:rPr>
              <w:t>5</w:t>
            </w:r>
            <w:r>
              <w:rPr>
                <w:color w:val="000000"/>
                <w:spacing w:val="0"/>
              </w:rPr>
              <w:t xml:space="preserve">  </w:t>
            </w:r>
            <w:r>
              <w:rPr>
                <w:rFonts w:hint="eastAsia"/>
                <w:color w:val="000000"/>
                <w:spacing w:val="0"/>
              </w:rPr>
              <w:t>扩建项目</w:t>
            </w:r>
            <w:r>
              <w:rPr>
                <w:color w:val="000000"/>
                <w:spacing w:val="0"/>
              </w:rPr>
              <w:t>主要生产设备一览表</w:t>
            </w:r>
            <w:r>
              <w:rPr>
                <w:rFonts w:hint="eastAsia"/>
                <w:color w:val="000000"/>
                <w:spacing w:val="0"/>
              </w:rPr>
              <w:t>（台/套）</w:t>
            </w:r>
          </w:p>
          <w:tbl>
            <w:tblPr>
              <w:tblStyle w:val="27"/>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855"/>
              <w:gridCol w:w="634"/>
              <w:gridCol w:w="610"/>
              <w:gridCol w:w="2515"/>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3" w:type="pct"/>
                  <w:vAlign w:val="center"/>
                </w:tcPr>
                <w:p>
                  <w:pPr>
                    <w:pStyle w:val="37"/>
                    <w:rPr>
                      <w:b/>
                      <w:bCs/>
                      <w:color w:val="000000"/>
                      <w:szCs w:val="18"/>
                    </w:rPr>
                  </w:pPr>
                  <w:r>
                    <w:rPr>
                      <w:rFonts w:hint="eastAsia"/>
                      <w:b/>
                      <w:bCs/>
                      <w:color w:val="000000"/>
                      <w:szCs w:val="18"/>
                    </w:rPr>
                    <w:t>序号</w:t>
                  </w:r>
                </w:p>
              </w:tc>
              <w:tc>
                <w:tcPr>
                  <w:tcW w:w="1147" w:type="pct"/>
                  <w:vAlign w:val="center"/>
                </w:tcPr>
                <w:p>
                  <w:pPr>
                    <w:pStyle w:val="37"/>
                    <w:rPr>
                      <w:b/>
                      <w:bCs/>
                      <w:color w:val="000000"/>
                      <w:szCs w:val="18"/>
                    </w:rPr>
                  </w:pPr>
                  <w:r>
                    <w:rPr>
                      <w:rFonts w:hint="eastAsia"/>
                      <w:b/>
                      <w:bCs/>
                      <w:color w:val="000000"/>
                      <w:szCs w:val="18"/>
                    </w:rPr>
                    <w:t>设备名称</w:t>
                  </w:r>
                </w:p>
              </w:tc>
              <w:tc>
                <w:tcPr>
                  <w:tcW w:w="392" w:type="pct"/>
                  <w:vAlign w:val="center"/>
                </w:tcPr>
                <w:p>
                  <w:pPr>
                    <w:pStyle w:val="37"/>
                    <w:spacing w:line="240" w:lineRule="atLeast"/>
                    <w:rPr>
                      <w:b/>
                      <w:bCs/>
                      <w:color w:val="000000"/>
                      <w:szCs w:val="18"/>
                    </w:rPr>
                  </w:pPr>
                  <w:r>
                    <w:rPr>
                      <w:rFonts w:hint="eastAsia"/>
                      <w:b/>
                      <w:bCs/>
                      <w:color w:val="000000"/>
                      <w:szCs w:val="18"/>
                    </w:rPr>
                    <w:t>数量</w:t>
                  </w:r>
                </w:p>
              </w:tc>
              <w:tc>
                <w:tcPr>
                  <w:tcW w:w="377" w:type="pct"/>
                  <w:vAlign w:val="center"/>
                </w:tcPr>
                <w:p>
                  <w:pPr>
                    <w:pStyle w:val="37"/>
                    <w:rPr>
                      <w:b/>
                      <w:bCs/>
                      <w:color w:val="000000"/>
                      <w:szCs w:val="18"/>
                    </w:rPr>
                  </w:pPr>
                  <w:r>
                    <w:rPr>
                      <w:rFonts w:hint="eastAsia"/>
                      <w:b/>
                      <w:bCs/>
                      <w:color w:val="000000"/>
                      <w:szCs w:val="18"/>
                    </w:rPr>
                    <w:t>单位</w:t>
                  </w:r>
                </w:p>
              </w:tc>
              <w:tc>
                <w:tcPr>
                  <w:tcW w:w="1555" w:type="pct"/>
                  <w:vAlign w:val="center"/>
                </w:tcPr>
                <w:p>
                  <w:pPr>
                    <w:pStyle w:val="37"/>
                    <w:rPr>
                      <w:b/>
                      <w:bCs/>
                      <w:color w:val="000000"/>
                      <w:szCs w:val="18"/>
                    </w:rPr>
                  </w:pPr>
                  <w:r>
                    <w:rPr>
                      <w:rFonts w:hint="eastAsia"/>
                      <w:b/>
                      <w:bCs/>
                      <w:color w:val="000000"/>
                      <w:szCs w:val="18"/>
                    </w:rPr>
                    <w:t>规格型号</w:t>
                  </w:r>
                </w:p>
              </w:tc>
              <w:tc>
                <w:tcPr>
                  <w:tcW w:w="1114" w:type="pct"/>
                  <w:vAlign w:val="center"/>
                </w:tcPr>
                <w:p>
                  <w:pPr>
                    <w:pStyle w:val="37"/>
                    <w:rPr>
                      <w:b/>
                      <w:bCs/>
                      <w:color w:val="000000"/>
                      <w:szCs w:val="18"/>
                    </w:rPr>
                  </w:pPr>
                  <w:r>
                    <w:rPr>
                      <w:rFonts w:hint="eastAsia"/>
                      <w:b/>
                      <w:bCs/>
                      <w:color w:val="000000"/>
                      <w:szCs w:val="18"/>
                    </w:rPr>
                    <w:t>对应生产工序/用途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3" w:type="pct"/>
                  <w:vAlign w:val="center"/>
                </w:tcPr>
                <w:p>
                  <w:pPr>
                    <w:pStyle w:val="37"/>
                    <w:rPr>
                      <w:color w:val="000000"/>
                      <w:szCs w:val="18"/>
                      <w:highlight w:val="none"/>
                    </w:rPr>
                  </w:pPr>
                  <w:r>
                    <w:rPr>
                      <w:rFonts w:hint="eastAsia"/>
                      <w:color w:val="000000"/>
                      <w:szCs w:val="18"/>
                      <w:highlight w:val="none"/>
                    </w:rPr>
                    <w:t>1</w:t>
                  </w:r>
                </w:p>
              </w:tc>
              <w:tc>
                <w:tcPr>
                  <w:tcW w:w="1147" w:type="pct"/>
                  <w:vAlign w:val="center"/>
                </w:tcPr>
                <w:p>
                  <w:pPr>
                    <w:pStyle w:val="37"/>
                    <w:rPr>
                      <w:highlight w:val="none"/>
                    </w:rPr>
                  </w:pPr>
                  <w:r>
                    <w:rPr>
                      <w:rFonts w:hint="eastAsia"/>
                      <w:highlight w:val="none"/>
                    </w:rPr>
                    <w:t>焊接机器人</w:t>
                  </w:r>
                </w:p>
              </w:tc>
              <w:tc>
                <w:tcPr>
                  <w:tcW w:w="630" w:type="dxa"/>
                  <w:vAlign w:val="center"/>
                </w:tcPr>
                <w:p>
                  <w:pPr>
                    <w:pStyle w:val="37"/>
                    <w:rPr>
                      <w:highlight w:val="none"/>
                    </w:rPr>
                  </w:pPr>
                  <w:r>
                    <w:rPr>
                      <w:rFonts w:hint="eastAsia"/>
                      <w:highlight w:val="none"/>
                    </w:rPr>
                    <w:t>1</w:t>
                  </w:r>
                  <w:r>
                    <w:rPr>
                      <w:highlight w:val="none"/>
                    </w:rPr>
                    <w:t>1</w:t>
                  </w:r>
                </w:p>
              </w:tc>
              <w:tc>
                <w:tcPr>
                  <w:tcW w:w="377" w:type="pct"/>
                  <w:vAlign w:val="center"/>
                </w:tcPr>
                <w:p>
                  <w:pPr>
                    <w:pStyle w:val="37"/>
                    <w:rPr>
                      <w:color w:val="000000"/>
                      <w:szCs w:val="18"/>
                      <w:highlight w:val="none"/>
                      <w:lang w:val="en-GB"/>
                    </w:rPr>
                  </w:pPr>
                  <w:r>
                    <w:rPr>
                      <w:color w:val="000000"/>
                      <w:szCs w:val="18"/>
                      <w:highlight w:val="none"/>
                    </w:rPr>
                    <w:t>台</w:t>
                  </w:r>
                </w:p>
              </w:tc>
              <w:tc>
                <w:tcPr>
                  <w:tcW w:w="1555" w:type="pct"/>
                  <w:vAlign w:val="center"/>
                </w:tcPr>
                <w:p>
                  <w:pPr>
                    <w:pStyle w:val="37"/>
                    <w:rPr>
                      <w:highlight w:val="none"/>
                    </w:rPr>
                  </w:pPr>
                  <w:r>
                    <w:rPr>
                      <w:rFonts w:hint="eastAsia"/>
                      <w:highlight w:val="none"/>
                    </w:rPr>
                    <w:t>机器人焊机500</w:t>
                  </w:r>
                </w:p>
              </w:tc>
              <w:tc>
                <w:tcPr>
                  <w:tcW w:w="1790" w:type="dxa"/>
                  <w:vAlign w:val="center"/>
                </w:tcPr>
                <w:p>
                  <w:pPr>
                    <w:pStyle w:val="37"/>
                    <w:rPr>
                      <w:highlight w:val="none"/>
                    </w:rPr>
                  </w:pPr>
                  <w:r>
                    <w:rPr>
                      <w:rFonts w:hint="eastAsia"/>
                      <w:highlight w:val="none"/>
                    </w:rPr>
                    <w:t>机器人焊接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3" w:type="pct"/>
                  <w:vAlign w:val="center"/>
                </w:tcPr>
                <w:p>
                  <w:pPr>
                    <w:pStyle w:val="37"/>
                    <w:rPr>
                      <w:color w:val="000000"/>
                      <w:szCs w:val="18"/>
                      <w:highlight w:val="none"/>
                    </w:rPr>
                  </w:pPr>
                  <w:r>
                    <w:rPr>
                      <w:rFonts w:hint="eastAsia"/>
                      <w:color w:val="000000"/>
                      <w:szCs w:val="18"/>
                      <w:highlight w:val="none"/>
                    </w:rPr>
                    <w:t>2</w:t>
                  </w:r>
                </w:p>
              </w:tc>
              <w:tc>
                <w:tcPr>
                  <w:tcW w:w="1147" w:type="pct"/>
                  <w:vAlign w:val="center"/>
                </w:tcPr>
                <w:p>
                  <w:pPr>
                    <w:pStyle w:val="37"/>
                    <w:rPr>
                      <w:highlight w:val="none"/>
                    </w:rPr>
                  </w:pPr>
                  <w:r>
                    <w:rPr>
                      <w:rFonts w:hint="eastAsia"/>
                      <w:highlight w:val="none"/>
                    </w:rPr>
                    <w:t>手工焊机</w:t>
                  </w:r>
                </w:p>
              </w:tc>
              <w:tc>
                <w:tcPr>
                  <w:tcW w:w="630" w:type="dxa"/>
                  <w:vAlign w:val="center"/>
                </w:tcPr>
                <w:p>
                  <w:pPr>
                    <w:pStyle w:val="37"/>
                    <w:rPr>
                      <w:highlight w:val="none"/>
                    </w:rPr>
                  </w:pPr>
                  <w:r>
                    <w:rPr>
                      <w:rFonts w:hint="eastAsia"/>
                      <w:highlight w:val="none"/>
                    </w:rPr>
                    <w:t>4</w:t>
                  </w:r>
                </w:p>
              </w:tc>
              <w:tc>
                <w:tcPr>
                  <w:tcW w:w="377" w:type="pct"/>
                  <w:vAlign w:val="center"/>
                </w:tcPr>
                <w:p>
                  <w:pPr>
                    <w:pStyle w:val="37"/>
                    <w:rPr>
                      <w:color w:val="000000"/>
                      <w:szCs w:val="18"/>
                      <w:highlight w:val="none"/>
                    </w:rPr>
                  </w:pPr>
                  <w:r>
                    <w:rPr>
                      <w:rFonts w:hint="eastAsia"/>
                      <w:color w:val="000000"/>
                      <w:szCs w:val="18"/>
                      <w:highlight w:val="none"/>
                    </w:rPr>
                    <w:t>台</w:t>
                  </w:r>
                </w:p>
              </w:tc>
              <w:tc>
                <w:tcPr>
                  <w:tcW w:w="1555" w:type="pct"/>
                  <w:vAlign w:val="center"/>
                </w:tcPr>
                <w:p>
                  <w:pPr>
                    <w:pStyle w:val="37"/>
                    <w:rPr>
                      <w:highlight w:val="none"/>
                    </w:rPr>
                  </w:pPr>
                  <w:r>
                    <w:rPr>
                      <w:highlight w:val="none"/>
                    </w:rPr>
                    <w:t>GS</w:t>
                  </w:r>
                  <w:r>
                    <w:rPr>
                      <w:rFonts w:hint="eastAsia"/>
                      <w:highlight w:val="none"/>
                    </w:rPr>
                    <w:t>3</w:t>
                  </w:r>
                  <w:r>
                    <w:rPr>
                      <w:highlight w:val="none"/>
                    </w:rPr>
                    <w:t>50</w:t>
                  </w:r>
                </w:p>
              </w:tc>
              <w:tc>
                <w:tcPr>
                  <w:tcW w:w="1790" w:type="dxa"/>
                  <w:vAlign w:val="center"/>
                </w:tcPr>
                <w:p>
                  <w:pPr>
                    <w:pStyle w:val="37"/>
                    <w:rPr>
                      <w:highlight w:val="none"/>
                    </w:rPr>
                  </w:pPr>
                  <w:r>
                    <w:rPr>
                      <w:rFonts w:hint="eastAsia"/>
                      <w:highlight w:val="none"/>
                    </w:rPr>
                    <w:t>人工焊接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3" w:type="pct"/>
                  <w:vAlign w:val="center"/>
                </w:tcPr>
                <w:p>
                  <w:pPr>
                    <w:pStyle w:val="37"/>
                    <w:rPr>
                      <w:color w:val="000000"/>
                      <w:szCs w:val="18"/>
                      <w:highlight w:val="none"/>
                    </w:rPr>
                  </w:pPr>
                  <w:r>
                    <w:rPr>
                      <w:rFonts w:hint="eastAsia"/>
                      <w:color w:val="000000"/>
                      <w:szCs w:val="18"/>
                      <w:highlight w:val="none"/>
                    </w:rPr>
                    <w:t>3</w:t>
                  </w:r>
                </w:p>
              </w:tc>
              <w:tc>
                <w:tcPr>
                  <w:tcW w:w="1147" w:type="pct"/>
                  <w:vAlign w:val="center"/>
                </w:tcPr>
                <w:p>
                  <w:pPr>
                    <w:pStyle w:val="37"/>
                    <w:rPr>
                      <w:highlight w:val="none"/>
                    </w:rPr>
                  </w:pPr>
                  <w:r>
                    <w:rPr>
                      <w:rFonts w:hint="eastAsia"/>
                      <w:highlight w:val="none"/>
                    </w:rPr>
                    <w:t>除尘设施</w:t>
                  </w:r>
                </w:p>
              </w:tc>
              <w:tc>
                <w:tcPr>
                  <w:tcW w:w="630" w:type="dxa"/>
                  <w:vAlign w:val="center"/>
                </w:tcPr>
                <w:p>
                  <w:pPr>
                    <w:pStyle w:val="37"/>
                    <w:rPr>
                      <w:highlight w:val="none"/>
                    </w:rPr>
                  </w:pPr>
                  <w:r>
                    <w:rPr>
                      <w:rFonts w:hint="eastAsia"/>
                      <w:highlight w:val="none"/>
                    </w:rPr>
                    <w:t>2</w:t>
                  </w:r>
                </w:p>
              </w:tc>
              <w:tc>
                <w:tcPr>
                  <w:tcW w:w="377" w:type="pct"/>
                  <w:vAlign w:val="center"/>
                </w:tcPr>
                <w:p>
                  <w:pPr>
                    <w:pStyle w:val="37"/>
                    <w:rPr>
                      <w:color w:val="000000"/>
                      <w:szCs w:val="18"/>
                      <w:highlight w:val="none"/>
                    </w:rPr>
                  </w:pPr>
                  <w:r>
                    <w:rPr>
                      <w:color w:val="000000"/>
                      <w:szCs w:val="18"/>
                      <w:highlight w:val="none"/>
                    </w:rPr>
                    <w:t>台</w:t>
                  </w:r>
                </w:p>
              </w:tc>
              <w:tc>
                <w:tcPr>
                  <w:tcW w:w="1555" w:type="pct"/>
                  <w:vAlign w:val="center"/>
                </w:tcPr>
                <w:p>
                  <w:pPr>
                    <w:pStyle w:val="37"/>
                    <w:rPr>
                      <w:highlight w:val="none"/>
                    </w:rPr>
                  </w:pPr>
                  <w:r>
                    <w:rPr>
                      <w:rFonts w:hint="eastAsia"/>
                      <w:highlight w:val="none"/>
                    </w:rPr>
                    <w:t>CYC-2-24</w:t>
                  </w:r>
                </w:p>
              </w:tc>
              <w:tc>
                <w:tcPr>
                  <w:tcW w:w="1790" w:type="dxa"/>
                  <w:vAlign w:val="center"/>
                </w:tcPr>
                <w:p>
                  <w:pPr>
                    <w:pStyle w:val="37"/>
                    <w:rPr>
                      <w:highlight w:val="none"/>
                    </w:rPr>
                  </w:pPr>
                  <w:r>
                    <w:rPr>
                      <w:rFonts w:hint="eastAsia"/>
                      <w:highlight w:val="none"/>
                    </w:rPr>
                    <w:t>烟尘处理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blHeader/>
                <w:jc w:val="center"/>
              </w:trPr>
              <w:tc>
                <w:tcPr>
                  <w:tcW w:w="413" w:type="pct"/>
                  <w:vAlign w:val="center"/>
                </w:tcPr>
                <w:p>
                  <w:pPr>
                    <w:pStyle w:val="37"/>
                    <w:rPr>
                      <w:color w:val="000000"/>
                      <w:szCs w:val="18"/>
                      <w:highlight w:val="none"/>
                    </w:rPr>
                  </w:pPr>
                  <w:r>
                    <w:rPr>
                      <w:rFonts w:hint="eastAsia"/>
                      <w:color w:val="000000"/>
                      <w:szCs w:val="18"/>
                      <w:highlight w:val="none"/>
                    </w:rPr>
                    <w:t>4</w:t>
                  </w:r>
                </w:p>
              </w:tc>
              <w:tc>
                <w:tcPr>
                  <w:tcW w:w="1147" w:type="pct"/>
                  <w:vAlign w:val="center"/>
                </w:tcPr>
                <w:p>
                  <w:pPr>
                    <w:pStyle w:val="37"/>
                    <w:rPr>
                      <w:highlight w:val="none"/>
                    </w:rPr>
                  </w:pPr>
                  <w:r>
                    <w:rPr>
                      <w:rFonts w:hint="eastAsia"/>
                      <w:highlight w:val="none"/>
                      <w:lang w:val="en-GB"/>
                    </w:rPr>
                    <w:t>搬运机器人</w:t>
                  </w:r>
                </w:p>
              </w:tc>
              <w:tc>
                <w:tcPr>
                  <w:tcW w:w="630" w:type="dxa"/>
                  <w:vAlign w:val="center"/>
                </w:tcPr>
                <w:p>
                  <w:pPr>
                    <w:pStyle w:val="37"/>
                    <w:rPr>
                      <w:highlight w:val="none"/>
                    </w:rPr>
                  </w:pPr>
                  <w:r>
                    <w:rPr>
                      <w:rFonts w:hint="eastAsia"/>
                      <w:highlight w:val="none"/>
                    </w:rPr>
                    <w:t>5</w:t>
                  </w:r>
                </w:p>
              </w:tc>
              <w:tc>
                <w:tcPr>
                  <w:tcW w:w="377" w:type="pct"/>
                  <w:vAlign w:val="center"/>
                </w:tcPr>
                <w:p>
                  <w:pPr>
                    <w:pStyle w:val="37"/>
                    <w:rPr>
                      <w:color w:val="000000"/>
                      <w:szCs w:val="18"/>
                      <w:highlight w:val="none"/>
                    </w:rPr>
                  </w:pPr>
                  <w:r>
                    <w:rPr>
                      <w:color w:val="000000"/>
                      <w:szCs w:val="18"/>
                      <w:highlight w:val="none"/>
                    </w:rPr>
                    <w:t>台</w:t>
                  </w:r>
                </w:p>
              </w:tc>
              <w:tc>
                <w:tcPr>
                  <w:tcW w:w="1555" w:type="pct"/>
                  <w:vAlign w:val="center"/>
                </w:tcPr>
                <w:p>
                  <w:pPr>
                    <w:pStyle w:val="37"/>
                    <w:rPr>
                      <w:highlight w:val="none"/>
                    </w:rPr>
                  </w:pPr>
                  <w:r>
                    <w:rPr>
                      <w:rFonts w:hint="eastAsia"/>
                      <w:highlight w:val="none"/>
                    </w:rPr>
                    <w:t>/</w:t>
                  </w:r>
                </w:p>
              </w:tc>
              <w:tc>
                <w:tcPr>
                  <w:tcW w:w="1790" w:type="dxa"/>
                </w:tcPr>
                <w:p>
                  <w:pPr>
                    <w:pStyle w:val="37"/>
                    <w:rPr>
                      <w:highlight w:val="none"/>
                    </w:rPr>
                  </w:pPr>
                  <w:r>
                    <w:rPr>
                      <w:rFonts w:hint="eastAsia"/>
                      <w:highlight w:val="none"/>
                    </w:rPr>
                    <w:t>物料转运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3" w:type="pct"/>
                  <w:vAlign w:val="center"/>
                </w:tcPr>
                <w:p>
                  <w:pPr>
                    <w:pStyle w:val="37"/>
                    <w:rPr>
                      <w:color w:val="000000"/>
                      <w:szCs w:val="18"/>
                      <w:highlight w:val="none"/>
                    </w:rPr>
                  </w:pPr>
                  <w:r>
                    <w:rPr>
                      <w:rFonts w:hint="eastAsia"/>
                      <w:color w:val="000000"/>
                      <w:szCs w:val="18"/>
                      <w:highlight w:val="none"/>
                    </w:rPr>
                    <w:t>5</w:t>
                  </w:r>
                </w:p>
              </w:tc>
              <w:tc>
                <w:tcPr>
                  <w:tcW w:w="1147" w:type="pct"/>
                  <w:vAlign w:val="center"/>
                </w:tcPr>
                <w:p>
                  <w:pPr>
                    <w:pStyle w:val="37"/>
                    <w:rPr>
                      <w:highlight w:val="none"/>
                    </w:rPr>
                  </w:pPr>
                  <w:r>
                    <w:rPr>
                      <w:rFonts w:hint="eastAsia"/>
                      <w:highlight w:val="none"/>
                    </w:rPr>
                    <w:t>变位机</w:t>
                  </w:r>
                </w:p>
              </w:tc>
              <w:tc>
                <w:tcPr>
                  <w:tcW w:w="630" w:type="dxa"/>
                  <w:vAlign w:val="center"/>
                </w:tcPr>
                <w:p>
                  <w:pPr>
                    <w:pStyle w:val="37"/>
                    <w:rPr>
                      <w:highlight w:val="none"/>
                    </w:rPr>
                  </w:pPr>
                  <w:r>
                    <w:rPr>
                      <w:rFonts w:hint="eastAsia"/>
                      <w:highlight w:val="none"/>
                    </w:rPr>
                    <w:t>1</w:t>
                  </w:r>
                  <w:r>
                    <w:rPr>
                      <w:highlight w:val="none"/>
                    </w:rPr>
                    <w:t>1</w:t>
                  </w:r>
                </w:p>
              </w:tc>
              <w:tc>
                <w:tcPr>
                  <w:tcW w:w="377" w:type="pct"/>
                  <w:vAlign w:val="center"/>
                </w:tcPr>
                <w:p>
                  <w:pPr>
                    <w:pStyle w:val="37"/>
                    <w:rPr>
                      <w:color w:val="000000"/>
                      <w:szCs w:val="18"/>
                      <w:highlight w:val="none"/>
                      <w:lang w:val="en-GB"/>
                    </w:rPr>
                  </w:pPr>
                  <w:r>
                    <w:rPr>
                      <w:color w:val="000000"/>
                      <w:szCs w:val="18"/>
                      <w:highlight w:val="none"/>
                    </w:rPr>
                    <w:t>台</w:t>
                  </w:r>
                </w:p>
              </w:tc>
              <w:tc>
                <w:tcPr>
                  <w:tcW w:w="1555" w:type="pct"/>
                  <w:vAlign w:val="center"/>
                </w:tcPr>
                <w:p>
                  <w:pPr>
                    <w:pStyle w:val="37"/>
                    <w:rPr>
                      <w:highlight w:val="none"/>
                    </w:rPr>
                  </w:pPr>
                  <w:r>
                    <w:rPr>
                      <w:rFonts w:hint="eastAsia"/>
                      <w:highlight w:val="none"/>
                    </w:rPr>
                    <w:t>/</w:t>
                  </w:r>
                </w:p>
              </w:tc>
              <w:tc>
                <w:tcPr>
                  <w:tcW w:w="1790" w:type="dxa"/>
                </w:tcPr>
                <w:p>
                  <w:pPr>
                    <w:pStyle w:val="37"/>
                    <w:rPr>
                      <w:highlight w:val="none"/>
                    </w:rPr>
                  </w:pPr>
                  <w:r>
                    <w:rPr>
                      <w:rFonts w:hint="eastAsia"/>
                      <w:highlight w:val="none"/>
                    </w:rPr>
                    <w:t>物料转运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3" w:type="pct"/>
                  <w:vAlign w:val="center"/>
                </w:tcPr>
                <w:p>
                  <w:pPr>
                    <w:pStyle w:val="37"/>
                    <w:rPr>
                      <w:color w:val="000000"/>
                      <w:szCs w:val="18"/>
                      <w:highlight w:val="none"/>
                    </w:rPr>
                  </w:pPr>
                  <w:r>
                    <w:rPr>
                      <w:rFonts w:hint="eastAsia"/>
                      <w:color w:val="000000"/>
                      <w:szCs w:val="18"/>
                      <w:highlight w:val="none"/>
                    </w:rPr>
                    <w:t>6</w:t>
                  </w:r>
                </w:p>
              </w:tc>
              <w:tc>
                <w:tcPr>
                  <w:tcW w:w="1147" w:type="pct"/>
                  <w:vAlign w:val="center"/>
                </w:tcPr>
                <w:p>
                  <w:pPr>
                    <w:pStyle w:val="37"/>
                    <w:rPr>
                      <w:highlight w:val="none"/>
                    </w:rPr>
                  </w:pPr>
                  <w:r>
                    <w:rPr>
                      <w:rFonts w:hint="eastAsia"/>
                      <w:highlight w:val="none"/>
                    </w:rPr>
                    <w:t>旋转台</w:t>
                  </w:r>
                </w:p>
              </w:tc>
              <w:tc>
                <w:tcPr>
                  <w:tcW w:w="630" w:type="dxa"/>
                  <w:vAlign w:val="center"/>
                </w:tcPr>
                <w:p>
                  <w:pPr>
                    <w:pStyle w:val="37"/>
                    <w:rPr>
                      <w:highlight w:val="none"/>
                    </w:rPr>
                  </w:pPr>
                  <w:r>
                    <w:rPr>
                      <w:rFonts w:hint="eastAsia"/>
                      <w:highlight w:val="none"/>
                    </w:rPr>
                    <w:t>5</w:t>
                  </w:r>
                </w:p>
              </w:tc>
              <w:tc>
                <w:tcPr>
                  <w:tcW w:w="377" w:type="pct"/>
                  <w:vAlign w:val="center"/>
                </w:tcPr>
                <w:p>
                  <w:pPr>
                    <w:pStyle w:val="37"/>
                    <w:rPr>
                      <w:color w:val="000000"/>
                      <w:szCs w:val="18"/>
                      <w:highlight w:val="none"/>
                      <w:lang w:val="en-GB"/>
                    </w:rPr>
                  </w:pPr>
                  <w:r>
                    <w:rPr>
                      <w:color w:val="000000"/>
                      <w:szCs w:val="18"/>
                      <w:highlight w:val="none"/>
                    </w:rPr>
                    <w:t>台</w:t>
                  </w:r>
                </w:p>
              </w:tc>
              <w:tc>
                <w:tcPr>
                  <w:tcW w:w="1555" w:type="pct"/>
                  <w:vAlign w:val="center"/>
                </w:tcPr>
                <w:p>
                  <w:pPr>
                    <w:pStyle w:val="37"/>
                    <w:rPr>
                      <w:color w:val="000000"/>
                      <w:highlight w:val="none"/>
                    </w:rPr>
                  </w:pPr>
                  <w:r>
                    <w:rPr>
                      <w:rFonts w:hint="eastAsia"/>
                      <w:color w:val="000000"/>
                      <w:highlight w:val="none"/>
                    </w:rPr>
                    <w:t>/</w:t>
                  </w:r>
                </w:p>
              </w:tc>
              <w:tc>
                <w:tcPr>
                  <w:tcW w:w="1790" w:type="dxa"/>
                </w:tcPr>
                <w:p>
                  <w:pPr>
                    <w:pStyle w:val="37"/>
                    <w:rPr>
                      <w:highlight w:val="none"/>
                    </w:rPr>
                  </w:pPr>
                  <w:r>
                    <w:rPr>
                      <w:rFonts w:hint="eastAsia"/>
                      <w:highlight w:val="none"/>
                    </w:rPr>
                    <w:t>冲孔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3" w:type="pct"/>
                  <w:vAlign w:val="center"/>
                </w:tcPr>
                <w:p>
                  <w:pPr>
                    <w:pStyle w:val="37"/>
                    <w:rPr>
                      <w:color w:val="000000"/>
                      <w:szCs w:val="18"/>
                      <w:highlight w:val="none"/>
                    </w:rPr>
                  </w:pPr>
                  <w:r>
                    <w:rPr>
                      <w:rFonts w:hint="eastAsia"/>
                      <w:color w:val="000000"/>
                      <w:szCs w:val="18"/>
                      <w:highlight w:val="none"/>
                    </w:rPr>
                    <w:t>7</w:t>
                  </w:r>
                </w:p>
              </w:tc>
              <w:tc>
                <w:tcPr>
                  <w:tcW w:w="1147" w:type="pct"/>
                  <w:vAlign w:val="center"/>
                </w:tcPr>
                <w:p>
                  <w:pPr>
                    <w:pStyle w:val="37"/>
                    <w:rPr>
                      <w:highlight w:val="none"/>
                    </w:rPr>
                  </w:pPr>
                  <w:r>
                    <w:rPr>
                      <w:rFonts w:hint="eastAsia"/>
                      <w:highlight w:val="none"/>
                    </w:rPr>
                    <w:t>液压冲孔机</w:t>
                  </w:r>
                </w:p>
              </w:tc>
              <w:tc>
                <w:tcPr>
                  <w:tcW w:w="630" w:type="dxa"/>
                  <w:vAlign w:val="center"/>
                </w:tcPr>
                <w:p>
                  <w:pPr>
                    <w:pStyle w:val="37"/>
                    <w:rPr>
                      <w:highlight w:val="none"/>
                    </w:rPr>
                  </w:pPr>
                  <w:r>
                    <w:rPr>
                      <w:rFonts w:hint="eastAsia"/>
                      <w:highlight w:val="none"/>
                    </w:rPr>
                    <w:t>1</w:t>
                  </w:r>
                </w:p>
              </w:tc>
              <w:tc>
                <w:tcPr>
                  <w:tcW w:w="377" w:type="pct"/>
                  <w:vAlign w:val="center"/>
                </w:tcPr>
                <w:p>
                  <w:pPr>
                    <w:pStyle w:val="37"/>
                    <w:rPr>
                      <w:color w:val="000000"/>
                      <w:szCs w:val="18"/>
                      <w:highlight w:val="none"/>
                      <w:lang w:val="en-GB"/>
                    </w:rPr>
                  </w:pPr>
                  <w:r>
                    <w:rPr>
                      <w:color w:val="000000"/>
                      <w:szCs w:val="18"/>
                      <w:highlight w:val="none"/>
                    </w:rPr>
                    <w:t>台</w:t>
                  </w:r>
                </w:p>
              </w:tc>
              <w:tc>
                <w:tcPr>
                  <w:tcW w:w="1555" w:type="pct"/>
                  <w:vAlign w:val="center"/>
                </w:tcPr>
                <w:p>
                  <w:pPr>
                    <w:pStyle w:val="37"/>
                    <w:rPr>
                      <w:color w:val="000000"/>
                      <w:highlight w:val="none"/>
                    </w:rPr>
                  </w:pPr>
                  <w:r>
                    <w:rPr>
                      <w:rFonts w:hint="eastAsia"/>
                      <w:color w:val="000000"/>
                      <w:highlight w:val="none"/>
                    </w:rPr>
                    <w:t>TOX</w:t>
                  </w:r>
                </w:p>
              </w:tc>
              <w:tc>
                <w:tcPr>
                  <w:tcW w:w="1790" w:type="dxa"/>
                </w:tcPr>
                <w:p>
                  <w:pPr>
                    <w:pStyle w:val="37"/>
                    <w:rPr>
                      <w:highlight w:val="none"/>
                    </w:rPr>
                  </w:pPr>
                  <w:r>
                    <w:rPr>
                      <w:rFonts w:hint="eastAsia"/>
                      <w:highlight w:val="none"/>
                    </w:rPr>
                    <w:t>物料转运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13" w:type="pct"/>
                  <w:vAlign w:val="center"/>
                </w:tcPr>
                <w:p>
                  <w:pPr>
                    <w:pStyle w:val="37"/>
                    <w:rPr>
                      <w:color w:val="000000"/>
                      <w:szCs w:val="18"/>
                      <w:highlight w:val="none"/>
                    </w:rPr>
                  </w:pPr>
                  <w:r>
                    <w:rPr>
                      <w:rFonts w:hint="eastAsia"/>
                      <w:color w:val="000000"/>
                      <w:szCs w:val="18"/>
                      <w:highlight w:val="none"/>
                    </w:rPr>
                    <w:t>8</w:t>
                  </w:r>
                </w:p>
              </w:tc>
              <w:tc>
                <w:tcPr>
                  <w:tcW w:w="1147" w:type="pct"/>
                  <w:vAlign w:val="center"/>
                </w:tcPr>
                <w:p>
                  <w:pPr>
                    <w:pStyle w:val="37"/>
                    <w:rPr>
                      <w:highlight w:val="none"/>
                    </w:rPr>
                  </w:pPr>
                  <w:r>
                    <w:rPr>
                      <w:rFonts w:hint="eastAsia"/>
                      <w:highlight w:val="none"/>
                    </w:rPr>
                    <w:t>输送滚道</w:t>
                  </w:r>
                </w:p>
              </w:tc>
              <w:tc>
                <w:tcPr>
                  <w:tcW w:w="630" w:type="dxa"/>
                  <w:vAlign w:val="center"/>
                </w:tcPr>
                <w:p>
                  <w:pPr>
                    <w:pStyle w:val="37"/>
                    <w:rPr>
                      <w:highlight w:val="none"/>
                    </w:rPr>
                  </w:pPr>
                  <w:r>
                    <w:rPr>
                      <w:rFonts w:hint="eastAsia"/>
                      <w:highlight w:val="none"/>
                    </w:rPr>
                    <w:t>4</w:t>
                  </w:r>
                </w:p>
              </w:tc>
              <w:tc>
                <w:tcPr>
                  <w:tcW w:w="377" w:type="pct"/>
                  <w:vAlign w:val="center"/>
                </w:tcPr>
                <w:p>
                  <w:pPr>
                    <w:pStyle w:val="37"/>
                    <w:rPr>
                      <w:color w:val="000000"/>
                      <w:szCs w:val="18"/>
                      <w:highlight w:val="none"/>
                    </w:rPr>
                  </w:pPr>
                  <w:r>
                    <w:rPr>
                      <w:color w:val="000000"/>
                      <w:szCs w:val="18"/>
                      <w:highlight w:val="none"/>
                    </w:rPr>
                    <w:t>台</w:t>
                  </w:r>
                </w:p>
              </w:tc>
              <w:tc>
                <w:tcPr>
                  <w:tcW w:w="1555" w:type="pct"/>
                  <w:vAlign w:val="center"/>
                </w:tcPr>
                <w:p>
                  <w:pPr>
                    <w:pStyle w:val="37"/>
                    <w:rPr>
                      <w:color w:val="000000"/>
                      <w:highlight w:val="none"/>
                    </w:rPr>
                  </w:pPr>
                  <w:r>
                    <w:rPr>
                      <w:rFonts w:hint="eastAsia"/>
                      <w:color w:val="000000"/>
                      <w:highlight w:val="none"/>
                    </w:rPr>
                    <w:t>/</w:t>
                  </w:r>
                </w:p>
              </w:tc>
              <w:tc>
                <w:tcPr>
                  <w:tcW w:w="1790" w:type="dxa"/>
                  <w:vAlign w:val="center"/>
                </w:tcPr>
                <w:p>
                  <w:pPr>
                    <w:pStyle w:val="37"/>
                    <w:rPr>
                      <w:highlight w:val="none"/>
                    </w:rPr>
                  </w:pPr>
                  <w:r>
                    <w:rPr>
                      <w:rFonts w:hint="eastAsia"/>
                      <w:highlight w:val="none"/>
                    </w:rPr>
                    <w:t>机器人焊接</w:t>
                  </w:r>
                </w:p>
              </w:tc>
            </w:tr>
          </w:tbl>
          <w:p>
            <w:pPr>
              <w:ind w:firstLine="482"/>
              <w:rPr>
                <w:b/>
                <w:bCs/>
                <w:color w:val="000000"/>
              </w:rPr>
            </w:pPr>
            <w:r>
              <w:rPr>
                <w:rFonts w:hint="eastAsia"/>
                <w:b/>
                <w:bCs/>
                <w:color w:val="000000"/>
              </w:rPr>
              <w:t>（5）全厂水平衡</w:t>
            </w:r>
          </w:p>
          <w:p>
            <w:pPr>
              <w:pStyle w:val="38"/>
              <w:rPr>
                <w:color w:val="000000"/>
                <w:spacing w:val="0"/>
              </w:rPr>
            </w:pPr>
            <w:r>
              <w:rPr>
                <w:rFonts w:hint="eastAsia"/>
                <w:color w:val="000000"/>
                <w:spacing w:val="0"/>
              </w:rPr>
              <w:t>表2-6  扩建项目建成后全厂水平衡表（m</w:t>
            </w:r>
            <w:r>
              <w:rPr>
                <w:rFonts w:hint="eastAsia"/>
                <w:color w:val="000000"/>
                <w:spacing w:val="0"/>
                <w:vertAlign w:val="superscript"/>
              </w:rPr>
              <w:t>3</w:t>
            </w:r>
            <w:r>
              <w:rPr>
                <w:rFonts w:hint="eastAsia"/>
                <w:color w:val="000000"/>
                <w:spacing w:val="0"/>
              </w:rPr>
              <w:t>/a）</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51"/>
              <w:gridCol w:w="1942"/>
              <w:gridCol w:w="931"/>
              <w:gridCol w:w="720"/>
              <w:gridCol w:w="1156"/>
              <w:gridCol w:w="720"/>
              <w:gridCol w:w="773"/>
              <w:gridCol w:w="613"/>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90" w:hRule="atLeast"/>
              </w:trPr>
              <w:tc>
                <w:tcPr>
                  <w:tcW w:w="283" w:type="pct"/>
                  <w:vMerge w:val="restart"/>
                  <w:tcBorders>
                    <w:tl2br w:val="nil"/>
                    <w:tr2bl w:val="nil"/>
                  </w:tcBorders>
                  <w:vAlign w:val="center"/>
                </w:tcPr>
                <w:p>
                  <w:pPr>
                    <w:pStyle w:val="37"/>
                    <w:rPr>
                      <w:b/>
                      <w:bCs/>
                    </w:rPr>
                  </w:pPr>
                  <w:r>
                    <w:rPr>
                      <w:b/>
                      <w:bCs/>
                    </w:rPr>
                    <w:t>序号</w:t>
                  </w:r>
                </w:p>
              </w:tc>
              <w:tc>
                <w:tcPr>
                  <w:tcW w:w="1216" w:type="pct"/>
                  <w:vMerge w:val="restart"/>
                  <w:tcBorders>
                    <w:tl2br w:val="nil"/>
                    <w:tr2bl w:val="nil"/>
                  </w:tcBorders>
                  <w:vAlign w:val="center"/>
                </w:tcPr>
                <w:p>
                  <w:pPr>
                    <w:pStyle w:val="37"/>
                    <w:rPr>
                      <w:b/>
                      <w:bCs/>
                    </w:rPr>
                  </w:pPr>
                  <w:r>
                    <w:rPr>
                      <w:b/>
                      <w:bCs/>
                    </w:rPr>
                    <w:t>用水单元</w:t>
                  </w:r>
                </w:p>
              </w:tc>
              <w:tc>
                <w:tcPr>
                  <w:tcW w:w="1758" w:type="pct"/>
                  <w:gridSpan w:val="3"/>
                  <w:tcBorders>
                    <w:tl2br w:val="nil"/>
                    <w:tr2bl w:val="nil"/>
                  </w:tcBorders>
                  <w:vAlign w:val="center"/>
                </w:tcPr>
                <w:p>
                  <w:pPr>
                    <w:pStyle w:val="37"/>
                    <w:rPr>
                      <w:b/>
                      <w:bCs/>
                    </w:rPr>
                  </w:pPr>
                  <w:r>
                    <w:rPr>
                      <w:b/>
                      <w:bCs/>
                    </w:rPr>
                    <w:t>给水</w:t>
                  </w:r>
                </w:p>
              </w:tc>
              <w:tc>
                <w:tcPr>
                  <w:tcW w:w="1741" w:type="pct"/>
                  <w:gridSpan w:val="4"/>
                  <w:tcBorders>
                    <w:tl2br w:val="nil"/>
                    <w:tr2bl w:val="nil"/>
                  </w:tcBorders>
                  <w:vAlign w:val="center"/>
                </w:tcPr>
                <w:p>
                  <w:pPr>
                    <w:pStyle w:val="37"/>
                    <w:rPr>
                      <w:b/>
                      <w:bCs/>
                    </w:rPr>
                  </w:pPr>
                  <w:r>
                    <w:rPr>
                      <w:b/>
                      <w:bCs/>
                    </w:rPr>
                    <w:t>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90" w:hRule="atLeast"/>
              </w:trPr>
              <w:tc>
                <w:tcPr>
                  <w:tcW w:w="283" w:type="pct"/>
                  <w:vMerge w:val="continue"/>
                  <w:tcBorders>
                    <w:tl2br w:val="nil"/>
                    <w:tr2bl w:val="nil"/>
                  </w:tcBorders>
                  <w:vAlign w:val="center"/>
                </w:tcPr>
                <w:p>
                  <w:pPr>
                    <w:pStyle w:val="37"/>
                    <w:rPr>
                      <w:b/>
                      <w:bCs/>
                    </w:rPr>
                  </w:pPr>
                </w:p>
              </w:tc>
              <w:tc>
                <w:tcPr>
                  <w:tcW w:w="1216" w:type="pct"/>
                  <w:vMerge w:val="continue"/>
                  <w:tcBorders>
                    <w:tl2br w:val="nil"/>
                    <w:tr2bl w:val="nil"/>
                  </w:tcBorders>
                  <w:vAlign w:val="center"/>
                </w:tcPr>
                <w:p>
                  <w:pPr>
                    <w:pStyle w:val="37"/>
                    <w:rPr>
                      <w:b/>
                      <w:bCs/>
                    </w:rPr>
                  </w:pPr>
                </w:p>
              </w:tc>
              <w:tc>
                <w:tcPr>
                  <w:tcW w:w="583" w:type="pct"/>
                  <w:tcBorders>
                    <w:tl2br w:val="nil"/>
                    <w:tr2bl w:val="nil"/>
                  </w:tcBorders>
                  <w:vAlign w:val="center"/>
                </w:tcPr>
                <w:p>
                  <w:pPr>
                    <w:pStyle w:val="37"/>
                    <w:rPr>
                      <w:b/>
                      <w:bCs/>
                    </w:rPr>
                  </w:pPr>
                  <w:r>
                    <w:rPr>
                      <w:b/>
                      <w:bCs/>
                    </w:rPr>
                    <w:t>总用水</w:t>
                  </w:r>
                </w:p>
              </w:tc>
              <w:tc>
                <w:tcPr>
                  <w:tcW w:w="451" w:type="pct"/>
                  <w:tcBorders>
                    <w:tl2br w:val="nil"/>
                    <w:tr2bl w:val="nil"/>
                  </w:tcBorders>
                  <w:vAlign w:val="center"/>
                </w:tcPr>
                <w:p>
                  <w:pPr>
                    <w:pStyle w:val="37"/>
                    <w:rPr>
                      <w:b/>
                      <w:bCs/>
                    </w:rPr>
                  </w:pPr>
                  <w:r>
                    <w:rPr>
                      <w:b/>
                      <w:bCs/>
                    </w:rPr>
                    <w:t>新鲜水</w:t>
                  </w:r>
                </w:p>
              </w:tc>
              <w:tc>
                <w:tcPr>
                  <w:tcW w:w="724" w:type="pct"/>
                  <w:tcBorders>
                    <w:tl2br w:val="nil"/>
                    <w:tr2bl w:val="nil"/>
                  </w:tcBorders>
                  <w:vAlign w:val="center"/>
                </w:tcPr>
                <w:p>
                  <w:pPr>
                    <w:pStyle w:val="37"/>
                    <w:rPr>
                      <w:b/>
                      <w:bCs/>
                    </w:rPr>
                  </w:pPr>
                  <w:r>
                    <w:rPr>
                      <w:b/>
                      <w:bCs/>
                    </w:rPr>
                    <w:t>循环/回用水</w:t>
                  </w:r>
                </w:p>
              </w:tc>
              <w:tc>
                <w:tcPr>
                  <w:tcW w:w="451" w:type="pct"/>
                  <w:tcBorders>
                    <w:tl2br w:val="nil"/>
                    <w:tr2bl w:val="nil"/>
                  </w:tcBorders>
                  <w:vAlign w:val="center"/>
                </w:tcPr>
                <w:p>
                  <w:pPr>
                    <w:pStyle w:val="37"/>
                    <w:rPr>
                      <w:b/>
                      <w:bCs/>
                    </w:rPr>
                  </w:pPr>
                  <w:r>
                    <w:rPr>
                      <w:b/>
                      <w:bCs/>
                    </w:rPr>
                    <w:t>损耗</w:t>
                  </w:r>
                </w:p>
              </w:tc>
              <w:tc>
                <w:tcPr>
                  <w:tcW w:w="484" w:type="pct"/>
                  <w:tcBorders>
                    <w:tl2br w:val="nil"/>
                    <w:tr2bl w:val="nil"/>
                  </w:tcBorders>
                  <w:vAlign w:val="center"/>
                </w:tcPr>
                <w:p>
                  <w:pPr>
                    <w:pStyle w:val="37"/>
                    <w:rPr>
                      <w:b/>
                      <w:bCs/>
                    </w:rPr>
                  </w:pPr>
                  <w:r>
                    <w:rPr>
                      <w:b/>
                      <w:bCs/>
                    </w:rPr>
                    <w:t>回用</w:t>
                  </w:r>
                </w:p>
              </w:tc>
              <w:tc>
                <w:tcPr>
                  <w:tcW w:w="384" w:type="pct"/>
                  <w:tcBorders>
                    <w:tl2br w:val="nil"/>
                    <w:tr2bl w:val="nil"/>
                  </w:tcBorders>
                  <w:vAlign w:val="center"/>
                </w:tcPr>
                <w:p>
                  <w:pPr>
                    <w:pStyle w:val="37"/>
                    <w:rPr>
                      <w:b/>
                      <w:bCs/>
                    </w:rPr>
                  </w:pPr>
                  <w:r>
                    <w:rPr>
                      <w:b/>
                      <w:bCs/>
                    </w:rPr>
                    <w:t>污水</w:t>
                  </w:r>
                </w:p>
              </w:tc>
              <w:tc>
                <w:tcPr>
                  <w:tcW w:w="421" w:type="pct"/>
                  <w:tcBorders>
                    <w:tl2br w:val="nil"/>
                    <w:tr2bl w:val="nil"/>
                  </w:tcBorders>
                  <w:vAlign w:val="center"/>
                </w:tcPr>
                <w:p>
                  <w:pPr>
                    <w:pStyle w:val="37"/>
                    <w:rPr>
                      <w:b/>
                      <w:bCs/>
                    </w:rPr>
                  </w:pPr>
                  <w:r>
                    <w:rPr>
                      <w:b/>
                      <w:bCs/>
                    </w:rPr>
                    <w:t>清下水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Pr>
              <w:tc>
                <w:tcPr>
                  <w:tcW w:w="283" w:type="pct"/>
                  <w:tcBorders>
                    <w:tl2br w:val="nil"/>
                    <w:tr2bl w:val="nil"/>
                  </w:tcBorders>
                  <w:vAlign w:val="center"/>
                </w:tcPr>
                <w:p>
                  <w:pPr>
                    <w:pStyle w:val="37"/>
                    <w:rPr>
                      <w:highlight w:val="none"/>
                    </w:rPr>
                  </w:pPr>
                  <w:r>
                    <w:rPr>
                      <w:highlight w:val="none"/>
                    </w:rPr>
                    <w:t>1</w:t>
                  </w:r>
                </w:p>
              </w:tc>
              <w:tc>
                <w:tcPr>
                  <w:tcW w:w="1216" w:type="pct"/>
                  <w:tcBorders>
                    <w:tl2br w:val="nil"/>
                    <w:tr2bl w:val="nil"/>
                  </w:tcBorders>
                  <w:vAlign w:val="center"/>
                </w:tcPr>
                <w:p>
                  <w:pPr>
                    <w:pStyle w:val="37"/>
                    <w:rPr>
                      <w:highlight w:val="none"/>
                    </w:rPr>
                  </w:pPr>
                  <w:r>
                    <w:rPr>
                      <w:highlight w:val="none"/>
                    </w:rPr>
                    <w:t>冲压车间循环水系统</w:t>
                  </w:r>
                </w:p>
              </w:tc>
              <w:tc>
                <w:tcPr>
                  <w:tcW w:w="583" w:type="pct"/>
                  <w:tcBorders>
                    <w:tl2br w:val="nil"/>
                    <w:tr2bl w:val="nil"/>
                  </w:tcBorders>
                  <w:vAlign w:val="center"/>
                </w:tcPr>
                <w:p>
                  <w:pPr>
                    <w:pStyle w:val="37"/>
                    <w:rPr>
                      <w:highlight w:val="none"/>
                    </w:rPr>
                  </w:pPr>
                  <w:r>
                    <w:rPr>
                      <w:highlight w:val="none"/>
                    </w:rPr>
                    <w:t>499800</w:t>
                  </w:r>
                </w:p>
              </w:tc>
              <w:tc>
                <w:tcPr>
                  <w:tcW w:w="451" w:type="pct"/>
                  <w:tcBorders>
                    <w:tl2br w:val="nil"/>
                    <w:tr2bl w:val="nil"/>
                  </w:tcBorders>
                  <w:vAlign w:val="center"/>
                </w:tcPr>
                <w:p>
                  <w:pPr>
                    <w:pStyle w:val="37"/>
                    <w:rPr>
                      <w:highlight w:val="none"/>
                    </w:rPr>
                  </w:pPr>
                  <w:r>
                    <w:rPr>
                      <w:highlight w:val="none"/>
                    </w:rPr>
                    <w:t>9800</w:t>
                  </w:r>
                </w:p>
              </w:tc>
              <w:tc>
                <w:tcPr>
                  <w:tcW w:w="724" w:type="pct"/>
                  <w:tcBorders>
                    <w:tl2br w:val="nil"/>
                    <w:tr2bl w:val="nil"/>
                  </w:tcBorders>
                  <w:vAlign w:val="center"/>
                </w:tcPr>
                <w:p>
                  <w:pPr>
                    <w:pStyle w:val="37"/>
                    <w:rPr>
                      <w:highlight w:val="none"/>
                    </w:rPr>
                  </w:pPr>
                  <w:r>
                    <w:rPr>
                      <w:highlight w:val="none"/>
                    </w:rPr>
                    <w:t>490000</w:t>
                  </w:r>
                </w:p>
              </w:tc>
              <w:tc>
                <w:tcPr>
                  <w:tcW w:w="451" w:type="pct"/>
                  <w:tcBorders>
                    <w:tl2br w:val="nil"/>
                    <w:tr2bl w:val="nil"/>
                  </w:tcBorders>
                  <w:vAlign w:val="center"/>
                </w:tcPr>
                <w:p>
                  <w:pPr>
                    <w:pStyle w:val="37"/>
                    <w:rPr>
                      <w:highlight w:val="none"/>
                    </w:rPr>
                  </w:pPr>
                  <w:r>
                    <w:rPr>
                      <w:highlight w:val="none"/>
                    </w:rPr>
                    <w:t>4900</w:t>
                  </w:r>
                </w:p>
              </w:tc>
              <w:tc>
                <w:tcPr>
                  <w:tcW w:w="484" w:type="pct"/>
                  <w:tcBorders>
                    <w:tl2br w:val="nil"/>
                    <w:tr2bl w:val="nil"/>
                  </w:tcBorders>
                  <w:vAlign w:val="center"/>
                </w:tcPr>
                <w:p>
                  <w:pPr>
                    <w:pStyle w:val="37"/>
                    <w:rPr>
                      <w:highlight w:val="none"/>
                    </w:rPr>
                  </w:pPr>
                  <w:r>
                    <w:rPr>
                      <w:highlight w:val="none"/>
                    </w:rPr>
                    <w:t>490000</w:t>
                  </w:r>
                </w:p>
              </w:tc>
              <w:tc>
                <w:tcPr>
                  <w:tcW w:w="384" w:type="pct"/>
                  <w:tcBorders>
                    <w:tl2br w:val="nil"/>
                    <w:tr2bl w:val="nil"/>
                  </w:tcBorders>
                  <w:vAlign w:val="center"/>
                </w:tcPr>
                <w:p>
                  <w:pPr>
                    <w:pStyle w:val="37"/>
                    <w:rPr>
                      <w:highlight w:val="none"/>
                    </w:rPr>
                  </w:pPr>
                  <w:r>
                    <w:rPr>
                      <w:highlight w:val="none"/>
                    </w:rPr>
                    <w:t>0</w:t>
                  </w:r>
                </w:p>
              </w:tc>
              <w:tc>
                <w:tcPr>
                  <w:tcW w:w="421" w:type="pct"/>
                  <w:tcBorders>
                    <w:tl2br w:val="nil"/>
                    <w:tr2bl w:val="nil"/>
                  </w:tcBorders>
                  <w:vAlign w:val="center"/>
                </w:tcPr>
                <w:p>
                  <w:pPr>
                    <w:pStyle w:val="37"/>
                    <w:rPr>
                      <w:highlight w:val="none"/>
                    </w:rPr>
                  </w:pPr>
                  <w:r>
                    <w:rPr>
                      <w:highlight w:val="none"/>
                    </w:rPr>
                    <w:t>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Pr>
              <w:tc>
                <w:tcPr>
                  <w:tcW w:w="283" w:type="pct"/>
                  <w:tcBorders>
                    <w:tl2br w:val="nil"/>
                    <w:tr2bl w:val="nil"/>
                  </w:tcBorders>
                  <w:vAlign w:val="center"/>
                </w:tcPr>
                <w:p>
                  <w:pPr>
                    <w:pStyle w:val="37"/>
                    <w:rPr>
                      <w:highlight w:val="none"/>
                    </w:rPr>
                  </w:pPr>
                  <w:r>
                    <w:rPr>
                      <w:highlight w:val="none"/>
                    </w:rPr>
                    <w:t>2</w:t>
                  </w:r>
                </w:p>
              </w:tc>
              <w:tc>
                <w:tcPr>
                  <w:tcW w:w="1216" w:type="pct"/>
                  <w:tcBorders>
                    <w:tl2br w:val="nil"/>
                    <w:tr2bl w:val="nil"/>
                  </w:tcBorders>
                  <w:vAlign w:val="center"/>
                </w:tcPr>
                <w:p>
                  <w:pPr>
                    <w:pStyle w:val="37"/>
                    <w:rPr>
                      <w:highlight w:val="none"/>
                    </w:rPr>
                  </w:pPr>
                  <w:r>
                    <w:rPr>
                      <w:highlight w:val="none"/>
                    </w:rPr>
                    <w:t>焊装车间循环水系统</w:t>
                  </w:r>
                </w:p>
              </w:tc>
              <w:tc>
                <w:tcPr>
                  <w:tcW w:w="583" w:type="pct"/>
                  <w:tcBorders>
                    <w:tl2br w:val="nil"/>
                    <w:tr2bl w:val="nil"/>
                  </w:tcBorders>
                  <w:vAlign w:val="center"/>
                </w:tcPr>
                <w:p>
                  <w:pPr>
                    <w:pStyle w:val="37"/>
                    <w:rPr>
                      <w:highlight w:val="none"/>
                    </w:rPr>
                  </w:pPr>
                  <w:r>
                    <w:rPr>
                      <w:highlight w:val="none"/>
                    </w:rPr>
                    <w:t>499800</w:t>
                  </w:r>
                </w:p>
              </w:tc>
              <w:tc>
                <w:tcPr>
                  <w:tcW w:w="451" w:type="pct"/>
                  <w:tcBorders>
                    <w:tl2br w:val="nil"/>
                    <w:tr2bl w:val="nil"/>
                  </w:tcBorders>
                  <w:vAlign w:val="center"/>
                </w:tcPr>
                <w:p>
                  <w:pPr>
                    <w:pStyle w:val="37"/>
                    <w:rPr>
                      <w:highlight w:val="none"/>
                    </w:rPr>
                  </w:pPr>
                  <w:r>
                    <w:rPr>
                      <w:highlight w:val="none"/>
                    </w:rPr>
                    <w:t>9800</w:t>
                  </w:r>
                </w:p>
              </w:tc>
              <w:tc>
                <w:tcPr>
                  <w:tcW w:w="724" w:type="pct"/>
                  <w:tcBorders>
                    <w:tl2br w:val="nil"/>
                    <w:tr2bl w:val="nil"/>
                  </w:tcBorders>
                  <w:vAlign w:val="center"/>
                </w:tcPr>
                <w:p>
                  <w:pPr>
                    <w:pStyle w:val="37"/>
                    <w:rPr>
                      <w:highlight w:val="none"/>
                    </w:rPr>
                  </w:pPr>
                  <w:r>
                    <w:rPr>
                      <w:highlight w:val="none"/>
                    </w:rPr>
                    <w:t>490000</w:t>
                  </w:r>
                </w:p>
              </w:tc>
              <w:tc>
                <w:tcPr>
                  <w:tcW w:w="451" w:type="pct"/>
                  <w:tcBorders>
                    <w:tl2br w:val="nil"/>
                    <w:tr2bl w:val="nil"/>
                  </w:tcBorders>
                  <w:vAlign w:val="center"/>
                </w:tcPr>
                <w:p>
                  <w:pPr>
                    <w:pStyle w:val="37"/>
                    <w:rPr>
                      <w:highlight w:val="none"/>
                    </w:rPr>
                  </w:pPr>
                  <w:r>
                    <w:rPr>
                      <w:highlight w:val="none"/>
                    </w:rPr>
                    <w:t>4900</w:t>
                  </w:r>
                </w:p>
              </w:tc>
              <w:tc>
                <w:tcPr>
                  <w:tcW w:w="484" w:type="pct"/>
                  <w:tcBorders>
                    <w:tl2br w:val="nil"/>
                    <w:tr2bl w:val="nil"/>
                  </w:tcBorders>
                  <w:vAlign w:val="center"/>
                </w:tcPr>
                <w:p>
                  <w:pPr>
                    <w:pStyle w:val="37"/>
                    <w:rPr>
                      <w:highlight w:val="none"/>
                    </w:rPr>
                  </w:pPr>
                  <w:r>
                    <w:rPr>
                      <w:highlight w:val="none"/>
                    </w:rPr>
                    <w:t>490000</w:t>
                  </w:r>
                </w:p>
              </w:tc>
              <w:tc>
                <w:tcPr>
                  <w:tcW w:w="384" w:type="pct"/>
                  <w:tcBorders>
                    <w:tl2br w:val="nil"/>
                    <w:tr2bl w:val="nil"/>
                  </w:tcBorders>
                  <w:vAlign w:val="center"/>
                </w:tcPr>
                <w:p>
                  <w:pPr>
                    <w:pStyle w:val="37"/>
                    <w:rPr>
                      <w:highlight w:val="none"/>
                    </w:rPr>
                  </w:pPr>
                  <w:r>
                    <w:rPr>
                      <w:highlight w:val="none"/>
                    </w:rPr>
                    <w:t>0</w:t>
                  </w:r>
                </w:p>
              </w:tc>
              <w:tc>
                <w:tcPr>
                  <w:tcW w:w="421" w:type="pct"/>
                  <w:tcBorders>
                    <w:tl2br w:val="nil"/>
                    <w:tr2bl w:val="nil"/>
                  </w:tcBorders>
                  <w:vAlign w:val="center"/>
                </w:tcPr>
                <w:p>
                  <w:pPr>
                    <w:pStyle w:val="37"/>
                    <w:rPr>
                      <w:highlight w:val="none"/>
                    </w:rPr>
                  </w:pPr>
                  <w:r>
                    <w:rPr>
                      <w:highlight w:val="none"/>
                    </w:rPr>
                    <w:t>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Pr>
              <w:tc>
                <w:tcPr>
                  <w:tcW w:w="283" w:type="pct"/>
                  <w:tcBorders>
                    <w:tl2br w:val="nil"/>
                    <w:tr2bl w:val="nil"/>
                  </w:tcBorders>
                  <w:vAlign w:val="center"/>
                </w:tcPr>
                <w:p>
                  <w:pPr>
                    <w:pStyle w:val="37"/>
                    <w:rPr>
                      <w:highlight w:val="none"/>
                    </w:rPr>
                  </w:pPr>
                  <w:r>
                    <w:rPr>
                      <w:highlight w:val="none"/>
                    </w:rPr>
                    <w:t>3</w:t>
                  </w:r>
                </w:p>
              </w:tc>
              <w:tc>
                <w:tcPr>
                  <w:tcW w:w="1216" w:type="pct"/>
                  <w:tcBorders>
                    <w:tl2br w:val="nil"/>
                    <w:tr2bl w:val="nil"/>
                  </w:tcBorders>
                  <w:vAlign w:val="center"/>
                </w:tcPr>
                <w:p>
                  <w:pPr>
                    <w:pStyle w:val="37"/>
                    <w:rPr>
                      <w:highlight w:val="none"/>
                    </w:rPr>
                  </w:pPr>
                  <w:r>
                    <w:rPr>
                      <w:highlight w:val="none"/>
                    </w:rPr>
                    <w:t>空调冷凝系统</w:t>
                  </w:r>
                </w:p>
              </w:tc>
              <w:tc>
                <w:tcPr>
                  <w:tcW w:w="583" w:type="pct"/>
                  <w:tcBorders>
                    <w:tl2br w:val="nil"/>
                    <w:tr2bl w:val="nil"/>
                  </w:tcBorders>
                  <w:vAlign w:val="center"/>
                </w:tcPr>
                <w:p>
                  <w:pPr>
                    <w:pStyle w:val="37"/>
                    <w:rPr>
                      <w:highlight w:val="none"/>
                    </w:rPr>
                  </w:pPr>
                  <w:r>
                    <w:rPr>
                      <w:highlight w:val="none"/>
                    </w:rPr>
                    <w:t>2998800</w:t>
                  </w:r>
                </w:p>
              </w:tc>
              <w:tc>
                <w:tcPr>
                  <w:tcW w:w="451" w:type="pct"/>
                  <w:tcBorders>
                    <w:tl2br w:val="nil"/>
                    <w:tr2bl w:val="nil"/>
                  </w:tcBorders>
                  <w:vAlign w:val="center"/>
                </w:tcPr>
                <w:p>
                  <w:pPr>
                    <w:pStyle w:val="37"/>
                    <w:rPr>
                      <w:highlight w:val="none"/>
                    </w:rPr>
                  </w:pPr>
                  <w:r>
                    <w:rPr>
                      <w:highlight w:val="none"/>
                    </w:rPr>
                    <w:t>58800</w:t>
                  </w:r>
                </w:p>
              </w:tc>
              <w:tc>
                <w:tcPr>
                  <w:tcW w:w="724" w:type="pct"/>
                  <w:tcBorders>
                    <w:tl2br w:val="nil"/>
                    <w:tr2bl w:val="nil"/>
                  </w:tcBorders>
                  <w:vAlign w:val="center"/>
                </w:tcPr>
                <w:p>
                  <w:pPr>
                    <w:pStyle w:val="37"/>
                    <w:rPr>
                      <w:highlight w:val="none"/>
                    </w:rPr>
                  </w:pPr>
                  <w:r>
                    <w:rPr>
                      <w:highlight w:val="none"/>
                    </w:rPr>
                    <w:t>2940000</w:t>
                  </w:r>
                </w:p>
              </w:tc>
              <w:tc>
                <w:tcPr>
                  <w:tcW w:w="451" w:type="pct"/>
                  <w:tcBorders>
                    <w:tl2br w:val="nil"/>
                    <w:tr2bl w:val="nil"/>
                  </w:tcBorders>
                  <w:vAlign w:val="center"/>
                </w:tcPr>
                <w:p>
                  <w:pPr>
                    <w:pStyle w:val="37"/>
                    <w:rPr>
                      <w:highlight w:val="none"/>
                    </w:rPr>
                  </w:pPr>
                  <w:r>
                    <w:rPr>
                      <w:highlight w:val="none"/>
                    </w:rPr>
                    <w:t>29400</w:t>
                  </w:r>
                </w:p>
              </w:tc>
              <w:tc>
                <w:tcPr>
                  <w:tcW w:w="484" w:type="pct"/>
                  <w:tcBorders>
                    <w:tl2br w:val="nil"/>
                    <w:tr2bl w:val="nil"/>
                  </w:tcBorders>
                  <w:vAlign w:val="center"/>
                </w:tcPr>
                <w:p>
                  <w:pPr>
                    <w:pStyle w:val="37"/>
                    <w:rPr>
                      <w:highlight w:val="none"/>
                    </w:rPr>
                  </w:pPr>
                  <w:r>
                    <w:rPr>
                      <w:highlight w:val="none"/>
                    </w:rPr>
                    <w:t>2940000</w:t>
                  </w:r>
                </w:p>
              </w:tc>
              <w:tc>
                <w:tcPr>
                  <w:tcW w:w="384" w:type="pct"/>
                  <w:tcBorders>
                    <w:tl2br w:val="nil"/>
                    <w:tr2bl w:val="nil"/>
                  </w:tcBorders>
                  <w:vAlign w:val="center"/>
                </w:tcPr>
                <w:p>
                  <w:pPr>
                    <w:pStyle w:val="37"/>
                    <w:rPr>
                      <w:highlight w:val="none"/>
                    </w:rPr>
                  </w:pPr>
                  <w:r>
                    <w:rPr>
                      <w:highlight w:val="none"/>
                    </w:rPr>
                    <w:t>0</w:t>
                  </w:r>
                </w:p>
              </w:tc>
              <w:tc>
                <w:tcPr>
                  <w:tcW w:w="421" w:type="pct"/>
                  <w:tcBorders>
                    <w:tl2br w:val="nil"/>
                    <w:tr2bl w:val="nil"/>
                  </w:tcBorders>
                  <w:vAlign w:val="center"/>
                </w:tcPr>
                <w:p>
                  <w:pPr>
                    <w:pStyle w:val="37"/>
                    <w:rPr>
                      <w:highlight w:val="none"/>
                    </w:rPr>
                  </w:pPr>
                  <w:r>
                    <w:rPr>
                      <w:highlight w:val="none"/>
                    </w:rPr>
                    <w:t>29400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Pr>
              <w:tc>
                <w:tcPr>
                  <w:tcW w:w="283" w:type="pct"/>
                  <w:tcBorders>
                    <w:tl2br w:val="nil"/>
                    <w:tr2bl w:val="nil"/>
                  </w:tcBorders>
                  <w:vAlign w:val="center"/>
                </w:tcPr>
                <w:p>
                  <w:pPr>
                    <w:pStyle w:val="37"/>
                    <w:rPr>
                      <w:highlight w:val="none"/>
                    </w:rPr>
                  </w:pPr>
                  <w:r>
                    <w:rPr>
                      <w:highlight w:val="none"/>
                    </w:rPr>
                    <w:t>4</w:t>
                  </w:r>
                </w:p>
              </w:tc>
              <w:tc>
                <w:tcPr>
                  <w:tcW w:w="1216" w:type="pct"/>
                  <w:tcBorders>
                    <w:tl2br w:val="nil"/>
                    <w:tr2bl w:val="nil"/>
                  </w:tcBorders>
                  <w:vAlign w:val="center"/>
                </w:tcPr>
                <w:p>
                  <w:pPr>
                    <w:pStyle w:val="37"/>
                    <w:rPr>
                      <w:highlight w:val="none"/>
                    </w:rPr>
                  </w:pPr>
                  <w:r>
                    <w:rPr>
                      <w:highlight w:val="none"/>
                    </w:rPr>
                    <w:t>清洗工序</w:t>
                  </w:r>
                </w:p>
              </w:tc>
              <w:tc>
                <w:tcPr>
                  <w:tcW w:w="583" w:type="pct"/>
                  <w:tcBorders>
                    <w:tl2br w:val="nil"/>
                    <w:tr2bl w:val="nil"/>
                  </w:tcBorders>
                  <w:vAlign w:val="center"/>
                </w:tcPr>
                <w:p>
                  <w:pPr>
                    <w:pStyle w:val="37"/>
                    <w:rPr>
                      <w:highlight w:val="none"/>
                    </w:rPr>
                  </w:pPr>
                  <w:r>
                    <w:rPr>
                      <w:highlight w:val="none"/>
                    </w:rPr>
                    <w:t>1837.50</w:t>
                  </w:r>
                </w:p>
              </w:tc>
              <w:tc>
                <w:tcPr>
                  <w:tcW w:w="451" w:type="pct"/>
                  <w:tcBorders>
                    <w:tl2br w:val="nil"/>
                    <w:tr2bl w:val="nil"/>
                  </w:tcBorders>
                  <w:vAlign w:val="center"/>
                </w:tcPr>
                <w:p>
                  <w:pPr>
                    <w:pStyle w:val="37"/>
                    <w:rPr>
                      <w:highlight w:val="none"/>
                    </w:rPr>
                  </w:pPr>
                  <w:r>
                    <w:rPr>
                      <w:highlight w:val="none"/>
                    </w:rPr>
                    <w:t>1837.50</w:t>
                  </w:r>
                </w:p>
              </w:tc>
              <w:tc>
                <w:tcPr>
                  <w:tcW w:w="724" w:type="pct"/>
                  <w:tcBorders>
                    <w:tl2br w:val="nil"/>
                    <w:tr2bl w:val="nil"/>
                  </w:tcBorders>
                  <w:vAlign w:val="center"/>
                </w:tcPr>
                <w:p>
                  <w:pPr>
                    <w:pStyle w:val="37"/>
                    <w:rPr>
                      <w:highlight w:val="none"/>
                    </w:rPr>
                  </w:pPr>
                  <w:r>
                    <w:rPr>
                      <w:highlight w:val="none"/>
                    </w:rPr>
                    <w:t>0</w:t>
                  </w:r>
                </w:p>
              </w:tc>
              <w:tc>
                <w:tcPr>
                  <w:tcW w:w="451" w:type="pct"/>
                  <w:tcBorders>
                    <w:tl2br w:val="nil"/>
                    <w:tr2bl w:val="nil"/>
                  </w:tcBorders>
                  <w:vAlign w:val="center"/>
                </w:tcPr>
                <w:p>
                  <w:pPr>
                    <w:pStyle w:val="37"/>
                    <w:rPr>
                      <w:highlight w:val="none"/>
                    </w:rPr>
                  </w:pPr>
                  <w:r>
                    <w:rPr>
                      <w:highlight w:val="none"/>
                    </w:rPr>
                    <w:t>367.50</w:t>
                  </w:r>
                </w:p>
              </w:tc>
              <w:tc>
                <w:tcPr>
                  <w:tcW w:w="484" w:type="pct"/>
                  <w:tcBorders>
                    <w:tl2br w:val="nil"/>
                    <w:tr2bl w:val="nil"/>
                  </w:tcBorders>
                  <w:vAlign w:val="center"/>
                </w:tcPr>
                <w:p>
                  <w:pPr>
                    <w:pStyle w:val="37"/>
                    <w:rPr>
                      <w:highlight w:val="none"/>
                    </w:rPr>
                  </w:pPr>
                  <w:r>
                    <w:rPr>
                      <w:highlight w:val="none"/>
                    </w:rPr>
                    <w:t>0</w:t>
                  </w:r>
                </w:p>
              </w:tc>
              <w:tc>
                <w:tcPr>
                  <w:tcW w:w="384" w:type="pct"/>
                  <w:tcBorders>
                    <w:tl2br w:val="nil"/>
                    <w:tr2bl w:val="nil"/>
                  </w:tcBorders>
                  <w:vAlign w:val="center"/>
                </w:tcPr>
                <w:p>
                  <w:pPr>
                    <w:pStyle w:val="37"/>
                    <w:rPr>
                      <w:highlight w:val="none"/>
                    </w:rPr>
                  </w:pPr>
                  <w:r>
                    <w:rPr>
                      <w:highlight w:val="none"/>
                    </w:rPr>
                    <w:t>1470</w:t>
                  </w:r>
                </w:p>
              </w:tc>
              <w:tc>
                <w:tcPr>
                  <w:tcW w:w="421" w:type="pct"/>
                  <w:tcBorders>
                    <w:tl2br w:val="nil"/>
                    <w:tr2bl w:val="nil"/>
                  </w:tcBorders>
                  <w:vAlign w:val="center"/>
                </w:tcPr>
                <w:p>
                  <w:pPr>
                    <w:pStyle w:val="37"/>
                    <w:rPr>
                      <w:highlight w:val="none"/>
                    </w:rPr>
                  </w:pPr>
                  <w:r>
                    <w:rPr>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Pr>
              <w:tc>
                <w:tcPr>
                  <w:tcW w:w="283" w:type="pct"/>
                  <w:tcBorders>
                    <w:tl2br w:val="nil"/>
                    <w:tr2bl w:val="nil"/>
                  </w:tcBorders>
                  <w:vAlign w:val="center"/>
                </w:tcPr>
                <w:p>
                  <w:pPr>
                    <w:pStyle w:val="37"/>
                    <w:rPr>
                      <w:highlight w:val="none"/>
                    </w:rPr>
                  </w:pPr>
                  <w:r>
                    <w:rPr>
                      <w:highlight w:val="none"/>
                    </w:rPr>
                    <w:t>5</w:t>
                  </w:r>
                </w:p>
              </w:tc>
              <w:tc>
                <w:tcPr>
                  <w:tcW w:w="1216" w:type="pct"/>
                  <w:tcBorders>
                    <w:tl2br w:val="nil"/>
                    <w:tr2bl w:val="nil"/>
                  </w:tcBorders>
                  <w:vAlign w:val="center"/>
                </w:tcPr>
                <w:p>
                  <w:pPr>
                    <w:pStyle w:val="37"/>
                    <w:rPr>
                      <w:highlight w:val="none"/>
                    </w:rPr>
                  </w:pPr>
                  <w:r>
                    <w:rPr>
                      <w:highlight w:val="none"/>
                    </w:rPr>
                    <w:t>地面拖洗</w:t>
                  </w:r>
                </w:p>
              </w:tc>
              <w:tc>
                <w:tcPr>
                  <w:tcW w:w="583" w:type="pct"/>
                  <w:tcBorders>
                    <w:tl2br w:val="nil"/>
                    <w:tr2bl w:val="nil"/>
                  </w:tcBorders>
                  <w:vAlign w:val="center"/>
                </w:tcPr>
                <w:p>
                  <w:pPr>
                    <w:pStyle w:val="37"/>
                    <w:rPr>
                      <w:highlight w:val="none"/>
                    </w:rPr>
                  </w:pPr>
                  <w:r>
                    <w:rPr>
                      <w:highlight w:val="none"/>
                    </w:rPr>
                    <w:t>4593.75</w:t>
                  </w:r>
                </w:p>
              </w:tc>
              <w:tc>
                <w:tcPr>
                  <w:tcW w:w="451" w:type="pct"/>
                  <w:tcBorders>
                    <w:tl2br w:val="nil"/>
                    <w:tr2bl w:val="nil"/>
                  </w:tcBorders>
                  <w:vAlign w:val="center"/>
                </w:tcPr>
                <w:p>
                  <w:pPr>
                    <w:pStyle w:val="37"/>
                    <w:rPr>
                      <w:highlight w:val="none"/>
                    </w:rPr>
                  </w:pPr>
                  <w:r>
                    <w:rPr>
                      <w:highlight w:val="none"/>
                    </w:rPr>
                    <w:t>4593.75</w:t>
                  </w:r>
                </w:p>
              </w:tc>
              <w:tc>
                <w:tcPr>
                  <w:tcW w:w="724" w:type="pct"/>
                  <w:tcBorders>
                    <w:tl2br w:val="nil"/>
                    <w:tr2bl w:val="nil"/>
                  </w:tcBorders>
                  <w:vAlign w:val="center"/>
                </w:tcPr>
                <w:p>
                  <w:pPr>
                    <w:pStyle w:val="37"/>
                    <w:rPr>
                      <w:highlight w:val="none"/>
                    </w:rPr>
                  </w:pPr>
                  <w:r>
                    <w:rPr>
                      <w:highlight w:val="none"/>
                    </w:rPr>
                    <w:t>0</w:t>
                  </w:r>
                </w:p>
              </w:tc>
              <w:tc>
                <w:tcPr>
                  <w:tcW w:w="451" w:type="pct"/>
                  <w:tcBorders>
                    <w:tl2br w:val="nil"/>
                    <w:tr2bl w:val="nil"/>
                  </w:tcBorders>
                  <w:vAlign w:val="center"/>
                </w:tcPr>
                <w:p>
                  <w:pPr>
                    <w:pStyle w:val="37"/>
                    <w:rPr>
                      <w:highlight w:val="none"/>
                    </w:rPr>
                  </w:pPr>
                  <w:r>
                    <w:rPr>
                      <w:highlight w:val="none"/>
                    </w:rPr>
                    <w:t>918.75</w:t>
                  </w:r>
                </w:p>
              </w:tc>
              <w:tc>
                <w:tcPr>
                  <w:tcW w:w="484" w:type="pct"/>
                  <w:tcBorders>
                    <w:tl2br w:val="nil"/>
                    <w:tr2bl w:val="nil"/>
                  </w:tcBorders>
                  <w:vAlign w:val="center"/>
                </w:tcPr>
                <w:p>
                  <w:pPr>
                    <w:pStyle w:val="37"/>
                    <w:rPr>
                      <w:highlight w:val="none"/>
                    </w:rPr>
                  </w:pPr>
                  <w:r>
                    <w:rPr>
                      <w:highlight w:val="none"/>
                    </w:rPr>
                    <w:t>0</w:t>
                  </w:r>
                </w:p>
              </w:tc>
              <w:tc>
                <w:tcPr>
                  <w:tcW w:w="384" w:type="pct"/>
                  <w:tcBorders>
                    <w:tl2br w:val="nil"/>
                    <w:tr2bl w:val="nil"/>
                  </w:tcBorders>
                  <w:vAlign w:val="center"/>
                </w:tcPr>
                <w:p>
                  <w:pPr>
                    <w:pStyle w:val="37"/>
                    <w:rPr>
                      <w:highlight w:val="none"/>
                    </w:rPr>
                  </w:pPr>
                  <w:r>
                    <w:rPr>
                      <w:highlight w:val="none"/>
                    </w:rPr>
                    <w:t>3675</w:t>
                  </w:r>
                </w:p>
              </w:tc>
              <w:tc>
                <w:tcPr>
                  <w:tcW w:w="421" w:type="pct"/>
                  <w:tcBorders>
                    <w:tl2br w:val="nil"/>
                    <w:tr2bl w:val="nil"/>
                  </w:tcBorders>
                  <w:vAlign w:val="center"/>
                </w:tcPr>
                <w:p>
                  <w:pPr>
                    <w:pStyle w:val="37"/>
                    <w:rPr>
                      <w:highlight w:val="none"/>
                    </w:rPr>
                  </w:pPr>
                  <w:r>
                    <w:rPr>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Pr>
              <w:tc>
                <w:tcPr>
                  <w:tcW w:w="283" w:type="pct"/>
                  <w:tcBorders>
                    <w:tl2br w:val="nil"/>
                    <w:tr2bl w:val="nil"/>
                  </w:tcBorders>
                  <w:vAlign w:val="center"/>
                </w:tcPr>
                <w:p>
                  <w:pPr>
                    <w:pStyle w:val="37"/>
                    <w:rPr>
                      <w:highlight w:val="none"/>
                    </w:rPr>
                  </w:pPr>
                  <w:r>
                    <w:rPr>
                      <w:highlight w:val="none"/>
                    </w:rPr>
                    <w:t>6</w:t>
                  </w:r>
                </w:p>
              </w:tc>
              <w:tc>
                <w:tcPr>
                  <w:tcW w:w="1216" w:type="pct"/>
                  <w:tcBorders>
                    <w:tl2br w:val="nil"/>
                    <w:tr2bl w:val="nil"/>
                  </w:tcBorders>
                  <w:vAlign w:val="center"/>
                </w:tcPr>
                <w:p>
                  <w:pPr>
                    <w:pStyle w:val="37"/>
                    <w:rPr>
                      <w:highlight w:val="none"/>
                    </w:rPr>
                  </w:pPr>
                  <w:r>
                    <w:rPr>
                      <w:highlight w:val="none"/>
                    </w:rPr>
                    <w:t>办公生活</w:t>
                  </w:r>
                </w:p>
              </w:tc>
              <w:tc>
                <w:tcPr>
                  <w:tcW w:w="583" w:type="pct"/>
                  <w:tcBorders>
                    <w:tl2br w:val="nil"/>
                    <w:tr2bl w:val="nil"/>
                  </w:tcBorders>
                  <w:vAlign w:val="center"/>
                </w:tcPr>
                <w:p>
                  <w:pPr>
                    <w:pStyle w:val="37"/>
                    <w:rPr>
                      <w:highlight w:val="none"/>
                    </w:rPr>
                  </w:pPr>
                  <w:r>
                    <w:rPr>
                      <w:highlight w:val="none"/>
                    </w:rPr>
                    <w:t>2462.25</w:t>
                  </w:r>
                </w:p>
              </w:tc>
              <w:tc>
                <w:tcPr>
                  <w:tcW w:w="451" w:type="pct"/>
                  <w:tcBorders>
                    <w:tl2br w:val="nil"/>
                    <w:tr2bl w:val="nil"/>
                  </w:tcBorders>
                  <w:vAlign w:val="center"/>
                </w:tcPr>
                <w:p>
                  <w:pPr>
                    <w:pStyle w:val="37"/>
                    <w:rPr>
                      <w:highlight w:val="none"/>
                    </w:rPr>
                  </w:pPr>
                  <w:r>
                    <w:rPr>
                      <w:highlight w:val="none"/>
                    </w:rPr>
                    <w:t>2462.25</w:t>
                  </w:r>
                </w:p>
              </w:tc>
              <w:tc>
                <w:tcPr>
                  <w:tcW w:w="724" w:type="pct"/>
                  <w:tcBorders>
                    <w:tl2br w:val="nil"/>
                    <w:tr2bl w:val="nil"/>
                  </w:tcBorders>
                  <w:vAlign w:val="center"/>
                </w:tcPr>
                <w:p>
                  <w:pPr>
                    <w:pStyle w:val="37"/>
                    <w:rPr>
                      <w:highlight w:val="none"/>
                    </w:rPr>
                  </w:pPr>
                  <w:r>
                    <w:rPr>
                      <w:highlight w:val="none"/>
                    </w:rPr>
                    <w:t>0</w:t>
                  </w:r>
                </w:p>
              </w:tc>
              <w:tc>
                <w:tcPr>
                  <w:tcW w:w="451" w:type="pct"/>
                  <w:tcBorders>
                    <w:tl2br w:val="nil"/>
                    <w:tr2bl w:val="nil"/>
                  </w:tcBorders>
                  <w:vAlign w:val="center"/>
                </w:tcPr>
                <w:p>
                  <w:pPr>
                    <w:pStyle w:val="37"/>
                    <w:rPr>
                      <w:highlight w:val="none"/>
                    </w:rPr>
                  </w:pPr>
                  <w:r>
                    <w:rPr>
                      <w:highlight w:val="none"/>
                    </w:rPr>
                    <w:t>492.45</w:t>
                  </w:r>
                </w:p>
              </w:tc>
              <w:tc>
                <w:tcPr>
                  <w:tcW w:w="484" w:type="pct"/>
                  <w:tcBorders>
                    <w:tl2br w:val="nil"/>
                    <w:tr2bl w:val="nil"/>
                  </w:tcBorders>
                  <w:vAlign w:val="center"/>
                </w:tcPr>
                <w:p>
                  <w:pPr>
                    <w:pStyle w:val="37"/>
                    <w:rPr>
                      <w:highlight w:val="none"/>
                    </w:rPr>
                  </w:pPr>
                  <w:r>
                    <w:rPr>
                      <w:highlight w:val="none"/>
                    </w:rPr>
                    <w:t>0</w:t>
                  </w:r>
                </w:p>
              </w:tc>
              <w:tc>
                <w:tcPr>
                  <w:tcW w:w="384" w:type="pct"/>
                  <w:tcBorders>
                    <w:tl2br w:val="nil"/>
                    <w:tr2bl w:val="nil"/>
                  </w:tcBorders>
                  <w:vAlign w:val="center"/>
                </w:tcPr>
                <w:p>
                  <w:pPr>
                    <w:pStyle w:val="37"/>
                    <w:rPr>
                      <w:highlight w:val="none"/>
                    </w:rPr>
                  </w:pPr>
                  <w:r>
                    <w:rPr>
                      <w:highlight w:val="none"/>
                    </w:rPr>
                    <w:t>1969.8</w:t>
                  </w:r>
                </w:p>
              </w:tc>
              <w:tc>
                <w:tcPr>
                  <w:tcW w:w="421" w:type="pct"/>
                  <w:tcBorders>
                    <w:tl2br w:val="nil"/>
                    <w:tr2bl w:val="nil"/>
                  </w:tcBorders>
                  <w:vAlign w:val="center"/>
                </w:tcPr>
                <w:p>
                  <w:pPr>
                    <w:pStyle w:val="37"/>
                    <w:rPr>
                      <w:highlight w:val="none"/>
                    </w:rPr>
                  </w:pPr>
                  <w:r>
                    <w:rPr>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Pr>
              <w:tc>
                <w:tcPr>
                  <w:tcW w:w="1500" w:type="pct"/>
                  <w:gridSpan w:val="2"/>
                  <w:tcBorders>
                    <w:tl2br w:val="nil"/>
                    <w:tr2bl w:val="nil"/>
                  </w:tcBorders>
                  <w:vAlign w:val="center"/>
                </w:tcPr>
                <w:p>
                  <w:pPr>
                    <w:pStyle w:val="37"/>
                    <w:rPr>
                      <w:highlight w:val="none"/>
                    </w:rPr>
                  </w:pPr>
                  <w:r>
                    <w:rPr>
                      <w:highlight w:val="none"/>
                    </w:rPr>
                    <w:t>合计</w:t>
                  </w:r>
                </w:p>
              </w:tc>
              <w:tc>
                <w:tcPr>
                  <w:tcW w:w="583" w:type="pct"/>
                  <w:tcBorders>
                    <w:tl2br w:val="nil"/>
                    <w:tr2bl w:val="nil"/>
                  </w:tcBorders>
                  <w:vAlign w:val="center"/>
                </w:tcPr>
                <w:p>
                  <w:pPr>
                    <w:pStyle w:val="37"/>
                    <w:rPr>
                      <w:highlight w:val="none"/>
                    </w:rPr>
                  </w:pPr>
                  <w:r>
                    <w:rPr>
                      <w:highlight w:val="none"/>
                    </w:rPr>
                    <w:t>4007293.5</w:t>
                  </w:r>
                </w:p>
              </w:tc>
              <w:tc>
                <w:tcPr>
                  <w:tcW w:w="451" w:type="pct"/>
                  <w:tcBorders>
                    <w:tl2br w:val="nil"/>
                    <w:tr2bl w:val="nil"/>
                  </w:tcBorders>
                  <w:vAlign w:val="center"/>
                </w:tcPr>
                <w:p>
                  <w:pPr>
                    <w:pStyle w:val="37"/>
                    <w:rPr>
                      <w:highlight w:val="none"/>
                    </w:rPr>
                  </w:pPr>
                  <w:r>
                    <w:rPr>
                      <w:highlight w:val="none"/>
                    </w:rPr>
                    <w:t>87293.5</w:t>
                  </w:r>
                </w:p>
              </w:tc>
              <w:tc>
                <w:tcPr>
                  <w:tcW w:w="724" w:type="pct"/>
                  <w:tcBorders>
                    <w:tl2br w:val="nil"/>
                    <w:tr2bl w:val="nil"/>
                  </w:tcBorders>
                  <w:vAlign w:val="center"/>
                </w:tcPr>
                <w:p>
                  <w:pPr>
                    <w:pStyle w:val="37"/>
                    <w:rPr>
                      <w:highlight w:val="none"/>
                    </w:rPr>
                  </w:pPr>
                  <w:r>
                    <w:rPr>
                      <w:highlight w:val="none"/>
                    </w:rPr>
                    <w:t>3920000</w:t>
                  </w:r>
                </w:p>
              </w:tc>
              <w:tc>
                <w:tcPr>
                  <w:tcW w:w="451" w:type="pct"/>
                  <w:tcBorders>
                    <w:tl2br w:val="nil"/>
                    <w:tr2bl w:val="nil"/>
                  </w:tcBorders>
                  <w:vAlign w:val="center"/>
                </w:tcPr>
                <w:p>
                  <w:pPr>
                    <w:pStyle w:val="37"/>
                    <w:rPr>
                      <w:highlight w:val="none"/>
                    </w:rPr>
                  </w:pPr>
                  <w:r>
                    <w:rPr>
                      <w:highlight w:val="none"/>
                    </w:rPr>
                    <w:t>40978.7</w:t>
                  </w:r>
                </w:p>
              </w:tc>
              <w:tc>
                <w:tcPr>
                  <w:tcW w:w="484" w:type="pct"/>
                  <w:tcBorders>
                    <w:tl2br w:val="nil"/>
                    <w:tr2bl w:val="nil"/>
                  </w:tcBorders>
                  <w:vAlign w:val="center"/>
                </w:tcPr>
                <w:p>
                  <w:pPr>
                    <w:pStyle w:val="37"/>
                    <w:rPr>
                      <w:highlight w:val="none"/>
                    </w:rPr>
                  </w:pPr>
                  <w:r>
                    <w:rPr>
                      <w:highlight w:val="none"/>
                    </w:rPr>
                    <w:t>3920000</w:t>
                  </w:r>
                </w:p>
              </w:tc>
              <w:tc>
                <w:tcPr>
                  <w:tcW w:w="384" w:type="pct"/>
                  <w:tcBorders>
                    <w:tl2br w:val="nil"/>
                    <w:tr2bl w:val="nil"/>
                  </w:tcBorders>
                  <w:vAlign w:val="center"/>
                </w:tcPr>
                <w:p>
                  <w:pPr>
                    <w:pStyle w:val="37"/>
                    <w:rPr>
                      <w:highlight w:val="none"/>
                    </w:rPr>
                  </w:pPr>
                  <w:r>
                    <w:rPr>
                      <w:highlight w:val="none"/>
                    </w:rPr>
                    <w:t>7114.8</w:t>
                  </w:r>
                </w:p>
              </w:tc>
              <w:tc>
                <w:tcPr>
                  <w:tcW w:w="421" w:type="pct"/>
                  <w:tcBorders>
                    <w:tl2br w:val="nil"/>
                    <w:tr2bl w:val="nil"/>
                  </w:tcBorders>
                  <w:vAlign w:val="center"/>
                </w:tcPr>
                <w:p>
                  <w:pPr>
                    <w:pStyle w:val="37"/>
                    <w:rPr>
                      <w:highlight w:val="none"/>
                    </w:rPr>
                  </w:pPr>
                  <w:r>
                    <w:rPr>
                      <w:highlight w:val="none"/>
                    </w:rPr>
                    <w:t>39200</w:t>
                  </w:r>
                </w:p>
              </w:tc>
            </w:tr>
          </w:tbl>
          <w:p>
            <w:pPr>
              <w:spacing w:line="20" w:lineRule="exact"/>
              <w:ind w:firstLine="0" w:firstLineChars="0"/>
              <w:jc w:val="center"/>
              <w:rPr>
                <w:color w:val="000000"/>
              </w:rPr>
            </w:pPr>
          </w:p>
          <w:p>
            <w:pPr>
              <w:spacing w:line="240" w:lineRule="auto"/>
              <w:ind w:firstLine="0" w:firstLineChars="0"/>
              <w:jc w:val="center"/>
              <w:rPr>
                <w:b/>
                <w:bCs/>
                <w:color w:val="000000"/>
              </w:rPr>
            </w:pPr>
            <w:r>
              <w:rPr>
                <w:rFonts w:hint="eastAsia"/>
                <w:b/>
                <w:bCs/>
                <w:color w:val="000000"/>
              </w:rPr>
              <w:object>
                <v:shape id="_x0000_i1025" o:spt="75" type="#_x0000_t75" style="height:344.25pt;width:342.75pt;" o:ole="t" filled="f" o:preferrelative="t" stroked="f" coordsize="21600,21600">
                  <v:path/>
                  <v:fill on="f" focussize="0,0"/>
                  <v:stroke on="f" joinstyle="miter"/>
                  <v:imagedata r:id="rId18" o:title=""/>
                  <o:lock v:ext="edit" aspectratio="f"/>
                  <w10:wrap type="none"/>
                  <w10:anchorlock/>
                </v:shape>
                <o:OLEObject Type="Embed" ProgID="Visio.Drawing.11" ShapeID="_x0000_i1025" DrawAspect="Content" ObjectID="_1468075725" r:id="rId17">
                  <o:LockedField>false</o:LockedField>
                </o:OLEObject>
              </w:object>
            </w:r>
          </w:p>
          <w:p>
            <w:pPr>
              <w:spacing w:line="240" w:lineRule="auto"/>
              <w:ind w:firstLine="0" w:firstLineChars="0"/>
              <w:jc w:val="center"/>
              <w:rPr>
                <w:b/>
                <w:bCs/>
                <w:color w:val="000000"/>
              </w:rPr>
            </w:pPr>
            <w:r>
              <w:rPr>
                <w:rFonts w:hint="eastAsia"/>
                <w:b/>
                <w:bCs/>
                <w:color w:val="000000"/>
              </w:rPr>
              <w:t xml:space="preserve">图2-2  扩建项目建成后全厂水平衡图  </w:t>
            </w:r>
            <w:r>
              <w:rPr>
                <w:b/>
                <w:bCs/>
                <w:color w:val="000000"/>
              </w:rPr>
              <w:t>m</w:t>
            </w:r>
            <w:r>
              <w:rPr>
                <w:b/>
                <w:bCs/>
                <w:color w:val="000000"/>
                <w:vertAlign w:val="superscript"/>
              </w:rPr>
              <w:t>3</w:t>
            </w:r>
            <w:r>
              <w:rPr>
                <w:rFonts w:hint="eastAsia"/>
                <w:b/>
                <w:bCs/>
                <w:color w:val="000000"/>
              </w:rPr>
              <w:t>/a</w:t>
            </w:r>
          </w:p>
          <w:p>
            <w:pPr>
              <w:spacing w:beforeLines="50"/>
              <w:ind w:firstLine="482"/>
              <w:rPr>
                <w:b/>
                <w:bCs/>
                <w:color w:val="000000"/>
              </w:rPr>
            </w:pPr>
            <w:r>
              <w:rPr>
                <w:b/>
                <w:bCs/>
                <w:color w:val="000000"/>
              </w:rPr>
              <w:t>（</w:t>
            </w:r>
            <w:r>
              <w:rPr>
                <w:rFonts w:hint="eastAsia"/>
                <w:b/>
                <w:bCs/>
                <w:color w:val="000000"/>
              </w:rPr>
              <w:t>6</w:t>
            </w:r>
            <w:r>
              <w:rPr>
                <w:b/>
                <w:bCs/>
                <w:color w:val="000000"/>
              </w:rPr>
              <w:t>）</w:t>
            </w:r>
            <w:r>
              <w:rPr>
                <w:rFonts w:hint="eastAsia"/>
                <w:b/>
                <w:bCs/>
                <w:color w:val="000000"/>
              </w:rPr>
              <w:t>扩建项目</w:t>
            </w:r>
            <w:r>
              <w:rPr>
                <w:b/>
                <w:bCs/>
                <w:color w:val="000000"/>
              </w:rPr>
              <w:t>劳动定员及工作制度</w:t>
            </w:r>
          </w:p>
          <w:p>
            <w:pPr>
              <w:ind w:firstLine="480"/>
              <w:rPr>
                <w:color w:val="000000"/>
              </w:rPr>
            </w:pPr>
            <w:r>
              <w:rPr>
                <w:color w:val="000000"/>
              </w:rPr>
              <w:t>劳动定员：</w:t>
            </w:r>
            <w:r>
              <w:rPr>
                <w:rFonts w:hint="eastAsia"/>
                <w:color w:val="000000"/>
              </w:rPr>
              <w:t>扩建项目工作人员为15人，均从现有项目岗位进行调配，全厂不新增员工。</w:t>
            </w:r>
          </w:p>
          <w:p>
            <w:pPr>
              <w:ind w:firstLine="480"/>
              <w:rPr>
                <w:color w:val="000000"/>
              </w:rPr>
            </w:pPr>
            <w:r>
              <w:rPr>
                <w:color w:val="000000"/>
              </w:rPr>
              <w:t>工作制度</w:t>
            </w:r>
            <w:r>
              <w:rPr>
                <w:rFonts w:hint="eastAsia"/>
                <w:color w:val="000000"/>
              </w:rPr>
              <w:t>：年工作265天，2班制，8小时/班，工作时间为4240小时/年。</w:t>
            </w:r>
          </w:p>
          <w:p>
            <w:pPr>
              <w:ind w:firstLine="482"/>
              <w:rPr>
                <w:b/>
                <w:bCs/>
                <w:color w:val="000000"/>
              </w:rPr>
            </w:pPr>
            <w:r>
              <w:rPr>
                <w:rFonts w:hint="eastAsia"/>
                <w:b/>
                <w:bCs/>
                <w:color w:val="000000"/>
              </w:rPr>
              <w:t>（7）扩建项目厂区总平面布置情况</w:t>
            </w:r>
          </w:p>
          <w:p>
            <w:pPr>
              <w:ind w:firstLine="480"/>
              <w:rPr>
                <w:color w:val="000000"/>
              </w:rPr>
            </w:pPr>
            <w:r>
              <w:rPr>
                <w:rFonts w:hint="eastAsia"/>
                <w:color w:val="000000"/>
              </w:rPr>
              <w:t>扩建项目总体布置功能分区明确，方便生产及管理；通道间距能满足运输和管线布置的条件，并能够符合防火、安全、卫生的要求。在满足生产工艺、运输、防火、卫生及安全要求的前提下，根据地形、地质条件尽可能按生产性质、建设顺序及内容进行合理的功能分区，遵守《建筑设计防火规范》的有关规定，结合周围环境等特点，统筹兼顾、合理布局，合理利用土地、厂房，功能分区明确，组织协作良好，提供最适宜的卫生环境，满足安全、卫生、环保等规范要求。创造良好的劳动、生产活动条件，方便生产联系和管理，尽量减少人流、防止交叉干扰、污染，以确保生产、运输和安全。</w:t>
            </w:r>
          </w:p>
          <w:p>
            <w:pPr>
              <w:ind w:firstLine="480"/>
              <w:rPr>
                <w:color w:val="000000"/>
              </w:rPr>
            </w:pPr>
            <w:r>
              <w:rPr>
                <w:rFonts w:hint="eastAsia"/>
                <w:color w:val="000000"/>
              </w:rPr>
              <w:t>综上所述，扩建项目厂区总平面布置总体可行。</w:t>
            </w:r>
          </w:p>
        </w:tc>
      </w:tr>
    </w:tbl>
    <w:p>
      <w:pPr>
        <w:pStyle w:val="24"/>
        <w:adjustRightInd w:val="0"/>
        <w:snapToGrid w:val="0"/>
        <w:spacing w:before="0" w:beforeAutospacing="0" w:after="0" w:afterAutospacing="0"/>
        <w:ind w:firstLine="480"/>
        <w:jc w:val="center"/>
        <w:rPr>
          <w:rFonts w:ascii="Times New Roman" w:hAnsi="Times New Roman"/>
          <w:color w:val="000000"/>
          <w:szCs w:val="24"/>
        </w:rPr>
        <w:sectPr>
          <w:headerReference r:id="rId11" w:type="default"/>
          <w:footerReference r:id="rId12" w:type="default"/>
          <w:pgSz w:w="11906" w:h="16838"/>
          <w:pgMar w:top="1701" w:right="1531" w:bottom="1701" w:left="1531" w:header="851" w:footer="851" w:gutter="0"/>
          <w:cols w:space="720" w:num="1"/>
          <w:docGrid w:linePitch="312" w:charSpace="0"/>
        </w:sectPr>
      </w:pP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24" w:hRule="atLeast"/>
          <w:jc w:val="center"/>
        </w:trPr>
        <w:tc>
          <w:tcPr>
            <w:tcW w:w="873" w:type="dxa"/>
            <w:vAlign w:val="center"/>
          </w:tcPr>
          <w:p>
            <w:pPr>
              <w:ind w:firstLine="0" w:firstLineChars="0"/>
              <w:rPr>
                <w:color w:val="000000"/>
              </w:rPr>
            </w:pPr>
            <w:r>
              <w:rPr>
                <w:b/>
                <w:bCs/>
                <w:color w:val="000000"/>
              </w:rPr>
              <w:t>工艺流程和产排污环节</w:t>
            </w:r>
          </w:p>
        </w:tc>
        <w:tc>
          <w:tcPr>
            <w:tcW w:w="8187" w:type="dxa"/>
          </w:tcPr>
          <w:p>
            <w:pPr>
              <w:ind w:firstLine="480"/>
              <w:rPr>
                <w:color w:val="000000"/>
              </w:rPr>
            </w:pPr>
            <w:r>
              <w:rPr>
                <w:rFonts w:hint="eastAsia"/>
                <w:color w:val="000000"/>
              </w:rPr>
              <w:t>扩建项目建成后可形成年产12.4万套CX835车架焊接的生产规模。</w:t>
            </w:r>
          </w:p>
          <w:p>
            <w:pPr>
              <w:adjustRightInd w:val="0"/>
              <w:snapToGrid w:val="0"/>
              <w:ind w:firstLine="482"/>
              <w:rPr>
                <w:b/>
                <w:bCs/>
                <w:color w:val="000000"/>
              </w:rPr>
            </w:pPr>
            <w:r>
              <w:rPr>
                <w:rFonts w:hint="eastAsia"/>
                <w:b/>
                <w:bCs/>
                <w:color w:val="000000"/>
              </w:rPr>
              <w:t>（1）生产工艺流程及工艺说明</w:t>
            </w:r>
          </w:p>
          <w:p>
            <w:pPr>
              <w:ind w:firstLine="480"/>
              <w:rPr>
                <w:color w:val="000000"/>
              </w:rPr>
            </w:pPr>
            <w:r>
              <w:rPr>
                <w:rFonts w:hint="eastAsia"/>
                <w:color w:val="000000"/>
              </w:rPr>
              <w:t>扩建项目生产工序为：纵梁/横梁焊接、骨架焊接、总成焊接、自动检测，具体生产工艺流程图及产污节点如下：</w:t>
            </w:r>
          </w:p>
          <w:p>
            <w:pPr>
              <w:ind w:firstLine="0" w:firstLineChars="0"/>
              <w:jc w:val="center"/>
              <w:rPr>
                <w:color w:val="000000"/>
              </w:rPr>
            </w:pPr>
            <w:r>
              <w:rPr>
                <w:color w:val="000000"/>
              </w:rPr>
              <w:object>
                <v:shape id="_x0000_i1026" o:spt="75" type="#_x0000_t75" style="height:451.5pt;width:300pt;" o:ole="t" filled="f" o:preferrelative="t" stroked="f" coordsize="21600,21600">
                  <v:path/>
                  <v:fill on="f" focussize="0,0"/>
                  <v:stroke on="f" joinstyle="miter"/>
                  <v:imagedata r:id="rId20" o:title=""/>
                  <o:lock v:ext="edit" aspectratio="f"/>
                  <w10:wrap type="none"/>
                  <w10:anchorlock/>
                </v:shape>
                <o:OLEObject Type="Embed" ProgID="Visio.Drawing.11" ShapeID="_x0000_i1026" DrawAspect="Content" ObjectID="_1468075726" r:id="rId19">
                  <o:LockedField>false</o:LockedField>
                </o:OLEObject>
              </w:object>
            </w:r>
          </w:p>
          <w:p>
            <w:pPr>
              <w:pStyle w:val="38"/>
              <w:rPr>
                <w:color w:val="000000"/>
              </w:rPr>
            </w:pPr>
            <w:r>
              <w:rPr>
                <w:color w:val="000000"/>
              </w:rPr>
              <w:t>图2-</w:t>
            </w:r>
            <w:r>
              <w:rPr>
                <w:rFonts w:hint="eastAsia"/>
                <w:color w:val="000000"/>
              </w:rPr>
              <w:t>2</w:t>
            </w:r>
            <w:r>
              <w:rPr>
                <w:color w:val="000000"/>
              </w:rPr>
              <w:t xml:space="preserve">  </w:t>
            </w:r>
            <w:r>
              <w:rPr>
                <w:rFonts w:hint="eastAsia"/>
                <w:color w:val="000000"/>
              </w:rPr>
              <w:t>扩建项目生产</w:t>
            </w:r>
            <w:r>
              <w:rPr>
                <w:color w:val="000000"/>
              </w:rPr>
              <w:t>工艺流程及产污节点图</w:t>
            </w:r>
          </w:p>
          <w:p>
            <w:pPr>
              <w:spacing w:beforeLines="50"/>
              <w:ind w:firstLine="482"/>
              <w:rPr>
                <w:b/>
                <w:bCs/>
                <w:color w:val="000000"/>
              </w:rPr>
            </w:pPr>
            <w:r>
              <w:rPr>
                <w:b/>
                <w:bCs/>
                <w:color w:val="000000"/>
              </w:rPr>
              <w:t>生产工艺流程说明</w:t>
            </w:r>
            <w:r>
              <w:rPr>
                <w:rFonts w:hint="eastAsia"/>
                <w:b/>
                <w:bCs/>
                <w:color w:val="000000"/>
              </w:rPr>
              <w:t>：</w:t>
            </w:r>
          </w:p>
          <w:p>
            <w:pPr>
              <w:ind w:firstLine="480"/>
            </w:pPr>
            <w:r>
              <w:rPr>
                <w:rFonts w:hint="eastAsia"/>
              </w:rPr>
              <w:t>项目主要涉及前副车架和后副车架的生产，各设置1条生产线。</w:t>
            </w:r>
          </w:p>
          <w:p>
            <w:pPr>
              <w:ind w:firstLine="482"/>
            </w:pPr>
            <w:r>
              <w:rPr>
                <w:rFonts w:hint="eastAsia"/>
                <w:b/>
                <w:bCs/>
              </w:rPr>
              <w:t>1、前副车架工艺流程：</w:t>
            </w:r>
            <w:r>
              <w:rPr>
                <w:rFonts w:hint="eastAsia"/>
              </w:rPr>
              <w:t>左/右</w:t>
            </w:r>
            <w:r>
              <w:t>纵梁</w:t>
            </w:r>
            <w:r>
              <w:rPr>
                <w:rFonts w:hint="eastAsia"/>
              </w:rPr>
              <w:t>上板采用手工焊进行初步</w:t>
            </w:r>
            <w:r>
              <w:t>焊接</w:t>
            </w:r>
            <w:r>
              <w:rPr>
                <w:rFonts w:hint="eastAsia"/>
              </w:rPr>
              <w:t>后再进入下一工位由机器人进行更精细的焊接（OP10）操作，前/中横梁直接采用机器人进行</w:t>
            </w:r>
            <w:r>
              <w:t>焊接</w:t>
            </w:r>
            <w:r>
              <w:rPr>
                <w:rFonts w:hint="eastAsia"/>
              </w:rPr>
              <w:t>（OP20），再将焊接好的纵梁和横梁根据模型进行车骨架的焊接（OP30，采用机器人焊接）后，进入前副车架总成焊接工序（OP40、OP</w:t>
            </w:r>
            <w:r>
              <w:t>5</w:t>
            </w:r>
            <w:r>
              <w:rPr>
                <w:rFonts w:hint="eastAsia"/>
              </w:rPr>
              <w:t>0，机器人焊），对于焊接纰漏的区域先采用机器人补焊（OP</w:t>
            </w:r>
            <w:r>
              <w:t>6</w:t>
            </w:r>
            <w:r>
              <w:rPr>
                <w:rFonts w:hint="eastAsia"/>
              </w:rPr>
              <w:t>0</w:t>
            </w:r>
            <w:r>
              <w:t>）</w:t>
            </w:r>
            <w:r>
              <w:rPr>
                <w:rFonts w:hint="eastAsia"/>
              </w:rPr>
              <w:t>，再对前副车架总成检查进行人工补焊（OP</w:t>
            </w:r>
            <w:r>
              <w:t>7</w:t>
            </w:r>
            <w:r>
              <w:rPr>
                <w:rFonts w:hint="eastAsia"/>
              </w:rPr>
              <w:t>0</w:t>
            </w:r>
            <w:r>
              <w:t>）</w:t>
            </w:r>
            <w:r>
              <w:rPr>
                <w:rFonts w:hint="eastAsia"/>
              </w:rPr>
              <w:t>，焊接完成后前副车架总成自动过检（OP</w:t>
            </w:r>
            <w:r>
              <w:t>8</w:t>
            </w:r>
            <w:r>
              <w:rPr>
                <w:rFonts w:hint="eastAsia"/>
              </w:rPr>
              <w:t>0），焊接完整性、可靠性等检测合格后下线，入库暂存，不合格品可返回现有厂区已建生产线进行维修。</w:t>
            </w:r>
          </w:p>
          <w:p>
            <w:pPr>
              <w:ind w:firstLine="482"/>
            </w:pPr>
            <w:r>
              <w:rPr>
                <w:rFonts w:hint="eastAsia"/>
                <w:b/>
                <w:bCs/>
              </w:rPr>
              <w:t>2、后副车架工艺流程：</w:t>
            </w:r>
            <w:r>
              <w:rPr>
                <w:rFonts w:hint="eastAsia"/>
              </w:rPr>
              <w:t>后横梁采用机器人进行</w:t>
            </w:r>
            <w:r>
              <w:t>焊接</w:t>
            </w:r>
            <w:r>
              <w:rPr>
                <w:rFonts w:hint="eastAsia"/>
              </w:rPr>
              <w:t>（OP10），再将焊接好的横梁根据模型进行车骨架的焊接（OP20，采用机器人焊接）后，进入后副车架总成焊接工序（OP30、OP</w:t>
            </w:r>
            <w:r>
              <w:t>4</w:t>
            </w:r>
            <w:r>
              <w:rPr>
                <w:rFonts w:hint="eastAsia"/>
              </w:rPr>
              <w:t>0，机器人焊），对于焊接纰漏的区域先采用机器人补焊（OP</w:t>
            </w:r>
            <w:r>
              <w:t>5</w:t>
            </w:r>
            <w:r>
              <w:rPr>
                <w:rFonts w:hint="eastAsia"/>
              </w:rPr>
              <w:t>0），再对前副车架总成检查进行人工补焊（OP60），焊接完成后对后副车架总成冲孔，为下游生产预留零部件安装位置（OP</w:t>
            </w:r>
            <w:r>
              <w:t>7</w:t>
            </w:r>
            <w:r>
              <w:rPr>
                <w:rFonts w:hint="eastAsia"/>
              </w:rPr>
              <w:t>0），冲孔完成后的后副</w:t>
            </w:r>
            <w:r>
              <w:t>车架总成自动过检（</w:t>
            </w:r>
            <w:r>
              <w:rPr>
                <w:rFonts w:hint="eastAsia"/>
              </w:rPr>
              <w:t>OP</w:t>
            </w:r>
            <w:r>
              <w:t>8</w:t>
            </w:r>
            <w:r>
              <w:rPr>
                <w:rFonts w:hint="eastAsia"/>
              </w:rPr>
              <w:t>0</w:t>
            </w:r>
            <w:r>
              <w:t>）</w:t>
            </w:r>
            <w:r>
              <w:rPr>
                <w:rFonts w:hint="eastAsia"/>
              </w:rPr>
              <w:t>，焊接完整性、可靠性等检测合格后下线，入库暂存，不合格品可返回现有厂区已建生产线进行维修。</w:t>
            </w:r>
          </w:p>
          <w:p>
            <w:pPr>
              <w:ind w:firstLine="480"/>
              <w:rPr>
                <w:b/>
                <w:bCs/>
                <w:color w:val="000000"/>
              </w:rPr>
            </w:pPr>
            <w:r>
              <w:rPr>
                <w:rFonts w:hint="eastAsia"/>
                <w:color w:val="000000"/>
              </w:rPr>
              <w:t>3、</w:t>
            </w:r>
            <w:r>
              <w:rPr>
                <w:rFonts w:hint="eastAsia"/>
                <w:b/>
                <w:bCs/>
                <w:color w:val="000000"/>
              </w:rPr>
              <w:t>二氧化碳气体保护焊</w:t>
            </w:r>
          </w:p>
          <w:p>
            <w:pPr>
              <w:ind w:firstLine="480"/>
              <w:rPr>
                <w:kern w:val="21"/>
                <w:szCs w:val="22"/>
              </w:rPr>
            </w:pPr>
            <w:r>
              <w:rPr>
                <w:rFonts w:hint="eastAsia"/>
                <w:color w:val="000000"/>
              </w:rPr>
              <w:t>前副车架的焊接均采用二氧化碳气体保护焊，焊材采用无铅锡丝。二氧化碳气体保护焊</w:t>
            </w:r>
            <w:r>
              <w:rPr>
                <w:color w:val="000000"/>
              </w:rPr>
              <w:t>的</w:t>
            </w:r>
            <w:r>
              <w:fldChar w:fldCharType="begin"/>
            </w:r>
            <w:r>
              <w:instrText xml:space="preserve"> HYPERLINK "https://baike.so.com/doc/294687-311959.html" \t "https://baike.so.com/doc/_blank" </w:instrText>
            </w:r>
            <w:r>
              <w:fldChar w:fldCharType="separate"/>
            </w:r>
            <w:r>
              <w:rPr>
                <w:color w:val="000000"/>
              </w:rPr>
              <w:t>保护气体</w:t>
            </w:r>
            <w:r>
              <w:rPr>
                <w:color w:val="000000"/>
              </w:rPr>
              <w:fldChar w:fldCharType="end"/>
            </w:r>
            <w:r>
              <w:rPr>
                <w:kern w:val="21"/>
                <w:szCs w:val="22"/>
              </w:rPr>
              <w:t>是二氧化碳</w:t>
            </w:r>
            <w:r>
              <w:rPr>
                <w:rFonts w:hint="eastAsia"/>
                <w:kern w:val="21"/>
                <w:szCs w:val="22"/>
              </w:rPr>
              <w:t>，</w:t>
            </w:r>
            <w:r>
              <w:rPr>
                <w:kern w:val="21"/>
                <w:szCs w:val="22"/>
              </w:rPr>
              <w:t>由于二氧化碳气体的热物理性能的特殊影响，使用常规焊接电源时，焊丝端头熔化金属不可能形成平衡的轴向自由过渡，通常需要采用短路和熔滴缩颈爆断，从而形成局部的烟尘污染。</w:t>
            </w:r>
          </w:p>
          <w:p>
            <w:pPr>
              <w:ind w:firstLine="480"/>
              <w:rPr>
                <w:color w:val="000000"/>
              </w:rPr>
            </w:pPr>
            <w:r>
              <w:rPr>
                <w:rFonts w:hint="eastAsia"/>
                <w:color w:val="000000"/>
              </w:rPr>
              <w:t>扩建项目生产工序会产生前副车架焊接废气（G1）、后副车架焊接废气（G2）、不合格品（S1）、金属碎屑（S2）。</w:t>
            </w:r>
          </w:p>
          <w:p>
            <w:pPr>
              <w:ind w:firstLine="482"/>
              <w:rPr>
                <w:b/>
                <w:bCs/>
                <w:color w:val="000000"/>
              </w:rPr>
            </w:pPr>
            <w:r>
              <w:rPr>
                <w:rFonts w:hint="eastAsia"/>
                <w:b/>
                <w:bCs/>
                <w:color w:val="000000"/>
              </w:rPr>
              <w:t>（2）扩建项目主要产污环节</w:t>
            </w:r>
          </w:p>
          <w:p>
            <w:pPr>
              <w:pStyle w:val="38"/>
              <w:rPr>
                <w:color w:val="000000"/>
                <w:szCs w:val="24"/>
              </w:rPr>
            </w:pPr>
            <w:r>
              <w:rPr>
                <w:color w:val="000000"/>
                <w:szCs w:val="24"/>
              </w:rPr>
              <w:t>表2-</w:t>
            </w:r>
            <w:r>
              <w:rPr>
                <w:rFonts w:hint="eastAsia"/>
                <w:color w:val="000000"/>
                <w:szCs w:val="24"/>
              </w:rPr>
              <w:t>7  扩建</w:t>
            </w:r>
            <w:r>
              <w:rPr>
                <w:color w:val="000000"/>
                <w:szCs w:val="24"/>
              </w:rPr>
              <w:t>项目主要</w:t>
            </w:r>
            <w:r>
              <w:rPr>
                <w:rFonts w:hint="eastAsia"/>
                <w:color w:val="000000"/>
                <w:szCs w:val="24"/>
              </w:rPr>
              <w:t>产污环节</w:t>
            </w:r>
            <w:r>
              <w:rPr>
                <w:color w:val="000000"/>
                <w:szCs w:val="24"/>
              </w:rPr>
              <w:t>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972"/>
              <w:gridCol w:w="2003"/>
              <w:gridCol w:w="1441"/>
              <w:gridCol w:w="2143"/>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jc w:val="center"/>
              </w:trPr>
              <w:tc>
                <w:tcPr>
                  <w:tcW w:w="390" w:type="pct"/>
                  <w:vAlign w:val="center"/>
                </w:tcPr>
                <w:p>
                  <w:pPr>
                    <w:pStyle w:val="37"/>
                    <w:rPr>
                      <w:b/>
                      <w:bCs/>
                      <w:color w:val="000000"/>
                    </w:rPr>
                  </w:pPr>
                  <w:r>
                    <w:rPr>
                      <w:b/>
                      <w:bCs/>
                      <w:color w:val="000000"/>
                    </w:rPr>
                    <w:t>时段</w:t>
                  </w:r>
                </w:p>
              </w:tc>
              <w:tc>
                <w:tcPr>
                  <w:tcW w:w="601" w:type="pct"/>
                  <w:vAlign w:val="center"/>
                </w:tcPr>
                <w:p>
                  <w:pPr>
                    <w:pStyle w:val="37"/>
                    <w:rPr>
                      <w:b/>
                      <w:bCs/>
                      <w:color w:val="000000"/>
                    </w:rPr>
                  </w:pPr>
                  <w:r>
                    <w:rPr>
                      <w:b/>
                      <w:bCs/>
                      <w:color w:val="000000"/>
                    </w:rPr>
                    <w:t>污染因子</w:t>
                  </w:r>
                </w:p>
              </w:tc>
              <w:tc>
                <w:tcPr>
                  <w:tcW w:w="1238" w:type="pct"/>
                  <w:vAlign w:val="center"/>
                </w:tcPr>
                <w:p>
                  <w:pPr>
                    <w:pStyle w:val="37"/>
                    <w:rPr>
                      <w:b/>
                      <w:bCs/>
                      <w:color w:val="000000"/>
                    </w:rPr>
                  </w:pPr>
                  <w:r>
                    <w:rPr>
                      <w:b/>
                      <w:bCs/>
                      <w:color w:val="000000"/>
                    </w:rPr>
                    <w:t>污染物名称</w:t>
                  </w:r>
                  <w:r>
                    <w:rPr>
                      <w:rFonts w:hint="eastAsia"/>
                      <w:b/>
                      <w:bCs/>
                      <w:color w:val="000000"/>
                    </w:rPr>
                    <w:t>及编号</w:t>
                  </w:r>
                </w:p>
              </w:tc>
              <w:tc>
                <w:tcPr>
                  <w:tcW w:w="891" w:type="pct"/>
                  <w:vAlign w:val="center"/>
                </w:tcPr>
                <w:p>
                  <w:pPr>
                    <w:pStyle w:val="37"/>
                    <w:rPr>
                      <w:b/>
                      <w:bCs/>
                      <w:color w:val="000000"/>
                    </w:rPr>
                  </w:pPr>
                  <w:r>
                    <w:rPr>
                      <w:rFonts w:hint="eastAsia"/>
                      <w:b/>
                      <w:bCs/>
                      <w:color w:val="000000"/>
                    </w:rPr>
                    <w:t>来源</w:t>
                  </w:r>
                </w:p>
              </w:tc>
              <w:tc>
                <w:tcPr>
                  <w:tcW w:w="1325" w:type="pct"/>
                  <w:vAlign w:val="center"/>
                </w:tcPr>
                <w:p>
                  <w:pPr>
                    <w:pStyle w:val="37"/>
                    <w:rPr>
                      <w:b/>
                      <w:bCs/>
                      <w:color w:val="000000"/>
                    </w:rPr>
                  </w:pPr>
                  <w:r>
                    <w:rPr>
                      <w:b/>
                      <w:bCs/>
                      <w:color w:val="000000"/>
                    </w:rPr>
                    <w:t>污染物种类</w:t>
                  </w:r>
                </w:p>
              </w:tc>
              <w:tc>
                <w:tcPr>
                  <w:tcW w:w="553" w:type="pct"/>
                  <w:vAlign w:val="center"/>
                </w:tcPr>
                <w:p>
                  <w:pPr>
                    <w:pStyle w:val="37"/>
                    <w:rPr>
                      <w:b/>
                      <w:bCs/>
                      <w:color w:val="000000"/>
                    </w:rPr>
                  </w:pPr>
                  <w:r>
                    <w:rPr>
                      <w:b/>
                      <w:bCs/>
                      <w:color w:val="000000"/>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0" w:type="pct"/>
                  <w:vMerge w:val="restart"/>
                  <w:vAlign w:val="center"/>
                </w:tcPr>
                <w:p>
                  <w:pPr>
                    <w:pStyle w:val="37"/>
                    <w:rPr>
                      <w:color w:val="000000"/>
                    </w:rPr>
                  </w:pPr>
                  <w:r>
                    <w:rPr>
                      <w:color w:val="000000"/>
                    </w:rPr>
                    <w:t>营</w:t>
                  </w:r>
                </w:p>
                <w:p>
                  <w:pPr>
                    <w:pStyle w:val="37"/>
                    <w:rPr>
                      <w:color w:val="000000"/>
                    </w:rPr>
                  </w:pPr>
                  <w:r>
                    <w:rPr>
                      <w:color w:val="000000"/>
                    </w:rPr>
                    <w:t>运</w:t>
                  </w:r>
                </w:p>
                <w:p>
                  <w:pPr>
                    <w:pStyle w:val="37"/>
                    <w:rPr>
                      <w:color w:val="000000"/>
                    </w:rPr>
                  </w:pPr>
                  <w:r>
                    <w:rPr>
                      <w:color w:val="000000"/>
                    </w:rPr>
                    <w:t>期</w:t>
                  </w:r>
                </w:p>
              </w:tc>
              <w:tc>
                <w:tcPr>
                  <w:tcW w:w="601" w:type="pct"/>
                  <w:vMerge w:val="restart"/>
                  <w:vAlign w:val="center"/>
                </w:tcPr>
                <w:p>
                  <w:pPr>
                    <w:pStyle w:val="37"/>
                    <w:rPr>
                      <w:color w:val="000000"/>
                    </w:rPr>
                  </w:pPr>
                  <w:r>
                    <w:rPr>
                      <w:rFonts w:hint="eastAsia"/>
                      <w:color w:val="000000"/>
                    </w:rPr>
                    <w:t>废气</w:t>
                  </w:r>
                </w:p>
              </w:tc>
              <w:tc>
                <w:tcPr>
                  <w:tcW w:w="1238" w:type="pct"/>
                  <w:vAlign w:val="center"/>
                </w:tcPr>
                <w:p>
                  <w:pPr>
                    <w:pStyle w:val="37"/>
                    <w:rPr>
                      <w:color w:val="000000"/>
                    </w:rPr>
                  </w:pPr>
                  <w:r>
                    <w:rPr>
                      <w:rFonts w:hint="eastAsia"/>
                      <w:color w:val="000000"/>
                    </w:rPr>
                    <w:t>前副车架焊接废气G1</w:t>
                  </w:r>
                </w:p>
              </w:tc>
              <w:tc>
                <w:tcPr>
                  <w:tcW w:w="891" w:type="pct"/>
                  <w:vAlign w:val="center"/>
                </w:tcPr>
                <w:p>
                  <w:pPr>
                    <w:pStyle w:val="37"/>
                    <w:rPr>
                      <w:color w:val="000000"/>
                    </w:rPr>
                  </w:pPr>
                  <w:r>
                    <w:rPr>
                      <w:rFonts w:hint="eastAsia"/>
                      <w:color w:val="000000"/>
                    </w:rPr>
                    <w:t>前副车架焊接</w:t>
                  </w:r>
                </w:p>
              </w:tc>
              <w:tc>
                <w:tcPr>
                  <w:tcW w:w="1325" w:type="pct"/>
                  <w:vAlign w:val="center"/>
                </w:tcPr>
                <w:p>
                  <w:pPr>
                    <w:pStyle w:val="37"/>
                    <w:rPr>
                      <w:color w:val="000000"/>
                    </w:rPr>
                  </w:pPr>
                  <w:r>
                    <w:rPr>
                      <w:rFonts w:hint="eastAsia"/>
                      <w:color w:val="000000"/>
                    </w:rPr>
                    <w:t>颗粒物、锡及其化合物</w:t>
                  </w:r>
                </w:p>
              </w:tc>
              <w:tc>
                <w:tcPr>
                  <w:tcW w:w="553" w:type="pct"/>
                  <w:vMerge w:val="restart"/>
                  <w:vAlign w:val="center"/>
                </w:tcPr>
                <w:p>
                  <w:pPr>
                    <w:pStyle w:val="37"/>
                    <w:rPr>
                      <w:color w:val="000000"/>
                    </w:rPr>
                  </w:pPr>
                  <w:r>
                    <w:rPr>
                      <w:rFonts w:hint="eastAsia"/>
                      <w:color w:val="000000"/>
                    </w:rPr>
                    <w:t>有组织</w:t>
                  </w:r>
                </w:p>
                <w:p>
                  <w:pPr>
                    <w:pStyle w:val="37"/>
                    <w:rPr>
                      <w:color w:val="000000"/>
                    </w:rPr>
                  </w:pPr>
                  <w:r>
                    <w:rPr>
                      <w:rFonts w:hint="eastAsia"/>
                      <w:color w:val="000000"/>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0" w:type="pct"/>
                  <w:vMerge w:val="continue"/>
                  <w:vAlign w:val="center"/>
                </w:tcPr>
                <w:p>
                  <w:pPr>
                    <w:pStyle w:val="37"/>
                    <w:rPr>
                      <w:color w:val="000000"/>
                    </w:rPr>
                  </w:pPr>
                </w:p>
              </w:tc>
              <w:tc>
                <w:tcPr>
                  <w:tcW w:w="601" w:type="pct"/>
                  <w:vMerge w:val="continue"/>
                  <w:vAlign w:val="center"/>
                </w:tcPr>
                <w:p>
                  <w:pPr>
                    <w:pStyle w:val="37"/>
                    <w:rPr>
                      <w:color w:val="000000"/>
                    </w:rPr>
                  </w:pPr>
                </w:p>
              </w:tc>
              <w:tc>
                <w:tcPr>
                  <w:tcW w:w="1238" w:type="pct"/>
                  <w:vAlign w:val="center"/>
                </w:tcPr>
                <w:p>
                  <w:pPr>
                    <w:pStyle w:val="37"/>
                    <w:rPr>
                      <w:color w:val="000000"/>
                    </w:rPr>
                  </w:pPr>
                  <w:r>
                    <w:rPr>
                      <w:rFonts w:hint="eastAsia"/>
                      <w:color w:val="000000"/>
                    </w:rPr>
                    <w:t>后副车架焊接废气G2</w:t>
                  </w:r>
                </w:p>
              </w:tc>
              <w:tc>
                <w:tcPr>
                  <w:tcW w:w="891" w:type="pct"/>
                  <w:vAlign w:val="center"/>
                </w:tcPr>
                <w:p>
                  <w:pPr>
                    <w:pStyle w:val="37"/>
                    <w:rPr>
                      <w:color w:val="000000"/>
                    </w:rPr>
                  </w:pPr>
                  <w:r>
                    <w:rPr>
                      <w:rFonts w:hint="eastAsia"/>
                      <w:color w:val="000000"/>
                    </w:rPr>
                    <w:t>后副车架焊接</w:t>
                  </w:r>
                </w:p>
              </w:tc>
              <w:tc>
                <w:tcPr>
                  <w:tcW w:w="1325" w:type="pct"/>
                  <w:vAlign w:val="center"/>
                </w:tcPr>
                <w:p>
                  <w:pPr>
                    <w:pStyle w:val="37"/>
                    <w:rPr>
                      <w:color w:val="000000"/>
                    </w:rPr>
                  </w:pPr>
                  <w:r>
                    <w:rPr>
                      <w:rFonts w:hint="eastAsia"/>
                      <w:color w:val="000000"/>
                    </w:rPr>
                    <w:t>颗粒物、锡及其化合物</w:t>
                  </w:r>
                </w:p>
              </w:tc>
              <w:tc>
                <w:tcPr>
                  <w:tcW w:w="553"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0" w:type="pct"/>
                  <w:vMerge w:val="continue"/>
                  <w:vAlign w:val="center"/>
                </w:tcPr>
                <w:p>
                  <w:pPr>
                    <w:pStyle w:val="37"/>
                    <w:rPr>
                      <w:color w:val="000000"/>
                    </w:rPr>
                  </w:pPr>
                </w:p>
              </w:tc>
              <w:tc>
                <w:tcPr>
                  <w:tcW w:w="601" w:type="pct"/>
                  <w:vAlign w:val="center"/>
                </w:tcPr>
                <w:p>
                  <w:pPr>
                    <w:pStyle w:val="37"/>
                    <w:rPr>
                      <w:color w:val="000000"/>
                    </w:rPr>
                  </w:pPr>
                  <w:r>
                    <w:rPr>
                      <w:color w:val="000000"/>
                    </w:rPr>
                    <w:t>噪声</w:t>
                  </w:r>
                </w:p>
              </w:tc>
              <w:tc>
                <w:tcPr>
                  <w:tcW w:w="1238" w:type="pct"/>
                  <w:vAlign w:val="center"/>
                </w:tcPr>
                <w:p>
                  <w:pPr>
                    <w:pStyle w:val="37"/>
                    <w:rPr>
                      <w:color w:val="000000"/>
                    </w:rPr>
                  </w:pPr>
                  <w:r>
                    <w:rPr>
                      <w:rFonts w:hint="eastAsia"/>
                      <w:color w:val="000000"/>
                    </w:rPr>
                    <w:t>机械噪声N</w:t>
                  </w:r>
                </w:p>
              </w:tc>
              <w:tc>
                <w:tcPr>
                  <w:tcW w:w="891" w:type="pct"/>
                  <w:vAlign w:val="center"/>
                </w:tcPr>
                <w:p>
                  <w:pPr>
                    <w:pStyle w:val="37"/>
                    <w:rPr>
                      <w:color w:val="000000"/>
                    </w:rPr>
                  </w:pPr>
                  <w:r>
                    <w:rPr>
                      <w:rFonts w:hint="eastAsia"/>
                      <w:color w:val="000000"/>
                    </w:rPr>
                    <w:t>机械运转</w:t>
                  </w:r>
                </w:p>
              </w:tc>
              <w:tc>
                <w:tcPr>
                  <w:tcW w:w="1325" w:type="pct"/>
                  <w:vAlign w:val="center"/>
                </w:tcPr>
                <w:p>
                  <w:pPr>
                    <w:pStyle w:val="37"/>
                    <w:rPr>
                      <w:color w:val="000000"/>
                    </w:rPr>
                  </w:pPr>
                  <w:r>
                    <w:rPr>
                      <w:rFonts w:hint="eastAsia"/>
                      <w:color w:val="000000"/>
                    </w:rPr>
                    <w:t>/</w:t>
                  </w:r>
                </w:p>
              </w:tc>
              <w:tc>
                <w:tcPr>
                  <w:tcW w:w="553" w:type="pct"/>
                  <w:vAlign w:val="center"/>
                </w:tcPr>
                <w:p>
                  <w:pPr>
                    <w:pStyle w:val="37"/>
                    <w:rPr>
                      <w:color w:val="000000"/>
                    </w:rPr>
                  </w:pPr>
                  <w:r>
                    <w:rPr>
                      <w:rFonts w:hint="eastAsia"/>
                      <w:color w:val="000000"/>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390" w:type="pct"/>
                  <w:vMerge w:val="continue"/>
                  <w:vAlign w:val="center"/>
                </w:tcPr>
                <w:p>
                  <w:pPr>
                    <w:pStyle w:val="37"/>
                    <w:rPr>
                      <w:color w:val="000000"/>
                    </w:rPr>
                  </w:pPr>
                </w:p>
              </w:tc>
              <w:tc>
                <w:tcPr>
                  <w:tcW w:w="601" w:type="pct"/>
                  <w:vMerge w:val="restart"/>
                  <w:vAlign w:val="center"/>
                </w:tcPr>
                <w:p>
                  <w:pPr>
                    <w:pStyle w:val="37"/>
                    <w:rPr>
                      <w:color w:val="000000"/>
                    </w:rPr>
                  </w:pPr>
                  <w:r>
                    <w:rPr>
                      <w:color w:val="000000"/>
                    </w:rPr>
                    <w:t>固废</w:t>
                  </w:r>
                </w:p>
              </w:tc>
              <w:tc>
                <w:tcPr>
                  <w:tcW w:w="1238" w:type="pct"/>
                  <w:vAlign w:val="center"/>
                </w:tcPr>
                <w:p>
                  <w:pPr>
                    <w:pStyle w:val="37"/>
                    <w:rPr>
                      <w:color w:val="000000"/>
                    </w:rPr>
                  </w:pPr>
                  <w:r>
                    <w:rPr>
                      <w:rFonts w:hint="eastAsia"/>
                      <w:color w:val="000000"/>
                    </w:rPr>
                    <w:t>不合格品S1</w:t>
                  </w:r>
                </w:p>
              </w:tc>
              <w:tc>
                <w:tcPr>
                  <w:tcW w:w="891" w:type="pct"/>
                  <w:vAlign w:val="center"/>
                </w:tcPr>
                <w:p>
                  <w:pPr>
                    <w:pStyle w:val="37"/>
                    <w:rPr>
                      <w:color w:val="000000"/>
                    </w:rPr>
                  </w:pPr>
                  <w:r>
                    <w:rPr>
                      <w:rFonts w:hint="eastAsia"/>
                      <w:color w:val="000000"/>
                    </w:rPr>
                    <w:t>检验</w:t>
                  </w:r>
                </w:p>
              </w:tc>
              <w:tc>
                <w:tcPr>
                  <w:tcW w:w="1325" w:type="pct"/>
                  <w:vAlign w:val="center"/>
                </w:tcPr>
                <w:p>
                  <w:pPr>
                    <w:pStyle w:val="37"/>
                    <w:rPr>
                      <w:color w:val="000000"/>
                    </w:rPr>
                  </w:pPr>
                  <w:r>
                    <w:rPr>
                      <w:rFonts w:hint="eastAsia"/>
                      <w:color w:val="000000"/>
                    </w:rPr>
                    <w:t>碳钢</w:t>
                  </w:r>
                </w:p>
              </w:tc>
              <w:tc>
                <w:tcPr>
                  <w:tcW w:w="553" w:type="pct"/>
                  <w:vAlign w:val="center"/>
                </w:tcPr>
                <w:p>
                  <w:pPr>
                    <w:pStyle w:val="37"/>
                    <w:rPr>
                      <w:color w:val="000000"/>
                    </w:rPr>
                  </w:pPr>
                  <w:r>
                    <w:rPr>
                      <w:rFonts w:hint="eastAsia"/>
                      <w:color w:val="000000"/>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390" w:type="pct"/>
                  <w:vMerge w:val="continue"/>
                  <w:vAlign w:val="center"/>
                </w:tcPr>
                <w:p>
                  <w:pPr>
                    <w:pStyle w:val="37"/>
                    <w:rPr>
                      <w:color w:val="000000"/>
                    </w:rPr>
                  </w:pPr>
                </w:p>
              </w:tc>
              <w:tc>
                <w:tcPr>
                  <w:tcW w:w="601" w:type="pct"/>
                  <w:vMerge w:val="continue"/>
                  <w:vAlign w:val="center"/>
                </w:tcPr>
                <w:p>
                  <w:pPr>
                    <w:pStyle w:val="37"/>
                    <w:rPr>
                      <w:color w:val="000000"/>
                    </w:rPr>
                  </w:pPr>
                </w:p>
              </w:tc>
              <w:tc>
                <w:tcPr>
                  <w:tcW w:w="1238" w:type="pct"/>
                  <w:vAlign w:val="center"/>
                </w:tcPr>
                <w:p>
                  <w:pPr>
                    <w:pStyle w:val="37"/>
                    <w:rPr>
                      <w:color w:val="000000"/>
                    </w:rPr>
                  </w:pPr>
                  <w:r>
                    <w:rPr>
                      <w:rFonts w:hint="eastAsia"/>
                      <w:color w:val="000000"/>
                    </w:rPr>
                    <w:t>金属碎屑S2</w:t>
                  </w:r>
                </w:p>
              </w:tc>
              <w:tc>
                <w:tcPr>
                  <w:tcW w:w="891" w:type="pct"/>
                  <w:vAlign w:val="center"/>
                </w:tcPr>
                <w:p>
                  <w:pPr>
                    <w:pStyle w:val="37"/>
                    <w:rPr>
                      <w:color w:val="000000"/>
                    </w:rPr>
                  </w:pPr>
                  <w:r>
                    <w:rPr>
                      <w:rFonts w:hint="eastAsia"/>
                      <w:color w:val="000000"/>
                    </w:rPr>
                    <w:t>冲压</w:t>
                  </w:r>
                </w:p>
              </w:tc>
              <w:tc>
                <w:tcPr>
                  <w:tcW w:w="1325" w:type="pct"/>
                  <w:vAlign w:val="center"/>
                </w:tcPr>
                <w:p>
                  <w:pPr>
                    <w:pStyle w:val="37"/>
                    <w:rPr>
                      <w:color w:val="000000"/>
                    </w:rPr>
                  </w:pPr>
                  <w:r>
                    <w:rPr>
                      <w:rFonts w:hint="eastAsia"/>
                      <w:color w:val="000000"/>
                    </w:rPr>
                    <w:t>碳钢</w:t>
                  </w:r>
                </w:p>
              </w:tc>
              <w:tc>
                <w:tcPr>
                  <w:tcW w:w="553" w:type="pct"/>
                  <w:vAlign w:val="center"/>
                </w:tcPr>
                <w:p>
                  <w:pPr>
                    <w:pStyle w:val="37"/>
                    <w:rPr>
                      <w:color w:val="000000"/>
                    </w:rPr>
                  </w:pPr>
                  <w:r>
                    <w:rPr>
                      <w:rFonts w:hint="eastAsia"/>
                      <w:color w:val="000000"/>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390" w:type="pct"/>
                  <w:vMerge w:val="continue"/>
                  <w:vAlign w:val="center"/>
                </w:tcPr>
                <w:p>
                  <w:pPr>
                    <w:pStyle w:val="37"/>
                    <w:rPr>
                      <w:color w:val="000000"/>
                    </w:rPr>
                  </w:pPr>
                </w:p>
              </w:tc>
              <w:tc>
                <w:tcPr>
                  <w:tcW w:w="601" w:type="pct"/>
                  <w:vMerge w:val="continue"/>
                  <w:vAlign w:val="center"/>
                </w:tcPr>
                <w:p>
                  <w:pPr>
                    <w:pStyle w:val="37"/>
                    <w:rPr>
                      <w:color w:val="000000"/>
                    </w:rPr>
                  </w:pPr>
                </w:p>
              </w:tc>
              <w:tc>
                <w:tcPr>
                  <w:tcW w:w="1238" w:type="pct"/>
                  <w:vAlign w:val="center"/>
                </w:tcPr>
                <w:p>
                  <w:pPr>
                    <w:pStyle w:val="37"/>
                    <w:rPr>
                      <w:color w:val="000000"/>
                    </w:rPr>
                  </w:pPr>
                  <w:r>
                    <w:rPr>
                      <w:rFonts w:hint="eastAsia"/>
                      <w:color w:val="000000"/>
                    </w:rPr>
                    <w:t>废包装材料S3</w:t>
                  </w:r>
                </w:p>
              </w:tc>
              <w:tc>
                <w:tcPr>
                  <w:tcW w:w="891" w:type="pct"/>
                  <w:vAlign w:val="center"/>
                </w:tcPr>
                <w:p>
                  <w:pPr>
                    <w:pStyle w:val="37"/>
                    <w:rPr>
                      <w:color w:val="000000"/>
                    </w:rPr>
                  </w:pPr>
                  <w:r>
                    <w:rPr>
                      <w:rFonts w:hint="eastAsia"/>
                      <w:color w:val="000000"/>
                    </w:rPr>
                    <w:t>原辅料包装</w:t>
                  </w:r>
                </w:p>
              </w:tc>
              <w:tc>
                <w:tcPr>
                  <w:tcW w:w="1325" w:type="pct"/>
                  <w:vAlign w:val="center"/>
                </w:tcPr>
                <w:p>
                  <w:pPr>
                    <w:pStyle w:val="37"/>
                    <w:rPr>
                      <w:color w:val="000000"/>
                    </w:rPr>
                  </w:pPr>
                  <w:r>
                    <w:rPr>
                      <w:rFonts w:hint="eastAsia"/>
                      <w:color w:val="000000"/>
                    </w:rPr>
                    <w:t>塑料等</w:t>
                  </w:r>
                </w:p>
              </w:tc>
              <w:tc>
                <w:tcPr>
                  <w:tcW w:w="553" w:type="pct"/>
                  <w:vAlign w:val="center"/>
                </w:tcPr>
                <w:p>
                  <w:pPr>
                    <w:pStyle w:val="37"/>
                    <w:rPr>
                      <w:color w:val="000000"/>
                    </w:rPr>
                  </w:pPr>
                  <w:r>
                    <w:rPr>
                      <w:rFonts w:hint="eastAsia"/>
                      <w:color w:val="000000"/>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390" w:type="pct"/>
                  <w:vMerge w:val="continue"/>
                  <w:vAlign w:val="center"/>
                </w:tcPr>
                <w:p>
                  <w:pPr>
                    <w:pStyle w:val="37"/>
                    <w:rPr>
                      <w:color w:val="000000"/>
                    </w:rPr>
                  </w:pPr>
                </w:p>
              </w:tc>
              <w:tc>
                <w:tcPr>
                  <w:tcW w:w="601" w:type="pct"/>
                  <w:vMerge w:val="continue"/>
                  <w:vAlign w:val="center"/>
                </w:tcPr>
                <w:p>
                  <w:pPr>
                    <w:pStyle w:val="37"/>
                    <w:rPr>
                      <w:color w:val="000000"/>
                    </w:rPr>
                  </w:pPr>
                </w:p>
              </w:tc>
              <w:tc>
                <w:tcPr>
                  <w:tcW w:w="1238" w:type="pct"/>
                  <w:vAlign w:val="center"/>
                </w:tcPr>
                <w:p>
                  <w:pPr>
                    <w:pStyle w:val="37"/>
                    <w:rPr>
                      <w:color w:val="000000"/>
                    </w:rPr>
                  </w:pPr>
                  <w:r>
                    <w:rPr>
                      <w:rFonts w:hint="eastAsia"/>
                      <w:color w:val="000000"/>
                    </w:rPr>
                    <w:t>废劳保品S4</w:t>
                  </w:r>
                </w:p>
              </w:tc>
              <w:tc>
                <w:tcPr>
                  <w:tcW w:w="891" w:type="pct"/>
                  <w:vMerge w:val="restart"/>
                  <w:vAlign w:val="center"/>
                </w:tcPr>
                <w:p>
                  <w:pPr>
                    <w:pStyle w:val="37"/>
                    <w:rPr>
                      <w:color w:val="000000"/>
                    </w:rPr>
                  </w:pPr>
                  <w:r>
                    <w:rPr>
                      <w:rFonts w:hint="eastAsia"/>
                      <w:color w:val="000000"/>
                    </w:rPr>
                    <w:t>机械维修</w:t>
                  </w:r>
                </w:p>
              </w:tc>
              <w:tc>
                <w:tcPr>
                  <w:tcW w:w="1325" w:type="pct"/>
                  <w:vMerge w:val="restart"/>
                  <w:vAlign w:val="center"/>
                </w:tcPr>
                <w:p>
                  <w:pPr>
                    <w:pStyle w:val="37"/>
                    <w:rPr>
                      <w:color w:val="000000"/>
                    </w:rPr>
                  </w:pPr>
                  <w:r>
                    <w:rPr>
                      <w:rFonts w:hint="eastAsia"/>
                      <w:color w:val="000000"/>
                    </w:rPr>
                    <w:t>矿物油</w:t>
                  </w:r>
                </w:p>
              </w:tc>
              <w:tc>
                <w:tcPr>
                  <w:tcW w:w="553" w:type="pct"/>
                  <w:vAlign w:val="center"/>
                </w:tcPr>
                <w:p>
                  <w:pPr>
                    <w:pStyle w:val="37"/>
                    <w:rPr>
                      <w:color w:val="000000"/>
                    </w:rPr>
                  </w:pPr>
                  <w:r>
                    <w:rPr>
                      <w:rFonts w:hint="eastAsia"/>
                      <w:color w:val="000000"/>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0" w:type="pct"/>
                  <w:vMerge w:val="continue"/>
                  <w:vAlign w:val="center"/>
                </w:tcPr>
                <w:p>
                  <w:pPr>
                    <w:pStyle w:val="37"/>
                    <w:rPr>
                      <w:color w:val="000000"/>
                    </w:rPr>
                  </w:pPr>
                </w:p>
              </w:tc>
              <w:tc>
                <w:tcPr>
                  <w:tcW w:w="601" w:type="pct"/>
                  <w:vMerge w:val="continue"/>
                  <w:vAlign w:val="center"/>
                </w:tcPr>
                <w:p>
                  <w:pPr>
                    <w:pStyle w:val="37"/>
                    <w:rPr>
                      <w:color w:val="000000"/>
                    </w:rPr>
                  </w:pPr>
                </w:p>
              </w:tc>
              <w:tc>
                <w:tcPr>
                  <w:tcW w:w="1238" w:type="pct"/>
                  <w:vAlign w:val="center"/>
                </w:tcPr>
                <w:p>
                  <w:pPr>
                    <w:pStyle w:val="37"/>
                    <w:rPr>
                      <w:color w:val="000000"/>
                    </w:rPr>
                  </w:pPr>
                  <w:r>
                    <w:rPr>
                      <w:rFonts w:hint="eastAsia"/>
                      <w:color w:val="000000"/>
                    </w:rPr>
                    <w:t>废机油及废机油瓶S5</w:t>
                  </w:r>
                </w:p>
              </w:tc>
              <w:tc>
                <w:tcPr>
                  <w:tcW w:w="891" w:type="pct"/>
                  <w:vMerge w:val="continue"/>
                  <w:vAlign w:val="center"/>
                </w:tcPr>
                <w:p>
                  <w:pPr>
                    <w:pStyle w:val="37"/>
                    <w:rPr>
                      <w:color w:val="000000"/>
                    </w:rPr>
                  </w:pPr>
                </w:p>
              </w:tc>
              <w:tc>
                <w:tcPr>
                  <w:tcW w:w="1325" w:type="pct"/>
                  <w:vMerge w:val="continue"/>
                  <w:vAlign w:val="center"/>
                </w:tcPr>
                <w:p>
                  <w:pPr>
                    <w:pStyle w:val="37"/>
                    <w:rPr>
                      <w:color w:val="000000"/>
                    </w:rPr>
                  </w:pPr>
                </w:p>
              </w:tc>
              <w:tc>
                <w:tcPr>
                  <w:tcW w:w="553" w:type="pct"/>
                  <w:vAlign w:val="center"/>
                </w:tcPr>
                <w:p>
                  <w:pPr>
                    <w:pStyle w:val="37"/>
                    <w:rPr>
                      <w:color w:val="000000"/>
                    </w:rPr>
                  </w:pPr>
                  <w:r>
                    <w:rPr>
                      <w:rFonts w:hint="eastAsia"/>
                      <w:color w:val="000000"/>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0" w:type="pct"/>
                  <w:vMerge w:val="continue"/>
                  <w:vAlign w:val="center"/>
                </w:tcPr>
                <w:p>
                  <w:pPr>
                    <w:pStyle w:val="37"/>
                    <w:rPr>
                      <w:color w:val="000000"/>
                    </w:rPr>
                  </w:pPr>
                </w:p>
              </w:tc>
              <w:tc>
                <w:tcPr>
                  <w:tcW w:w="601" w:type="pct"/>
                  <w:vMerge w:val="continue"/>
                  <w:vAlign w:val="center"/>
                </w:tcPr>
                <w:p>
                  <w:pPr>
                    <w:pStyle w:val="37"/>
                    <w:rPr>
                      <w:color w:val="000000"/>
                    </w:rPr>
                  </w:pPr>
                </w:p>
              </w:tc>
              <w:tc>
                <w:tcPr>
                  <w:tcW w:w="1238" w:type="pct"/>
                  <w:vAlign w:val="center"/>
                </w:tcPr>
                <w:p>
                  <w:pPr>
                    <w:pStyle w:val="37"/>
                    <w:rPr>
                      <w:color w:val="000000"/>
                    </w:rPr>
                  </w:pPr>
                  <w:r>
                    <w:rPr>
                      <w:rFonts w:hint="eastAsia"/>
                      <w:color w:val="000000"/>
                    </w:rPr>
                    <w:t>布袋收集尘S6</w:t>
                  </w:r>
                </w:p>
              </w:tc>
              <w:tc>
                <w:tcPr>
                  <w:tcW w:w="891" w:type="pct"/>
                  <w:vAlign w:val="center"/>
                </w:tcPr>
                <w:p>
                  <w:pPr>
                    <w:pStyle w:val="37"/>
                    <w:rPr>
                      <w:color w:val="000000"/>
                    </w:rPr>
                  </w:pPr>
                  <w:r>
                    <w:rPr>
                      <w:rFonts w:hint="eastAsia"/>
                      <w:color w:val="000000"/>
                    </w:rPr>
                    <w:t>废气治理</w:t>
                  </w:r>
                </w:p>
              </w:tc>
              <w:tc>
                <w:tcPr>
                  <w:tcW w:w="1325" w:type="pct"/>
                  <w:vAlign w:val="center"/>
                </w:tcPr>
                <w:p>
                  <w:pPr>
                    <w:pStyle w:val="37"/>
                    <w:rPr>
                      <w:color w:val="000000"/>
                    </w:rPr>
                  </w:pPr>
                  <w:r>
                    <w:rPr>
                      <w:rFonts w:hint="eastAsia"/>
                      <w:color w:val="000000"/>
                    </w:rPr>
                    <w:t>焊材</w:t>
                  </w:r>
                </w:p>
              </w:tc>
              <w:tc>
                <w:tcPr>
                  <w:tcW w:w="553" w:type="pct"/>
                  <w:vAlign w:val="center"/>
                </w:tcPr>
                <w:p>
                  <w:pPr>
                    <w:pStyle w:val="37"/>
                    <w:rPr>
                      <w:color w:val="000000"/>
                    </w:rPr>
                  </w:pPr>
                  <w:r>
                    <w:rPr>
                      <w:rFonts w:hint="eastAsia"/>
                      <w:color w:val="000000"/>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0" w:type="pct"/>
                  <w:vMerge w:val="continue"/>
                  <w:vAlign w:val="center"/>
                </w:tcPr>
                <w:p>
                  <w:pPr>
                    <w:pStyle w:val="37"/>
                    <w:rPr>
                      <w:color w:val="000000"/>
                    </w:rPr>
                  </w:pPr>
                </w:p>
              </w:tc>
              <w:tc>
                <w:tcPr>
                  <w:tcW w:w="601" w:type="pct"/>
                  <w:vMerge w:val="continue"/>
                  <w:vAlign w:val="center"/>
                </w:tcPr>
                <w:p>
                  <w:pPr>
                    <w:pStyle w:val="37"/>
                    <w:rPr>
                      <w:color w:val="000000"/>
                    </w:rPr>
                  </w:pPr>
                </w:p>
              </w:tc>
              <w:tc>
                <w:tcPr>
                  <w:tcW w:w="1238" w:type="pct"/>
                  <w:vAlign w:val="center"/>
                </w:tcPr>
                <w:p>
                  <w:pPr>
                    <w:pStyle w:val="37"/>
                    <w:rPr>
                      <w:color w:val="000000"/>
                    </w:rPr>
                  </w:pPr>
                  <w:r>
                    <w:rPr>
                      <w:rFonts w:hint="eastAsia"/>
                      <w:color w:val="000000"/>
                    </w:rPr>
                    <w:t>废布袋S7</w:t>
                  </w:r>
                </w:p>
              </w:tc>
              <w:tc>
                <w:tcPr>
                  <w:tcW w:w="891" w:type="pct"/>
                  <w:vAlign w:val="center"/>
                </w:tcPr>
                <w:p>
                  <w:pPr>
                    <w:pStyle w:val="37"/>
                    <w:rPr>
                      <w:color w:val="000000"/>
                    </w:rPr>
                  </w:pPr>
                  <w:r>
                    <w:rPr>
                      <w:rFonts w:hint="eastAsia"/>
                      <w:color w:val="000000"/>
                    </w:rPr>
                    <w:t>废气治理</w:t>
                  </w:r>
                </w:p>
              </w:tc>
              <w:tc>
                <w:tcPr>
                  <w:tcW w:w="1325" w:type="pct"/>
                  <w:vAlign w:val="center"/>
                </w:tcPr>
                <w:p>
                  <w:pPr>
                    <w:pStyle w:val="37"/>
                    <w:rPr>
                      <w:color w:val="000000"/>
                    </w:rPr>
                  </w:pPr>
                  <w:r>
                    <w:rPr>
                      <w:rFonts w:hint="eastAsia"/>
                      <w:color w:val="000000"/>
                    </w:rPr>
                    <w:t>焊材、纤维等</w:t>
                  </w:r>
                </w:p>
              </w:tc>
              <w:tc>
                <w:tcPr>
                  <w:tcW w:w="553" w:type="pct"/>
                  <w:vAlign w:val="center"/>
                </w:tcPr>
                <w:p>
                  <w:pPr>
                    <w:pStyle w:val="37"/>
                    <w:rPr>
                      <w:color w:val="000000"/>
                    </w:rPr>
                  </w:pPr>
                  <w:r>
                    <w:rPr>
                      <w:rFonts w:hint="eastAsia"/>
                      <w:color w:val="000000"/>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0" w:type="pct"/>
                  <w:vMerge w:val="continue"/>
                  <w:vAlign w:val="center"/>
                </w:tcPr>
                <w:p>
                  <w:pPr>
                    <w:pStyle w:val="37"/>
                    <w:rPr>
                      <w:color w:val="000000"/>
                    </w:rPr>
                  </w:pPr>
                </w:p>
              </w:tc>
              <w:tc>
                <w:tcPr>
                  <w:tcW w:w="601" w:type="pct"/>
                  <w:vMerge w:val="continue"/>
                  <w:vAlign w:val="center"/>
                </w:tcPr>
                <w:p>
                  <w:pPr>
                    <w:pStyle w:val="37"/>
                    <w:rPr>
                      <w:color w:val="000000"/>
                    </w:rPr>
                  </w:pPr>
                </w:p>
              </w:tc>
              <w:tc>
                <w:tcPr>
                  <w:tcW w:w="1238" w:type="pct"/>
                  <w:vAlign w:val="center"/>
                </w:tcPr>
                <w:p>
                  <w:pPr>
                    <w:pStyle w:val="37"/>
                    <w:rPr>
                      <w:color w:val="000000"/>
                    </w:rPr>
                  </w:pPr>
                  <w:r>
                    <w:rPr>
                      <w:rFonts w:hint="eastAsia"/>
                      <w:color w:val="000000"/>
                    </w:rPr>
                    <w:t>地面清扫尘S8</w:t>
                  </w:r>
                </w:p>
              </w:tc>
              <w:tc>
                <w:tcPr>
                  <w:tcW w:w="891" w:type="pct"/>
                  <w:vAlign w:val="center"/>
                </w:tcPr>
                <w:p>
                  <w:pPr>
                    <w:pStyle w:val="37"/>
                    <w:rPr>
                      <w:color w:val="000000"/>
                    </w:rPr>
                  </w:pPr>
                  <w:r>
                    <w:rPr>
                      <w:rFonts w:hint="eastAsia"/>
                      <w:color w:val="000000"/>
                    </w:rPr>
                    <w:t>地面清扫</w:t>
                  </w:r>
                </w:p>
              </w:tc>
              <w:tc>
                <w:tcPr>
                  <w:tcW w:w="1325" w:type="pct"/>
                  <w:vAlign w:val="center"/>
                </w:tcPr>
                <w:p>
                  <w:pPr>
                    <w:pStyle w:val="37"/>
                    <w:rPr>
                      <w:color w:val="000000"/>
                    </w:rPr>
                  </w:pPr>
                  <w:r>
                    <w:rPr>
                      <w:rFonts w:hint="eastAsia"/>
                      <w:color w:val="000000"/>
                    </w:rPr>
                    <w:t>焊材</w:t>
                  </w:r>
                </w:p>
              </w:tc>
              <w:tc>
                <w:tcPr>
                  <w:tcW w:w="553" w:type="pct"/>
                  <w:vAlign w:val="center"/>
                </w:tcPr>
                <w:p>
                  <w:pPr>
                    <w:pStyle w:val="37"/>
                    <w:rPr>
                      <w:color w:val="000000"/>
                    </w:rPr>
                  </w:pPr>
                  <w:r>
                    <w:rPr>
                      <w:rFonts w:hint="eastAsia"/>
                      <w:color w:val="000000"/>
                    </w:rPr>
                    <w:t>间断</w:t>
                  </w:r>
                </w:p>
              </w:tc>
            </w:tr>
          </w:tbl>
          <w:p>
            <w:pPr>
              <w:ind w:firstLine="0" w:firstLineChars="0"/>
              <w:rPr>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06" w:hRule="atLeast"/>
          <w:jc w:val="center"/>
        </w:trPr>
        <w:tc>
          <w:tcPr>
            <w:tcW w:w="873" w:type="dxa"/>
            <w:vAlign w:val="center"/>
          </w:tcPr>
          <w:p>
            <w:pPr>
              <w:pStyle w:val="41"/>
              <w:rPr>
                <w:b/>
                <w:bCs/>
                <w:color w:val="000000"/>
              </w:rPr>
            </w:pPr>
            <w:r>
              <w:rPr>
                <w:b/>
                <w:bCs/>
                <w:color w:val="000000"/>
              </w:rPr>
              <w:t>与项目有关的原有环境污染问题</w:t>
            </w:r>
          </w:p>
        </w:tc>
        <w:tc>
          <w:tcPr>
            <w:tcW w:w="8187" w:type="dxa"/>
          </w:tcPr>
          <w:p>
            <w:pPr>
              <w:ind w:left="480" w:firstLine="0" w:firstLineChars="0"/>
              <w:rPr>
                <w:b/>
                <w:bCs/>
                <w:color w:val="000000"/>
              </w:rPr>
            </w:pPr>
            <w:r>
              <w:rPr>
                <w:rFonts w:hint="eastAsia"/>
                <w:b/>
                <w:bCs/>
                <w:color w:val="000000"/>
              </w:rPr>
              <w:t>（1）</w:t>
            </w:r>
            <w:r>
              <w:rPr>
                <w:b/>
                <w:bCs/>
                <w:color w:val="000000"/>
              </w:rPr>
              <w:t>现有工程环保手续履行情况</w:t>
            </w:r>
          </w:p>
          <w:p>
            <w:pPr>
              <w:ind w:firstLine="480"/>
              <w:rPr>
                <w:bCs/>
                <w:kern w:val="21"/>
              </w:rPr>
            </w:pPr>
            <w:r>
              <w:rPr>
                <w:bCs/>
                <w:kern w:val="21"/>
              </w:rPr>
              <w:t>江铃汽车股份有限公司于2015年</w:t>
            </w:r>
            <w:r>
              <w:rPr>
                <w:rFonts w:hint="eastAsia"/>
                <w:bCs/>
                <w:kern w:val="21"/>
              </w:rPr>
              <w:t>2月</w:t>
            </w:r>
            <w:r>
              <w:rPr>
                <w:bCs/>
                <w:kern w:val="21"/>
              </w:rPr>
              <w:t>于南昌小蓝经济开发区北部建设了</w:t>
            </w:r>
            <w:r>
              <w:rPr>
                <w:rFonts w:hint="eastAsia"/>
                <w:bCs/>
                <w:kern w:val="21"/>
              </w:rPr>
              <w:t>《</w:t>
            </w:r>
            <w:r>
              <w:rPr>
                <w:bCs/>
                <w:kern w:val="21"/>
              </w:rPr>
              <w:t>江铃汽车股份有限公司年产30万辆整车零部件配套生产扩能项目（一期）</w:t>
            </w:r>
            <w:r>
              <w:rPr>
                <w:rFonts w:hint="eastAsia"/>
                <w:bCs/>
                <w:kern w:val="21"/>
              </w:rPr>
              <w:t>》</w:t>
            </w:r>
            <w:r>
              <w:rPr>
                <w:bCs/>
                <w:kern w:val="21"/>
              </w:rPr>
              <w:t>，该项目于2015年</w:t>
            </w:r>
            <w:r>
              <w:rPr>
                <w:rFonts w:hint="eastAsia"/>
                <w:bCs/>
                <w:kern w:val="21"/>
              </w:rPr>
              <w:t>3月5日</w:t>
            </w:r>
            <w:r>
              <w:rPr>
                <w:bCs/>
                <w:kern w:val="21"/>
              </w:rPr>
              <w:t>取得</w:t>
            </w:r>
            <w:r>
              <w:rPr>
                <w:rFonts w:hint="eastAsia"/>
                <w:bCs/>
                <w:kern w:val="21"/>
              </w:rPr>
              <w:t>原南昌县环境保护局</w:t>
            </w:r>
            <w:r>
              <w:rPr>
                <w:bCs/>
                <w:kern w:val="21"/>
              </w:rPr>
              <w:t>批复（南环评字[2015]33号），于2017年7月18日取得</w:t>
            </w:r>
            <w:r>
              <w:rPr>
                <w:rFonts w:hint="eastAsia"/>
                <w:bCs/>
                <w:kern w:val="21"/>
              </w:rPr>
              <w:t>原南昌县环境保护局出具的</w:t>
            </w:r>
            <w:r>
              <w:rPr>
                <w:bCs/>
                <w:kern w:val="21"/>
              </w:rPr>
              <w:t>验收批复（南环评字[2017]136号）</w:t>
            </w:r>
            <w:r>
              <w:rPr>
                <w:rFonts w:hint="eastAsia"/>
                <w:bCs/>
                <w:kern w:val="21"/>
              </w:rPr>
              <w:t>，现正常</w:t>
            </w:r>
            <w:r>
              <w:rPr>
                <w:rFonts w:hint="eastAsia"/>
                <w:szCs w:val="22"/>
              </w:rPr>
              <w:t>运行中</w:t>
            </w:r>
            <w:r>
              <w:rPr>
                <w:rFonts w:hint="eastAsia"/>
                <w:bCs/>
                <w:kern w:val="21"/>
              </w:rPr>
              <w:t>。</w:t>
            </w:r>
          </w:p>
          <w:p>
            <w:pPr>
              <w:ind w:firstLine="480"/>
              <w:rPr>
                <w:bCs/>
                <w:kern w:val="21"/>
              </w:rPr>
            </w:pPr>
            <w:r>
              <w:rPr>
                <w:bCs/>
                <w:kern w:val="21"/>
              </w:rPr>
              <w:t>2017年</w:t>
            </w:r>
            <w:r>
              <w:rPr>
                <w:kern w:val="0"/>
              </w:rPr>
              <w:t>为配合公司产能规划</w:t>
            </w:r>
            <w:r>
              <w:rPr>
                <w:rFonts w:hint="eastAsia"/>
                <w:kern w:val="0"/>
              </w:rPr>
              <w:t>、</w:t>
            </w:r>
            <w:r>
              <w:rPr>
                <w:kern w:val="0"/>
              </w:rPr>
              <w:t>提升产品试制及各类工装维护改造的能力，</w:t>
            </w:r>
            <w:r>
              <w:rPr>
                <w:rFonts w:hint="eastAsia"/>
                <w:kern w:val="0"/>
              </w:rPr>
              <w:t>建设单位于2017年11月编制完成了《江铃汽车股份有限公司智能装备中心项目环境影响报告表》</w:t>
            </w:r>
            <w:r>
              <w:rPr>
                <w:kern w:val="0"/>
              </w:rPr>
              <w:t>，</w:t>
            </w:r>
            <w:r>
              <w:rPr>
                <w:rFonts w:hint="eastAsia"/>
                <w:kern w:val="0"/>
              </w:rPr>
              <w:t>该项目于2017年12月26日取得</w:t>
            </w:r>
            <w:r>
              <w:rPr>
                <w:rFonts w:hint="eastAsia"/>
                <w:bCs/>
                <w:kern w:val="21"/>
              </w:rPr>
              <w:t>原南昌县环境保护局</w:t>
            </w:r>
            <w:r>
              <w:rPr>
                <w:bCs/>
                <w:kern w:val="21"/>
              </w:rPr>
              <w:t>批复（南环评字[2017]267号）</w:t>
            </w:r>
            <w:r>
              <w:rPr>
                <w:rFonts w:hint="eastAsia"/>
                <w:bCs/>
                <w:kern w:val="21"/>
              </w:rPr>
              <w:t>，</w:t>
            </w:r>
            <w:r>
              <w:rPr>
                <w:rFonts w:hint="eastAsia"/>
                <w:szCs w:val="22"/>
              </w:rPr>
              <w:t>于2019年8月23日取得了该项目竣工环境保护验收意见，</w:t>
            </w:r>
            <w:r>
              <w:rPr>
                <w:rFonts w:hint="eastAsia"/>
                <w:bCs/>
                <w:kern w:val="21"/>
              </w:rPr>
              <w:t>现正常</w:t>
            </w:r>
            <w:r>
              <w:rPr>
                <w:rFonts w:hint="eastAsia"/>
                <w:szCs w:val="22"/>
              </w:rPr>
              <w:t>运行中</w:t>
            </w:r>
            <w:r>
              <w:rPr>
                <w:rFonts w:hint="eastAsia"/>
                <w:bCs/>
                <w:kern w:val="21"/>
              </w:rPr>
              <w:t>。</w:t>
            </w:r>
          </w:p>
          <w:p>
            <w:pPr>
              <w:ind w:firstLine="480"/>
              <w:rPr>
                <w:bCs/>
                <w:kern w:val="21"/>
              </w:rPr>
            </w:pPr>
            <w:r>
              <w:rPr>
                <w:bCs/>
                <w:kern w:val="21"/>
              </w:rPr>
              <w:t>为求得企业的生存和发展，提升中国汽车工业PK/SUV车型的整车质量和技术水平，</w:t>
            </w:r>
            <w:r>
              <w:rPr>
                <w:rFonts w:hint="eastAsia"/>
                <w:kern w:val="0"/>
              </w:rPr>
              <w:t>建设单位</w:t>
            </w:r>
            <w:r>
              <w:rPr>
                <w:rFonts w:hint="eastAsia"/>
                <w:bCs/>
                <w:kern w:val="21"/>
              </w:rPr>
              <w:t>于</w:t>
            </w:r>
            <w:r>
              <w:rPr>
                <w:bCs/>
                <w:kern w:val="21"/>
              </w:rPr>
              <w:t>201</w:t>
            </w:r>
            <w:r>
              <w:rPr>
                <w:rFonts w:hint="eastAsia"/>
                <w:bCs/>
                <w:kern w:val="21"/>
              </w:rPr>
              <w:t>8</w:t>
            </w:r>
            <w:r>
              <w:rPr>
                <w:bCs/>
                <w:kern w:val="21"/>
              </w:rPr>
              <w:t>年1</w:t>
            </w:r>
            <w:r>
              <w:rPr>
                <w:rFonts w:hint="eastAsia"/>
                <w:bCs/>
                <w:kern w:val="21"/>
              </w:rPr>
              <w:t>2</w:t>
            </w:r>
            <w:r>
              <w:rPr>
                <w:bCs/>
                <w:kern w:val="21"/>
              </w:rPr>
              <w:t>月</w:t>
            </w:r>
            <w:r>
              <w:rPr>
                <w:rFonts w:hint="eastAsia"/>
                <w:bCs/>
                <w:kern w:val="21"/>
              </w:rPr>
              <w:t>编制完成了</w:t>
            </w:r>
            <w:r>
              <w:rPr>
                <w:bCs/>
                <w:kern w:val="21"/>
              </w:rPr>
              <w:t>《江铃汽车股份有限公司年产30万辆整车零部件配套生产扩能项目（二期）环境影响报告表》</w:t>
            </w:r>
            <w:r>
              <w:rPr>
                <w:rFonts w:hint="eastAsia"/>
                <w:bCs/>
                <w:kern w:val="21"/>
              </w:rPr>
              <w:t>，于</w:t>
            </w:r>
            <w:r>
              <w:rPr>
                <w:bCs/>
                <w:kern w:val="21"/>
              </w:rPr>
              <w:t>2019年1月10日取得</w:t>
            </w:r>
            <w:r>
              <w:rPr>
                <w:rFonts w:hint="eastAsia"/>
                <w:bCs/>
                <w:kern w:val="21"/>
              </w:rPr>
              <w:t>原南昌县环境保护局</w:t>
            </w:r>
            <w:r>
              <w:rPr>
                <w:bCs/>
                <w:kern w:val="21"/>
              </w:rPr>
              <w:t>批复（南环评字[2019]2号）</w:t>
            </w:r>
            <w:r>
              <w:rPr>
                <w:rFonts w:hint="eastAsia"/>
                <w:bCs/>
                <w:kern w:val="21"/>
              </w:rPr>
              <w:t>，</w:t>
            </w:r>
            <w:r>
              <w:rPr>
                <w:rFonts w:hint="eastAsia"/>
                <w:szCs w:val="22"/>
              </w:rPr>
              <w:t>于2021年9月23日取得了该项目竣工环境保护验收意见，</w:t>
            </w:r>
            <w:r>
              <w:rPr>
                <w:rFonts w:hint="eastAsia"/>
                <w:bCs/>
                <w:kern w:val="21"/>
              </w:rPr>
              <w:t>现正常</w:t>
            </w:r>
            <w:r>
              <w:rPr>
                <w:rFonts w:hint="eastAsia"/>
                <w:szCs w:val="22"/>
              </w:rPr>
              <w:t>运行中</w:t>
            </w:r>
            <w:r>
              <w:rPr>
                <w:rFonts w:hint="eastAsia"/>
                <w:bCs/>
                <w:kern w:val="21"/>
              </w:rPr>
              <w:t>。</w:t>
            </w:r>
          </w:p>
          <w:p>
            <w:pPr>
              <w:ind w:firstLine="480"/>
              <w:rPr>
                <w:szCs w:val="22"/>
              </w:rPr>
            </w:pPr>
            <w:r>
              <w:rPr>
                <w:szCs w:val="22"/>
              </w:rPr>
              <w:t>随着城市发展变革，</w:t>
            </w:r>
            <w:r>
              <w:rPr>
                <w:bCs/>
                <w:kern w:val="21"/>
              </w:rPr>
              <w:t>江铃汽车股份有限公司</w:t>
            </w:r>
            <w:r>
              <w:rPr>
                <w:szCs w:val="22"/>
              </w:rPr>
              <w:t>青云谱工厂无论是地理位置还是厂区的生产环境都不足以支撑区域以及企业的发展，而随着小蓝经济技术开发区的江铃小蓝工厂的建成投产，公司的生产重心也逐步转移至此。结合南昌最新规划要求，</w:t>
            </w:r>
            <w:r>
              <w:rPr>
                <w:rFonts w:hint="eastAsia"/>
                <w:szCs w:val="22"/>
              </w:rPr>
              <w:t>公</w:t>
            </w:r>
            <w:r>
              <w:rPr>
                <w:szCs w:val="22"/>
              </w:rPr>
              <w:t>司决定对青云谱工厂进行搬迁，将零部件及整车分别搬迁至小蓝工厂及富山工厂</w:t>
            </w:r>
            <w:r>
              <w:rPr>
                <w:rFonts w:hint="eastAsia"/>
                <w:szCs w:val="22"/>
              </w:rPr>
              <w:t>，并于2020年5月编制完成了《江铃汽车股份有限公司零部件搬迁改造项目环境影响报告书》，于2020年6月24日取得南昌市南昌生态环境局批复（南环评字[2020]71号），于2021年9月23日取得了该项目竣工环境保护验收意见，现正常运行中。</w:t>
            </w:r>
          </w:p>
          <w:p>
            <w:pPr>
              <w:ind w:firstLine="480"/>
              <w:rPr>
                <w:color w:val="000000"/>
              </w:rPr>
            </w:pPr>
            <w:r>
              <w:rPr>
                <w:rFonts w:hint="eastAsia"/>
                <w:szCs w:val="22"/>
              </w:rPr>
              <w:t>江铃汽车股份有限公司</w:t>
            </w:r>
            <w:r>
              <w:rPr>
                <w:color w:val="000000"/>
              </w:rPr>
              <w:t>根据相关排污许可证申请与核发技术规范，在全国排污许可系统申报了排污许可登记，并于202</w:t>
            </w:r>
            <w:r>
              <w:rPr>
                <w:rFonts w:hint="eastAsia"/>
                <w:color w:val="000000"/>
              </w:rPr>
              <w:t>1</w:t>
            </w:r>
            <w:r>
              <w:rPr>
                <w:color w:val="000000"/>
              </w:rPr>
              <w:t>年</w:t>
            </w:r>
            <w:r>
              <w:rPr>
                <w:rFonts w:hint="eastAsia"/>
                <w:color w:val="000000"/>
                <w:lang w:val="en-US" w:eastAsia="zh-CN"/>
              </w:rPr>
              <w:t>10</w:t>
            </w:r>
            <w:r>
              <w:rPr>
                <w:rFonts w:hint="eastAsia"/>
                <w:color w:val="000000"/>
              </w:rPr>
              <w:t>月</w:t>
            </w:r>
            <w:r>
              <w:rPr>
                <w:rFonts w:hint="eastAsia"/>
                <w:color w:val="000000"/>
                <w:lang w:val="en-US" w:eastAsia="zh-CN"/>
              </w:rPr>
              <w:t>30</w:t>
            </w:r>
            <w:r>
              <w:rPr>
                <w:rFonts w:hint="eastAsia"/>
                <w:color w:val="000000"/>
              </w:rPr>
              <w:t>日</w:t>
            </w:r>
            <w:r>
              <w:rPr>
                <w:color w:val="000000"/>
              </w:rPr>
              <w:t>取得排污许可</w:t>
            </w:r>
            <w:r>
              <w:rPr>
                <w:rFonts w:hint="eastAsia"/>
                <w:color w:val="000000"/>
                <w:lang w:val="en-US" w:eastAsia="zh-CN"/>
              </w:rPr>
              <w:t>登记回执</w:t>
            </w:r>
            <w:r>
              <w:rPr>
                <w:color w:val="000000"/>
              </w:rPr>
              <w:t>，编号为</w:t>
            </w:r>
            <w:r>
              <w:rPr>
                <w:rFonts w:hint="eastAsia"/>
                <w:color w:val="000000"/>
              </w:rPr>
              <w:t>913600006124469438007W。</w:t>
            </w:r>
          </w:p>
          <w:p>
            <w:pPr>
              <w:ind w:firstLine="480"/>
              <w:rPr>
                <w:color w:val="000000"/>
              </w:rPr>
            </w:pPr>
            <w:r>
              <w:rPr>
                <w:rFonts w:hint="eastAsia"/>
                <w:szCs w:val="22"/>
              </w:rPr>
              <w:t>江铃汽车股份有限公司于2021年8月25日取得南昌市南昌生态环境保护综合执法局出具的企业应急预案备案表（备案编号为：360121-2021-012-L）</w:t>
            </w:r>
            <w:r>
              <w:rPr>
                <w:rFonts w:hint="eastAsia"/>
                <w:color w:val="000000"/>
              </w:rPr>
              <w:t>。</w:t>
            </w:r>
          </w:p>
          <w:p>
            <w:pPr>
              <w:ind w:firstLine="480"/>
              <w:rPr>
                <w:color w:val="000000"/>
              </w:rPr>
            </w:pPr>
            <w:r>
              <w:rPr>
                <w:rFonts w:hint="eastAsia"/>
                <w:color w:val="000000"/>
                <w:lang w:val="en-US" w:eastAsia="zh-CN"/>
              </w:rPr>
              <w:t>本次评价仅对扩建项目涉及到的</w:t>
            </w:r>
            <w:r>
              <w:rPr>
                <w:rFonts w:hint="eastAsia"/>
                <w:color w:val="000000"/>
              </w:rPr>
              <w:t>现有项目</w:t>
            </w:r>
            <w:r>
              <w:rPr>
                <w:rFonts w:hint="eastAsia"/>
                <w:color w:val="000000"/>
                <w:lang w:val="en-US" w:eastAsia="zh-CN"/>
              </w:rPr>
              <w:t>进行回顾，涉及的现有项目</w:t>
            </w:r>
            <w:r>
              <w:rPr>
                <w:rFonts w:hint="eastAsia"/>
                <w:color w:val="000000"/>
              </w:rPr>
              <w:t>环评手续具体情况见下表：</w:t>
            </w:r>
          </w:p>
          <w:p>
            <w:pPr>
              <w:pStyle w:val="38"/>
              <w:rPr>
                <w:color w:val="000000"/>
                <w:szCs w:val="24"/>
              </w:rPr>
            </w:pPr>
            <w:r>
              <w:rPr>
                <w:rFonts w:hint="eastAsia"/>
                <w:color w:val="000000"/>
                <w:szCs w:val="24"/>
              </w:rPr>
              <w:t>表2-8  现有项目环评手续一览表</w:t>
            </w:r>
          </w:p>
          <w:tbl>
            <w:tblPr>
              <w:tblStyle w:val="27"/>
              <w:tblW w:w="7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1602"/>
              <w:gridCol w:w="2164"/>
              <w:gridCol w:w="1290"/>
              <w:gridCol w:w="1153"/>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pStyle w:val="37"/>
                    <w:rPr>
                      <w:b/>
                      <w:bCs/>
                      <w:color w:val="000000"/>
                    </w:rPr>
                  </w:pPr>
                  <w:r>
                    <w:rPr>
                      <w:rFonts w:hint="eastAsia"/>
                      <w:b/>
                      <w:bCs/>
                      <w:color w:val="000000"/>
                    </w:rPr>
                    <w:t>序号</w:t>
                  </w:r>
                </w:p>
              </w:tc>
              <w:tc>
                <w:tcPr>
                  <w:tcW w:w="1602" w:type="dxa"/>
                  <w:vAlign w:val="center"/>
                </w:tcPr>
                <w:p>
                  <w:pPr>
                    <w:pStyle w:val="37"/>
                    <w:rPr>
                      <w:b/>
                      <w:bCs/>
                      <w:color w:val="000000"/>
                    </w:rPr>
                  </w:pPr>
                  <w:r>
                    <w:rPr>
                      <w:rFonts w:hint="eastAsia"/>
                      <w:b/>
                      <w:bCs/>
                      <w:color w:val="000000"/>
                    </w:rPr>
                    <w:t>编制时间</w:t>
                  </w:r>
                </w:p>
              </w:tc>
              <w:tc>
                <w:tcPr>
                  <w:tcW w:w="2164" w:type="dxa"/>
                  <w:vAlign w:val="center"/>
                </w:tcPr>
                <w:p>
                  <w:pPr>
                    <w:pStyle w:val="37"/>
                    <w:rPr>
                      <w:b/>
                      <w:bCs/>
                      <w:color w:val="000000"/>
                    </w:rPr>
                  </w:pPr>
                  <w:r>
                    <w:rPr>
                      <w:rFonts w:hint="eastAsia"/>
                      <w:b/>
                      <w:bCs/>
                      <w:color w:val="000000"/>
                    </w:rPr>
                    <w:t>项目名称</w:t>
                  </w:r>
                </w:p>
              </w:tc>
              <w:tc>
                <w:tcPr>
                  <w:tcW w:w="1290" w:type="dxa"/>
                  <w:vAlign w:val="center"/>
                </w:tcPr>
                <w:p>
                  <w:pPr>
                    <w:pStyle w:val="37"/>
                    <w:rPr>
                      <w:b/>
                      <w:bCs/>
                      <w:color w:val="000000"/>
                    </w:rPr>
                  </w:pPr>
                  <w:r>
                    <w:rPr>
                      <w:rFonts w:hint="eastAsia"/>
                      <w:b/>
                      <w:bCs/>
                      <w:color w:val="000000"/>
                    </w:rPr>
                    <w:t>批复文件</w:t>
                  </w:r>
                </w:p>
              </w:tc>
              <w:tc>
                <w:tcPr>
                  <w:tcW w:w="1153" w:type="dxa"/>
                  <w:vAlign w:val="center"/>
                </w:tcPr>
                <w:p>
                  <w:pPr>
                    <w:pStyle w:val="37"/>
                    <w:rPr>
                      <w:b/>
                      <w:bCs/>
                      <w:color w:val="000000"/>
                    </w:rPr>
                  </w:pPr>
                  <w:r>
                    <w:rPr>
                      <w:rFonts w:hint="eastAsia"/>
                      <w:b/>
                      <w:bCs/>
                      <w:color w:val="000000"/>
                    </w:rPr>
                    <w:t>批复时间</w:t>
                  </w:r>
                </w:p>
              </w:tc>
              <w:tc>
                <w:tcPr>
                  <w:tcW w:w="1308" w:type="dxa"/>
                  <w:vAlign w:val="center"/>
                </w:tcPr>
                <w:p>
                  <w:pPr>
                    <w:pStyle w:val="37"/>
                    <w:rPr>
                      <w:b/>
                      <w:bCs/>
                      <w:color w:val="000000"/>
                    </w:rPr>
                  </w:pPr>
                  <w:r>
                    <w:rPr>
                      <w:rFonts w:hint="eastAsia"/>
                      <w:b/>
                      <w:bCs/>
                      <w:color w:val="000000"/>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dxa"/>
                  <w:vAlign w:val="center"/>
                </w:tcPr>
                <w:p>
                  <w:pPr>
                    <w:pStyle w:val="37"/>
                    <w:rPr>
                      <w:rFonts w:hint="eastAsia" w:eastAsia="宋体"/>
                      <w:lang w:val="en-US" w:eastAsia="zh-CN"/>
                    </w:rPr>
                  </w:pPr>
                  <w:r>
                    <w:rPr>
                      <w:rFonts w:hint="eastAsia"/>
                      <w:lang w:val="en-US" w:eastAsia="zh-CN"/>
                    </w:rPr>
                    <w:t>1</w:t>
                  </w:r>
                </w:p>
              </w:tc>
              <w:tc>
                <w:tcPr>
                  <w:tcW w:w="1602" w:type="dxa"/>
                  <w:vAlign w:val="center"/>
                </w:tcPr>
                <w:p>
                  <w:pPr>
                    <w:pStyle w:val="37"/>
                  </w:pPr>
                  <w:r>
                    <w:t>201</w:t>
                  </w:r>
                  <w:r>
                    <w:rPr>
                      <w:rFonts w:hint="eastAsia"/>
                    </w:rPr>
                    <w:t>8</w:t>
                  </w:r>
                  <w:r>
                    <w:t>年1</w:t>
                  </w:r>
                  <w:r>
                    <w:rPr>
                      <w:rFonts w:hint="eastAsia"/>
                    </w:rPr>
                    <w:t>2</w:t>
                  </w:r>
                  <w:r>
                    <w:t>月</w:t>
                  </w:r>
                </w:p>
              </w:tc>
              <w:tc>
                <w:tcPr>
                  <w:tcW w:w="2164" w:type="dxa"/>
                  <w:vAlign w:val="center"/>
                </w:tcPr>
                <w:p>
                  <w:pPr>
                    <w:pStyle w:val="37"/>
                  </w:pPr>
                  <w:r>
                    <w:t>江铃汽车股份有限公司年产30万辆整车零部件配套生产扩能项目（二期）</w:t>
                  </w:r>
                </w:p>
              </w:tc>
              <w:tc>
                <w:tcPr>
                  <w:tcW w:w="1290" w:type="dxa"/>
                  <w:vAlign w:val="center"/>
                </w:tcPr>
                <w:p>
                  <w:pPr>
                    <w:pStyle w:val="37"/>
                  </w:pPr>
                  <w:r>
                    <w:t>南环评字[2019]2号</w:t>
                  </w:r>
                </w:p>
              </w:tc>
              <w:tc>
                <w:tcPr>
                  <w:tcW w:w="1153" w:type="dxa"/>
                  <w:vAlign w:val="center"/>
                </w:tcPr>
                <w:p>
                  <w:pPr>
                    <w:pStyle w:val="37"/>
                  </w:pPr>
                  <w:r>
                    <w:t>2019年1月10日</w:t>
                  </w:r>
                </w:p>
              </w:tc>
              <w:tc>
                <w:tcPr>
                  <w:tcW w:w="1308" w:type="dxa"/>
                  <w:vAlign w:val="center"/>
                </w:tcPr>
                <w:p>
                  <w:pPr>
                    <w:pStyle w:val="37"/>
                  </w:pPr>
                  <w:r>
                    <w:rPr>
                      <w:rFonts w:hint="eastAsia"/>
                    </w:rPr>
                    <w:t>已验收（2021年9月23日）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pStyle w:val="37"/>
                    <w:rPr>
                      <w:rFonts w:hint="eastAsia" w:eastAsia="宋体"/>
                      <w:lang w:val="en-US" w:eastAsia="zh-CN"/>
                    </w:rPr>
                  </w:pPr>
                  <w:r>
                    <w:rPr>
                      <w:rFonts w:hint="eastAsia"/>
                      <w:lang w:val="en-US" w:eastAsia="zh-CN"/>
                    </w:rPr>
                    <w:t>2</w:t>
                  </w:r>
                </w:p>
              </w:tc>
              <w:tc>
                <w:tcPr>
                  <w:tcW w:w="1602" w:type="dxa"/>
                  <w:vAlign w:val="center"/>
                </w:tcPr>
                <w:p>
                  <w:pPr>
                    <w:pStyle w:val="37"/>
                  </w:pPr>
                  <w:r>
                    <w:rPr>
                      <w:rFonts w:hint="eastAsia"/>
                    </w:rPr>
                    <w:t>2020年5月</w:t>
                  </w:r>
                </w:p>
              </w:tc>
              <w:tc>
                <w:tcPr>
                  <w:tcW w:w="2164" w:type="dxa"/>
                  <w:vAlign w:val="center"/>
                </w:tcPr>
                <w:p>
                  <w:pPr>
                    <w:pStyle w:val="37"/>
                  </w:pPr>
                  <w:r>
                    <w:rPr>
                      <w:rFonts w:hint="eastAsia"/>
                    </w:rPr>
                    <w:t>江铃汽车股份有限公司零部件搬迁改造项目</w:t>
                  </w:r>
                </w:p>
              </w:tc>
              <w:tc>
                <w:tcPr>
                  <w:tcW w:w="1290" w:type="dxa"/>
                  <w:vAlign w:val="center"/>
                </w:tcPr>
                <w:p>
                  <w:pPr>
                    <w:pStyle w:val="37"/>
                  </w:pPr>
                  <w:r>
                    <w:rPr>
                      <w:rFonts w:hint="eastAsia"/>
                    </w:rPr>
                    <w:t>南环评字[2020]71号</w:t>
                  </w:r>
                </w:p>
              </w:tc>
              <w:tc>
                <w:tcPr>
                  <w:tcW w:w="1153" w:type="dxa"/>
                  <w:vAlign w:val="center"/>
                </w:tcPr>
                <w:p>
                  <w:pPr>
                    <w:pStyle w:val="37"/>
                  </w:pPr>
                  <w:r>
                    <w:rPr>
                      <w:rFonts w:hint="eastAsia"/>
                    </w:rPr>
                    <w:t>2020年6月24日</w:t>
                  </w:r>
                </w:p>
              </w:tc>
              <w:tc>
                <w:tcPr>
                  <w:tcW w:w="1308" w:type="dxa"/>
                  <w:vAlign w:val="center"/>
                </w:tcPr>
                <w:p>
                  <w:pPr>
                    <w:pStyle w:val="37"/>
                  </w:pPr>
                  <w:r>
                    <w:rPr>
                      <w:rFonts w:hint="eastAsia"/>
                    </w:rPr>
                    <w:t>已验收（2021年9月23日）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pStyle w:val="37"/>
                    <w:rPr>
                      <w:rFonts w:hint="eastAsia" w:eastAsia="宋体"/>
                      <w:lang w:val="en-US" w:eastAsia="zh-CN"/>
                    </w:rPr>
                  </w:pPr>
                  <w:r>
                    <w:rPr>
                      <w:rFonts w:hint="eastAsia"/>
                      <w:lang w:val="en-US" w:eastAsia="zh-CN"/>
                    </w:rPr>
                    <w:t>3</w:t>
                  </w:r>
                </w:p>
              </w:tc>
              <w:tc>
                <w:tcPr>
                  <w:tcW w:w="1602" w:type="dxa"/>
                  <w:vAlign w:val="center"/>
                </w:tcPr>
                <w:p>
                  <w:pPr>
                    <w:pStyle w:val="37"/>
                  </w:pPr>
                  <w:r>
                    <w:t>202</w:t>
                  </w:r>
                  <w:r>
                    <w:rPr>
                      <w:rFonts w:hint="eastAsia"/>
                    </w:rPr>
                    <w:t>1</w:t>
                  </w:r>
                  <w:r>
                    <w:t>年</w:t>
                  </w:r>
                  <w:r>
                    <w:rPr>
                      <w:rFonts w:hint="eastAsia"/>
                    </w:rPr>
                    <w:t>4月15日</w:t>
                  </w:r>
                </w:p>
              </w:tc>
              <w:tc>
                <w:tcPr>
                  <w:tcW w:w="5915" w:type="dxa"/>
                  <w:gridSpan w:val="4"/>
                  <w:vAlign w:val="center"/>
                </w:tcPr>
                <w:p>
                  <w:pPr>
                    <w:pStyle w:val="37"/>
                    <w:rPr>
                      <w:rFonts w:hint="eastAsia" w:eastAsia="宋体"/>
                      <w:lang w:eastAsia="zh-CN"/>
                    </w:rPr>
                  </w:pPr>
                  <w:r>
                    <w:rPr>
                      <w:rFonts w:hint="eastAsia"/>
                      <w:color w:val="000000" w:themeColor="text1"/>
                      <w:highlight w:val="none"/>
                    </w:rPr>
                    <w:t>排污许可</w:t>
                  </w:r>
                  <w:r>
                    <w:rPr>
                      <w:rFonts w:hint="eastAsia"/>
                      <w:color w:val="000000" w:themeColor="text1"/>
                      <w:highlight w:val="none"/>
                      <w:lang w:val="en-US" w:eastAsia="zh-CN"/>
                    </w:rPr>
                    <w:t>登记回执</w:t>
                  </w:r>
                  <w:r>
                    <w:rPr>
                      <w:rFonts w:hint="eastAsia"/>
                      <w:color w:val="000000" w:themeColor="text1"/>
                      <w:highlight w:val="none"/>
                    </w:rPr>
                    <w:t>（登记编号：</w:t>
                  </w:r>
                  <w:r>
                    <w:rPr>
                      <w:color w:val="000000" w:themeColor="text1"/>
                      <w:highlight w:val="none"/>
                    </w:rPr>
                    <w:t>913600006124469438007W</w:t>
                  </w:r>
                  <w:r>
                    <w:rPr>
                      <w:rFonts w:hint="eastAsia"/>
                      <w:color w:val="000000" w:themeColor="text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Align w:val="center"/>
                </w:tcPr>
                <w:p>
                  <w:pPr>
                    <w:pStyle w:val="37"/>
                    <w:rPr>
                      <w:rFonts w:hint="eastAsia" w:eastAsia="宋体"/>
                      <w:lang w:val="en-US" w:eastAsia="zh-CN"/>
                    </w:rPr>
                  </w:pPr>
                  <w:r>
                    <w:rPr>
                      <w:rFonts w:hint="eastAsia"/>
                      <w:lang w:val="en-US" w:eastAsia="zh-CN"/>
                    </w:rPr>
                    <w:t>4</w:t>
                  </w:r>
                </w:p>
              </w:tc>
              <w:tc>
                <w:tcPr>
                  <w:tcW w:w="1602" w:type="dxa"/>
                  <w:vAlign w:val="center"/>
                </w:tcPr>
                <w:p>
                  <w:pPr>
                    <w:pStyle w:val="37"/>
                  </w:pPr>
                  <w:r>
                    <w:rPr>
                      <w:rFonts w:hint="eastAsia"/>
                    </w:rPr>
                    <w:t>2021年8月25日</w:t>
                  </w:r>
                </w:p>
              </w:tc>
              <w:tc>
                <w:tcPr>
                  <w:tcW w:w="5915" w:type="dxa"/>
                  <w:gridSpan w:val="4"/>
                  <w:vAlign w:val="center"/>
                </w:tcPr>
                <w:p>
                  <w:pPr>
                    <w:pStyle w:val="37"/>
                  </w:pPr>
                  <w:r>
                    <w:rPr>
                      <w:rFonts w:hint="eastAsia"/>
                    </w:rPr>
                    <w:t>企业事业单位突发环境事件应急预案备案表（备案编号：360121-2021-012-L）</w:t>
                  </w:r>
                </w:p>
              </w:tc>
            </w:tr>
          </w:tbl>
          <w:p>
            <w:pPr>
              <w:widowControl/>
              <w:ind w:firstLine="482"/>
              <w:jc w:val="left"/>
              <w:rPr>
                <w:b/>
                <w:bCs/>
                <w:color w:val="000000"/>
              </w:rPr>
            </w:pPr>
            <w:r>
              <w:rPr>
                <w:rFonts w:hint="eastAsia"/>
                <w:b/>
                <w:bCs/>
                <w:color w:val="000000"/>
              </w:rPr>
              <w:t>（2）现有工程建设情况及主要污染物产排情况</w:t>
            </w:r>
          </w:p>
          <w:p>
            <w:pPr>
              <w:ind w:firstLine="480"/>
              <w:rPr>
                <w:color w:val="000000"/>
              </w:rPr>
            </w:pPr>
            <w:r>
              <w:rPr>
                <w:rFonts w:hint="eastAsia"/>
                <w:color w:val="000000"/>
              </w:rPr>
              <w:t>现有项</w:t>
            </w:r>
            <w:r>
              <w:rPr>
                <w:color w:val="000000"/>
              </w:rPr>
              <w:t>目产能</w:t>
            </w:r>
            <w:r>
              <w:rPr>
                <w:rFonts w:hint="eastAsia"/>
                <w:color w:val="000000"/>
              </w:rPr>
              <w:t>、</w:t>
            </w:r>
            <w:r>
              <w:rPr>
                <w:color w:val="000000"/>
              </w:rPr>
              <w:t>主要原辅材料消耗、主要设备情况</w:t>
            </w:r>
            <w:r>
              <w:rPr>
                <w:rFonts w:hint="eastAsia"/>
                <w:color w:val="000000"/>
              </w:rPr>
              <w:t>、污染物排放情况分别介绍如下。</w:t>
            </w:r>
          </w:p>
          <w:p>
            <w:pPr>
              <w:ind w:firstLine="482"/>
              <w:rPr>
                <w:b/>
                <w:bCs/>
              </w:rPr>
            </w:pPr>
            <w:r>
              <w:rPr>
                <w:rFonts w:hint="eastAsia"/>
                <w:b/>
                <w:bCs/>
              </w:rPr>
              <w:t>1、现有项目产品方案</w:t>
            </w:r>
          </w:p>
          <w:p>
            <w:pPr>
              <w:pStyle w:val="38"/>
            </w:pPr>
            <w:r>
              <w:t>表</w:t>
            </w:r>
            <w:r>
              <w:rPr>
                <w:rFonts w:hint="eastAsia"/>
              </w:rPr>
              <w:t xml:space="preserve">2-9 </w:t>
            </w:r>
            <w:r>
              <w:t xml:space="preserve"> </w:t>
            </w:r>
            <w:r>
              <w:rPr>
                <w:rFonts w:hint="eastAsia"/>
              </w:rPr>
              <w:t>现有项目</w:t>
            </w:r>
            <w:r>
              <w:t>产品方案</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3494"/>
              <w:gridCol w:w="1889"/>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pPr>
                    <w:pStyle w:val="37"/>
                    <w:rPr>
                      <w:b/>
                      <w:bCs/>
                    </w:rPr>
                  </w:pPr>
                  <w:r>
                    <w:rPr>
                      <w:b/>
                      <w:bCs/>
                    </w:rPr>
                    <w:t>序号</w:t>
                  </w:r>
                </w:p>
              </w:tc>
              <w:tc>
                <w:tcPr>
                  <w:tcW w:w="2160" w:type="pct"/>
                  <w:tcBorders>
                    <w:tl2br w:val="nil"/>
                    <w:tr2bl w:val="nil"/>
                  </w:tcBorders>
                  <w:vAlign w:val="center"/>
                </w:tcPr>
                <w:p>
                  <w:pPr>
                    <w:pStyle w:val="37"/>
                    <w:rPr>
                      <w:b/>
                      <w:bCs/>
                    </w:rPr>
                  </w:pPr>
                  <w:r>
                    <w:rPr>
                      <w:b/>
                      <w:bCs/>
                    </w:rPr>
                    <w:t>产品名称</w:t>
                  </w:r>
                </w:p>
              </w:tc>
              <w:tc>
                <w:tcPr>
                  <w:tcW w:w="1168" w:type="pct"/>
                  <w:tcBorders>
                    <w:tl2br w:val="nil"/>
                    <w:tr2bl w:val="nil"/>
                  </w:tcBorders>
                  <w:vAlign w:val="center"/>
                </w:tcPr>
                <w:p>
                  <w:pPr>
                    <w:pStyle w:val="37"/>
                    <w:rPr>
                      <w:b/>
                      <w:bCs/>
                    </w:rPr>
                  </w:pPr>
                  <w:r>
                    <w:rPr>
                      <w:b/>
                      <w:bCs/>
                    </w:rPr>
                    <w:t>设计生产能力</w:t>
                  </w:r>
                </w:p>
              </w:tc>
              <w:tc>
                <w:tcPr>
                  <w:tcW w:w="1168" w:type="pct"/>
                  <w:tcBorders>
                    <w:tl2br w:val="nil"/>
                    <w:tr2bl w:val="nil"/>
                  </w:tcBorders>
                  <w:vAlign w:val="center"/>
                </w:tcPr>
                <w:p>
                  <w:pPr>
                    <w:pStyle w:val="37"/>
                    <w:rPr>
                      <w:b/>
                      <w:bCs/>
                    </w:rPr>
                  </w:pPr>
                  <w:r>
                    <w:rPr>
                      <w:b/>
                      <w:bCs/>
                    </w:rPr>
                    <w:t>现状生产情况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pPr>
                    <w:pStyle w:val="37"/>
                    <w:rPr>
                      <w:rFonts w:hint="eastAsia" w:eastAsia="宋体"/>
                      <w:lang w:val="en-US" w:eastAsia="zh-CN"/>
                    </w:rPr>
                  </w:pPr>
                  <w:r>
                    <w:rPr>
                      <w:rFonts w:hint="eastAsia"/>
                      <w:lang w:val="en-US" w:eastAsia="zh-CN"/>
                    </w:rPr>
                    <w:t>1</w:t>
                  </w:r>
                </w:p>
              </w:tc>
              <w:tc>
                <w:tcPr>
                  <w:tcW w:w="2160" w:type="pct"/>
                  <w:tcBorders>
                    <w:tl2br w:val="nil"/>
                    <w:tr2bl w:val="nil"/>
                  </w:tcBorders>
                  <w:vAlign w:val="center"/>
                </w:tcPr>
                <w:p>
                  <w:pPr>
                    <w:pStyle w:val="37"/>
                  </w:pPr>
                  <w:r>
                    <w:t>年焊接车架配件</w:t>
                  </w:r>
                </w:p>
              </w:tc>
              <w:tc>
                <w:tcPr>
                  <w:tcW w:w="1168" w:type="pct"/>
                  <w:tcBorders>
                    <w:tl2br w:val="nil"/>
                    <w:tr2bl w:val="nil"/>
                  </w:tcBorders>
                  <w:vAlign w:val="center"/>
                </w:tcPr>
                <w:p>
                  <w:pPr>
                    <w:pStyle w:val="37"/>
                  </w:pPr>
                  <w:r>
                    <w:t>729300件</w:t>
                  </w:r>
                </w:p>
              </w:tc>
              <w:tc>
                <w:tcPr>
                  <w:tcW w:w="1168" w:type="pct"/>
                  <w:tcBorders>
                    <w:tl2br w:val="nil"/>
                    <w:tr2bl w:val="nil"/>
                  </w:tcBorders>
                  <w:vAlign w:val="center"/>
                </w:tcPr>
                <w:p>
                  <w:pPr>
                    <w:pStyle w:val="37"/>
                  </w:pPr>
                  <w: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02" w:type="pct"/>
                  <w:tcBorders>
                    <w:tl2br w:val="nil"/>
                    <w:tr2bl w:val="nil"/>
                  </w:tcBorders>
                  <w:vAlign w:val="center"/>
                </w:tcPr>
                <w:p>
                  <w:pPr>
                    <w:pStyle w:val="37"/>
                    <w:rPr>
                      <w:rFonts w:hint="eastAsia" w:eastAsia="宋体"/>
                      <w:lang w:val="en-US" w:eastAsia="zh-CN"/>
                    </w:rPr>
                  </w:pPr>
                  <w:r>
                    <w:rPr>
                      <w:rFonts w:hint="eastAsia"/>
                      <w:lang w:val="en-US" w:eastAsia="zh-CN"/>
                    </w:rPr>
                    <w:t>2</w:t>
                  </w:r>
                </w:p>
              </w:tc>
              <w:tc>
                <w:tcPr>
                  <w:tcW w:w="2160" w:type="pct"/>
                  <w:tcBorders>
                    <w:tl2br w:val="nil"/>
                    <w:tr2bl w:val="nil"/>
                  </w:tcBorders>
                  <w:vAlign w:val="center"/>
                </w:tcPr>
                <w:p>
                  <w:pPr>
                    <w:pStyle w:val="37"/>
                  </w:pPr>
                  <w:r>
                    <w:rPr>
                      <w:rFonts w:hint="eastAsia"/>
                    </w:rPr>
                    <w:t>底部骨架、前悬</w:t>
                  </w:r>
                </w:p>
              </w:tc>
              <w:tc>
                <w:tcPr>
                  <w:tcW w:w="1168" w:type="pct"/>
                  <w:tcBorders>
                    <w:tl2br w:val="nil"/>
                    <w:tr2bl w:val="nil"/>
                  </w:tcBorders>
                  <w:vAlign w:val="center"/>
                </w:tcPr>
                <w:p>
                  <w:pPr>
                    <w:pStyle w:val="37"/>
                  </w:pPr>
                  <w:r>
                    <w:rPr>
                      <w:rFonts w:hint="eastAsia"/>
                    </w:rPr>
                    <w:t>15万台</w:t>
                  </w:r>
                </w:p>
              </w:tc>
              <w:tc>
                <w:tcPr>
                  <w:tcW w:w="1168" w:type="pct"/>
                  <w:tcBorders>
                    <w:tl2br w:val="nil"/>
                    <w:tr2bl w:val="nil"/>
                  </w:tcBorders>
                  <w:vAlign w:val="center"/>
                </w:tcPr>
                <w:p>
                  <w:pPr>
                    <w:pStyle w:val="37"/>
                  </w:pPr>
                  <w: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pPr>
                    <w:pStyle w:val="37"/>
                    <w:rPr>
                      <w:rFonts w:hint="eastAsia" w:eastAsia="宋体"/>
                      <w:lang w:val="en-US" w:eastAsia="zh-CN"/>
                    </w:rPr>
                  </w:pPr>
                  <w:r>
                    <w:rPr>
                      <w:rFonts w:hint="eastAsia"/>
                      <w:lang w:val="en-US" w:eastAsia="zh-CN"/>
                    </w:rPr>
                    <w:t>3</w:t>
                  </w:r>
                </w:p>
              </w:tc>
              <w:tc>
                <w:tcPr>
                  <w:tcW w:w="2160" w:type="pct"/>
                  <w:tcBorders>
                    <w:tl2br w:val="nil"/>
                    <w:tr2bl w:val="nil"/>
                  </w:tcBorders>
                  <w:vAlign w:val="center"/>
                </w:tcPr>
                <w:p>
                  <w:pPr>
                    <w:pStyle w:val="37"/>
                  </w:pPr>
                  <w:r>
                    <w:rPr>
                      <w:rFonts w:hint="eastAsia"/>
                    </w:rPr>
                    <w:t>BLUE平台底架</w:t>
                  </w:r>
                </w:p>
              </w:tc>
              <w:tc>
                <w:tcPr>
                  <w:tcW w:w="1168" w:type="pct"/>
                  <w:tcBorders>
                    <w:tl2br w:val="nil"/>
                    <w:tr2bl w:val="nil"/>
                  </w:tcBorders>
                  <w:vAlign w:val="center"/>
                </w:tcPr>
                <w:p>
                  <w:pPr>
                    <w:pStyle w:val="37"/>
                  </w:pPr>
                  <w:r>
                    <w:rPr>
                      <w:rFonts w:hint="eastAsia"/>
                    </w:rPr>
                    <w:t>20万台</w:t>
                  </w:r>
                </w:p>
              </w:tc>
              <w:tc>
                <w:tcPr>
                  <w:tcW w:w="1168" w:type="pct"/>
                  <w:tcBorders>
                    <w:tl2br w:val="nil"/>
                    <w:tr2bl w:val="nil"/>
                  </w:tcBorders>
                  <w:vAlign w:val="center"/>
                </w:tcPr>
                <w:p>
                  <w:pPr>
                    <w:pStyle w:val="37"/>
                  </w:pPr>
                  <w: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pPr>
                    <w:pStyle w:val="37"/>
                    <w:rPr>
                      <w:rFonts w:hint="eastAsia" w:eastAsia="宋体"/>
                      <w:lang w:val="en-US" w:eastAsia="zh-CN"/>
                    </w:rPr>
                  </w:pPr>
                  <w:r>
                    <w:rPr>
                      <w:rFonts w:hint="eastAsia"/>
                      <w:lang w:val="en-US" w:eastAsia="zh-CN"/>
                    </w:rPr>
                    <w:t>4</w:t>
                  </w:r>
                </w:p>
              </w:tc>
              <w:tc>
                <w:tcPr>
                  <w:tcW w:w="2160" w:type="pct"/>
                  <w:tcBorders>
                    <w:tl2br w:val="nil"/>
                    <w:tr2bl w:val="nil"/>
                  </w:tcBorders>
                  <w:vAlign w:val="center"/>
                </w:tcPr>
                <w:p>
                  <w:pPr>
                    <w:pStyle w:val="37"/>
                  </w:pPr>
                  <w:r>
                    <w:rPr>
                      <w:rFonts w:hint="eastAsia"/>
                    </w:rPr>
                    <w:t>车身冲压件</w:t>
                  </w:r>
                </w:p>
              </w:tc>
              <w:tc>
                <w:tcPr>
                  <w:tcW w:w="1168" w:type="pct"/>
                  <w:tcBorders>
                    <w:tl2br w:val="nil"/>
                    <w:tr2bl w:val="nil"/>
                  </w:tcBorders>
                  <w:vAlign w:val="center"/>
                </w:tcPr>
                <w:p>
                  <w:pPr>
                    <w:pStyle w:val="37"/>
                  </w:pPr>
                  <w:r>
                    <w:rPr>
                      <w:rFonts w:hint="eastAsia"/>
                    </w:rPr>
                    <w:t>757万件</w:t>
                  </w:r>
                </w:p>
              </w:tc>
              <w:tc>
                <w:tcPr>
                  <w:tcW w:w="1168" w:type="pct"/>
                  <w:tcBorders>
                    <w:tl2br w:val="nil"/>
                    <w:tr2bl w:val="nil"/>
                  </w:tcBorders>
                  <w:vAlign w:val="center"/>
                </w:tcPr>
                <w:p>
                  <w:pPr>
                    <w:pStyle w:val="37"/>
                  </w:pPr>
                  <w: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pPr>
                    <w:pStyle w:val="37"/>
                    <w:rPr>
                      <w:rFonts w:hint="eastAsia" w:eastAsia="宋体"/>
                      <w:lang w:val="en-US" w:eastAsia="zh-CN"/>
                    </w:rPr>
                  </w:pPr>
                  <w:r>
                    <w:rPr>
                      <w:rFonts w:hint="eastAsia"/>
                      <w:lang w:val="en-US" w:eastAsia="zh-CN"/>
                    </w:rPr>
                    <w:t>5</w:t>
                  </w:r>
                </w:p>
              </w:tc>
              <w:tc>
                <w:tcPr>
                  <w:tcW w:w="2160" w:type="pct"/>
                  <w:tcBorders>
                    <w:tl2br w:val="nil"/>
                    <w:tr2bl w:val="nil"/>
                  </w:tcBorders>
                  <w:vAlign w:val="center"/>
                </w:tcPr>
                <w:p>
                  <w:pPr>
                    <w:pStyle w:val="37"/>
                  </w:pPr>
                  <w:r>
                    <w:rPr>
                      <w:rFonts w:hint="eastAsia"/>
                    </w:rPr>
                    <w:t>车架冲压件</w:t>
                  </w:r>
                </w:p>
              </w:tc>
              <w:tc>
                <w:tcPr>
                  <w:tcW w:w="1168" w:type="pct"/>
                  <w:tcBorders>
                    <w:tl2br w:val="nil"/>
                    <w:tr2bl w:val="nil"/>
                  </w:tcBorders>
                  <w:vAlign w:val="center"/>
                </w:tcPr>
                <w:p>
                  <w:pPr>
                    <w:pStyle w:val="37"/>
                  </w:pPr>
                  <w:r>
                    <w:rPr>
                      <w:rFonts w:hint="eastAsia"/>
                    </w:rPr>
                    <w:t>420万件</w:t>
                  </w:r>
                </w:p>
              </w:tc>
              <w:tc>
                <w:tcPr>
                  <w:tcW w:w="1168" w:type="pct"/>
                  <w:tcBorders>
                    <w:tl2br w:val="nil"/>
                    <w:tr2bl w:val="nil"/>
                  </w:tcBorders>
                  <w:vAlign w:val="center"/>
                </w:tcPr>
                <w:p>
                  <w:pPr>
                    <w:pStyle w:val="37"/>
                  </w:pPr>
                  <w: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pPr>
                    <w:pStyle w:val="37"/>
                    <w:rPr>
                      <w:rFonts w:hint="eastAsia" w:eastAsia="宋体"/>
                      <w:lang w:val="en-US" w:eastAsia="zh-CN"/>
                    </w:rPr>
                  </w:pPr>
                  <w:r>
                    <w:rPr>
                      <w:rFonts w:hint="eastAsia"/>
                      <w:lang w:val="en-US" w:eastAsia="zh-CN"/>
                    </w:rPr>
                    <w:t>6</w:t>
                  </w:r>
                </w:p>
              </w:tc>
              <w:tc>
                <w:tcPr>
                  <w:tcW w:w="2160" w:type="pct"/>
                  <w:tcBorders>
                    <w:tl2br w:val="nil"/>
                    <w:tr2bl w:val="nil"/>
                  </w:tcBorders>
                  <w:vAlign w:val="center"/>
                </w:tcPr>
                <w:p>
                  <w:pPr>
                    <w:pStyle w:val="37"/>
                    <w:rPr>
                      <w:highlight w:val="none"/>
                    </w:rPr>
                  </w:pPr>
                  <w:r>
                    <w:rPr>
                      <w:rFonts w:hint="eastAsia"/>
                      <w:highlight w:val="none"/>
                    </w:rPr>
                    <w:t>柴油发动机</w:t>
                  </w:r>
                </w:p>
              </w:tc>
              <w:tc>
                <w:tcPr>
                  <w:tcW w:w="1168" w:type="pct"/>
                  <w:tcBorders>
                    <w:tl2br w:val="nil"/>
                    <w:tr2bl w:val="nil"/>
                  </w:tcBorders>
                  <w:vAlign w:val="center"/>
                </w:tcPr>
                <w:p>
                  <w:pPr>
                    <w:pStyle w:val="37"/>
                    <w:rPr>
                      <w:highlight w:val="none"/>
                    </w:rPr>
                  </w:pPr>
                  <w:r>
                    <w:rPr>
                      <w:rFonts w:hint="eastAsia"/>
                      <w:highlight w:val="none"/>
                    </w:rPr>
                    <w:t>28万台</w:t>
                  </w:r>
                </w:p>
              </w:tc>
              <w:tc>
                <w:tcPr>
                  <w:tcW w:w="1168" w:type="pct"/>
                  <w:tcBorders>
                    <w:tl2br w:val="nil"/>
                    <w:tr2bl w:val="nil"/>
                  </w:tcBorders>
                  <w:vAlign w:val="center"/>
                </w:tcPr>
                <w:p>
                  <w:pPr>
                    <w:pStyle w:val="37"/>
                  </w:pPr>
                  <w: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pPr>
                    <w:pStyle w:val="37"/>
                    <w:rPr>
                      <w:rFonts w:hint="eastAsia" w:eastAsia="宋体"/>
                      <w:lang w:val="en-US" w:eastAsia="zh-CN"/>
                    </w:rPr>
                  </w:pPr>
                  <w:r>
                    <w:rPr>
                      <w:rFonts w:hint="eastAsia"/>
                      <w:lang w:val="en-US" w:eastAsia="zh-CN"/>
                    </w:rPr>
                    <w:t>7</w:t>
                  </w:r>
                </w:p>
              </w:tc>
              <w:tc>
                <w:tcPr>
                  <w:tcW w:w="2160" w:type="pct"/>
                  <w:tcBorders>
                    <w:tl2br w:val="nil"/>
                    <w:tr2bl w:val="nil"/>
                  </w:tcBorders>
                  <w:vAlign w:val="center"/>
                </w:tcPr>
                <w:p>
                  <w:pPr>
                    <w:pStyle w:val="37"/>
                    <w:rPr>
                      <w:highlight w:val="none"/>
                    </w:rPr>
                  </w:pPr>
                  <w:r>
                    <w:rPr>
                      <w:rFonts w:hint="eastAsia"/>
                      <w:highlight w:val="none"/>
                    </w:rPr>
                    <w:t>发动机试制</w:t>
                  </w:r>
                </w:p>
              </w:tc>
              <w:tc>
                <w:tcPr>
                  <w:tcW w:w="1168" w:type="pct"/>
                  <w:tcBorders>
                    <w:tl2br w:val="nil"/>
                    <w:tr2bl w:val="nil"/>
                  </w:tcBorders>
                  <w:vAlign w:val="center"/>
                </w:tcPr>
                <w:p>
                  <w:pPr>
                    <w:pStyle w:val="37"/>
                    <w:rPr>
                      <w:highlight w:val="none"/>
                    </w:rPr>
                  </w:pPr>
                  <w:r>
                    <w:rPr>
                      <w:rFonts w:hint="eastAsia"/>
                      <w:highlight w:val="none"/>
                    </w:rPr>
                    <w:t>300台</w:t>
                  </w:r>
                </w:p>
              </w:tc>
              <w:tc>
                <w:tcPr>
                  <w:tcW w:w="1168" w:type="pct"/>
                  <w:tcBorders>
                    <w:tl2br w:val="nil"/>
                    <w:tr2bl w:val="nil"/>
                  </w:tcBorders>
                  <w:vAlign w:val="center"/>
                </w:tcPr>
                <w:p>
                  <w:pPr>
                    <w:pStyle w:val="37"/>
                  </w:pPr>
                  <w: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pPr>
                    <w:pStyle w:val="37"/>
                    <w:rPr>
                      <w:rFonts w:hint="eastAsia" w:eastAsia="宋体"/>
                      <w:lang w:val="en-US" w:eastAsia="zh-CN"/>
                    </w:rPr>
                  </w:pPr>
                  <w:r>
                    <w:rPr>
                      <w:rFonts w:hint="eastAsia"/>
                      <w:lang w:val="en-US" w:eastAsia="zh-CN"/>
                    </w:rPr>
                    <w:t>8</w:t>
                  </w:r>
                </w:p>
              </w:tc>
              <w:tc>
                <w:tcPr>
                  <w:tcW w:w="2160" w:type="pct"/>
                  <w:tcBorders>
                    <w:tl2br w:val="nil"/>
                    <w:tr2bl w:val="nil"/>
                  </w:tcBorders>
                  <w:vAlign w:val="center"/>
                </w:tcPr>
                <w:p>
                  <w:pPr>
                    <w:pStyle w:val="37"/>
                    <w:rPr>
                      <w:highlight w:val="none"/>
                    </w:rPr>
                  </w:pPr>
                  <w:r>
                    <w:rPr>
                      <w:rFonts w:hint="eastAsia"/>
                      <w:highlight w:val="none"/>
                    </w:rPr>
                    <w:t>发动机试验台架</w:t>
                  </w:r>
                </w:p>
              </w:tc>
              <w:tc>
                <w:tcPr>
                  <w:tcW w:w="1168" w:type="pct"/>
                  <w:tcBorders>
                    <w:tl2br w:val="nil"/>
                    <w:tr2bl w:val="nil"/>
                  </w:tcBorders>
                  <w:vAlign w:val="center"/>
                </w:tcPr>
                <w:p>
                  <w:pPr>
                    <w:pStyle w:val="37"/>
                    <w:rPr>
                      <w:highlight w:val="none"/>
                    </w:rPr>
                  </w:pPr>
                  <w:r>
                    <w:rPr>
                      <w:rFonts w:hint="eastAsia"/>
                      <w:highlight w:val="none"/>
                    </w:rPr>
                    <w:t>200台次</w:t>
                  </w:r>
                </w:p>
              </w:tc>
              <w:tc>
                <w:tcPr>
                  <w:tcW w:w="1168" w:type="pct"/>
                  <w:tcBorders>
                    <w:tl2br w:val="nil"/>
                    <w:tr2bl w:val="nil"/>
                  </w:tcBorders>
                  <w:vAlign w:val="center"/>
                </w:tcPr>
                <w:p>
                  <w:pPr>
                    <w:pStyle w:val="37"/>
                  </w:pPr>
                  <w: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pct"/>
                  <w:tcBorders>
                    <w:tl2br w:val="nil"/>
                    <w:tr2bl w:val="nil"/>
                  </w:tcBorders>
                  <w:vAlign w:val="center"/>
                </w:tcPr>
                <w:p>
                  <w:pPr>
                    <w:pStyle w:val="37"/>
                    <w:rPr>
                      <w:rFonts w:hint="eastAsia" w:eastAsia="宋体"/>
                      <w:lang w:val="en-US" w:eastAsia="zh-CN"/>
                    </w:rPr>
                  </w:pPr>
                  <w:r>
                    <w:rPr>
                      <w:rFonts w:hint="eastAsia"/>
                      <w:lang w:val="en-US" w:eastAsia="zh-CN"/>
                    </w:rPr>
                    <w:t>9</w:t>
                  </w:r>
                </w:p>
              </w:tc>
              <w:tc>
                <w:tcPr>
                  <w:tcW w:w="2160" w:type="pct"/>
                  <w:tcBorders>
                    <w:tl2br w:val="nil"/>
                    <w:tr2bl w:val="nil"/>
                  </w:tcBorders>
                  <w:vAlign w:val="center"/>
                </w:tcPr>
                <w:p>
                  <w:pPr>
                    <w:pStyle w:val="37"/>
                    <w:rPr>
                      <w:highlight w:val="none"/>
                    </w:rPr>
                  </w:pPr>
                  <w:r>
                    <w:rPr>
                      <w:rFonts w:hint="eastAsia"/>
                      <w:highlight w:val="none"/>
                    </w:rPr>
                    <w:t>环模排放实验</w:t>
                  </w:r>
                </w:p>
              </w:tc>
              <w:tc>
                <w:tcPr>
                  <w:tcW w:w="1168" w:type="pct"/>
                  <w:tcBorders>
                    <w:tl2br w:val="nil"/>
                    <w:tr2bl w:val="nil"/>
                  </w:tcBorders>
                  <w:vAlign w:val="center"/>
                </w:tcPr>
                <w:p>
                  <w:pPr>
                    <w:pStyle w:val="37"/>
                    <w:rPr>
                      <w:highlight w:val="none"/>
                    </w:rPr>
                  </w:pPr>
                  <w:r>
                    <w:rPr>
                      <w:rFonts w:hint="eastAsia"/>
                      <w:highlight w:val="none"/>
                    </w:rPr>
                    <w:t>3500次</w:t>
                  </w:r>
                </w:p>
              </w:tc>
              <w:tc>
                <w:tcPr>
                  <w:tcW w:w="1168" w:type="pct"/>
                  <w:tcBorders>
                    <w:tl2br w:val="nil"/>
                    <w:tr2bl w:val="nil"/>
                  </w:tcBorders>
                  <w:vAlign w:val="center"/>
                </w:tcPr>
                <w:p>
                  <w:pPr>
                    <w:pStyle w:val="37"/>
                  </w:pPr>
                  <w:r>
                    <w:t>正常生产</w:t>
                  </w:r>
                </w:p>
              </w:tc>
            </w:tr>
          </w:tbl>
          <w:p>
            <w:pPr>
              <w:ind w:firstLine="482"/>
              <w:rPr>
                <w:b/>
                <w:bCs/>
                <w:color w:val="000000"/>
              </w:rPr>
            </w:pPr>
            <w:r>
              <w:rPr>
                <w:rFonts w:hint="eastAsia"/>
                <w:b/>
                <w:bCs/>
                <w:color w:val="000000"/>
              </w:rPr>
              <w:t>2、现有项目建设内容</w:t>
            </w:r>
          </w:p>
          <w:p>
            <w:pPr>
              <w:pStyle w:val="38"/>
            </w:pPr>
            <w:r>
              <w:rPr>
                <w:rFonts w:hint="eastAsia"/>
              </w:rPr>
              <w:t>表2-10  现有项目建设内容一览表</w:t>
            </w:r>
          </w:p>
          <w:tbl>
            <w:tblPr>
              <w:tblStyle w:val="27"/>
              <w:tblW w:w="5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598"/>
              <w:gridCol w:w="1546"/>
              <w:gridCol w:w="5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669" w:type="pct"/>
                  <w:gridSpan w:val="3"/>
                  <w:tcBorders>
                    <w:tl2br w:val="nil"/>
                    <w:tr2bl w:val="nil"/>
                  </w:tcBorders>
                  <w:vAlign w:val="center"/>
                </w:tcPr>
                <w:p>
                  <w:pPr>
                    <w:pStyle w:val="37"/>
                    <w:rPr>
                      <w:b/>
                      <w:bCs/>
                    </w:rPr>
                  </w:pPr>
                  <w:r>
                    <w:rPr>
                      <w:b/>
                      <w:bCs/>
                    </w:rPr>
                    <w:t>组成部分</w:t>
                  </w:r>
                </w:p>
              </w:tc>
              <w:tc>
                <w:tcPr>
                  <w:tcW w:w="3330" w:type="pct"/>
                  <w:tcBorders>
                    <w:tl2br w:val="nil"/>
                    <w:tr2bl w:val="nil"/>
                  </w:tcBorders>
                  <w:vAlign w:val="center"/>
                </w:tcPr>
                <w:p>
                  <w:pPr>
                    <w:pStyle w:val="37"/>
                    <w:rPr>
                      <w:b/>
                      <w:bCs/>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restart"/>
                  <w:tcBorders>
                    <w:tl2br w:val="nil"/>
                    <w:tr2bl w:val="nil"/>
                  </w:tcBorders>
                  <w:vAlign w:val="center"/>
                </w:tcPr>
                <w:p>
                  <w:pPr>
                    <w:pStyle w:val="37"/>
                  </w:pPr>
                  <w:r>
                    <w:t>主体工程</w:t>
                  </w:r>
                </w:p>
              </w:tc>
              <w:tc>
                <w:tcPr>
                  <w:tcW w:w="1304" w:type="pct"/>
                  <w:gridSpan w:val="2"/>
                  <w:tcBorders>
                    <w:tl2br w:val="nil"/>
                    <w:tr2bl w:val="nil"/>
                  </w:tcBorders>
                  <w:vAlign w:val="center"/>
                </w:tcPr>
                <w:p>
                  <w:pPr>
                    <w:pStyle w:val="37"/>
                    <w:ind w:firstLine="0" w:firstLineChars="0"/>
                    <w:rPr>
                      <w:rFonts w:ascii="Times New Roman" w:hAnsi="Times New Roman" w:eastAsia="宋体" w:cs="Times New Roman"/>
                      <w:color w:val="000000" w:themeColor="text1"/>
                      <w:kern w:val="0"/>
                      <w:sz w:val="18"/>
                      <w:szCs w:val="20"/>
                      <w:lang w:val="en-US" w:eastAsia="zh-CN" w:bidi="ar-SA"/>
                    </w:rPr>
                  </w:pPr>
                  <w:r>
                    <w:rPr>
                      <w:color w:val="000000" w:themeColor="text1"/>
                    </w:rPr>
                    <w:t>车架联合厂房焊装车间</w:t>
                  </w:r>
                </w:p>
              </w:tc>
              <w:tc>
                <w:tcPr>
                  <w:tcW w:w="3330" w:type="pct"/>
                  <w:tcBorders>
                    <w:tl2br w:val="nil"/>
                    <w:tr2bl w:val="nil"/>
                  </w:tcBorders>
                  <w:vAlign w:val="center"/>
                </w:tcPr>
                <w:p>
                  <w:pPr>
                    <w:pStyle w:val="37"/>
                    <w:ind w:firstLine="0" w:firstLineChars="0"/>
                    <w:jc w:val="left"/>
                    <w:rPr>
                      <w:rFonts w:ascii="Times New Roman" w:hAnsi="Times New Roman" w:eastAsia="宋体" w:cs="Times New Roman"/>
                      <w:kern w:val="0"/>
                      <w:sz w:val="18"/>
                      <w:szCs w:val="20"/>
                      <w:lang w:val="en-US" w:eastAsia="zh-CN" w:bidi="ar-SA"/>
                    </w:rPr>
                  </w:pPr>
                  <w:r>
                    <w:t>占地面积11000m</w:t>
                  </w:r>
                  <w:r>
                    <w:rPr>
                      <w:vertAlign w:val="superscript"/>
                    </w:rPr>
                    <w:t>2</w:t>
                  </w:r>
                  <w:r>
                    <w:rPr>
                      <w:rFonts w:hint="eastAsia"/>
                    </w:rPr>
                    <w:t>，</w:t>
                  </w:r>
                  <w:r>
                    <w:t>车间厂房及焊接生产线</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ind w:firstLine="0" w:firstLineChars="0"/>
                    <w:rPr>
                      <w:rFonts w:ascii="Times New Roman" w:hAnsi="Times New Roman" w:eastAsia="宋体" w:cs="Times New Roman"/>
                      <w:color w:val="000000" w:themeColor="text1"/>
                      <w:kern w:val="0"/>
                      <w:sz w:val="18"/>
                      <w:szCs w:val="20"/>
                      <w:lang w:val="en-US" w:eastAsia="zh-CN" w:bidi="ar-SA"/>
                    </w:rPr>
                  </w:pPr>
                  <w:r>
                    <w:rPr>
                      <w:color w:val="000000" w:themeColor="text1"/>
                    </w:rPr>
                    <w:t>车架联合厂房电泳车间</w:t>
                  </w:r>
                </w:p>
              </w:tc>
              <w:tc>
                <w:tcPr>
                  <w:tcW w:w="3330" w:type="pct"/>
                  <w:tcBorders>
                    <w:tl2br w:val="nil"/>
                    <w:tr2bl w:val="nil"/>
                  </w:tcBorders>
                  <w:vAlign w:val="center"/>
                </w:tcPr>
                <w:p>
                  <w:pPr>
                    <w:pStyle w:val="37"/>
                    <w:ind w:firstLine="0" w:firstLineChars="0"/>
                    <w:jc w:val="left"/>
                    <w:rPr>
                      <w:rFonts w:ascii="Times New Roman" w:hAnsi="Times New Roman" w:eastAsia="宋体" w:cs="Times New Roman"/>
                      <w:kern w:val="0"/>
                      <w:sz w:val="18"/>
                      <w:szCs w:val="20"/>
                      <w:lang w:val="en-US" w:eastAsia="zh-CN" w:bidi="ar-SA"/>
                    </w:rPr>
                  </w:pPr>
                  <w:r>
                    <w:t>占地面积8000m</w:t>
                  </w:r>
                  <w:r>
                    <w:rPr>
                      <w:vertAlign w:val="superscript"/>
                    </w:rPr>
                    <w:t>2</w:t>
                  </w:r>
                  <w:r>
                    <w:rPr>
                      <w:rFonts w:hint="eastAsia"/>
                    </w:rPr>
                    <w:t>，</w:t>
                  </w:r>
                  <w:r>
                    <w:t>车间厂房及涂装生产线</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restart"/>
                  <w:tcBorders>
                    <w:tl2br w:val="nil"/>
                    <w:tr2bl w:val="nil"/>
                  </w:tcBorders>
                  <w:vAlign w:val="center"/>
                </w:tcPr>
                <w:p>
                  <w:pPr>
                    <w:pStyle w:val="37"/>
                  </w:pPr>
                  <w:r>
                    <w:t>焊装车间</w:t>
                  </w:r>
                </w:p>
              </w:tc>
              <w:tc>
                <w:tcPr>
                  <w:tcW w:w="939" w:type="pct"/>
                  <w:tcBorders>
                    <w:tl2br w:val="nil"/>
                    <w:tr2bl w:val="nil"/>
                  </w:tcBorders>
                  <w:vAlign w:val="center"/>
                </w:tcPr>
                <w:p>
                  <w:pPr>
                    <w:pStyle w:val="37"/>
                  </w:pPr>
                  <w:r>
                    <w:t>车架厂房1</w:t>
                  </w:r>
                </w:p>
              </w:tc>
              <w:tc>
                <w:tcPr>
                  <w:tcW w:w="3330" w:type="pct"/>
                  <w:tcBorders>
                    <w:tl2br w:val="nil"/>
                    <w:tr2bl w:val="nil"/>
                  </w:tcBorders>
                  <w:vAlign w:val="center"/>
                </w:tcPr>
                <w:p>
                  <w:pPr>
                    <w:pStyle w:val="37"/>
                    <w:jc w:val="left"/>
                  </w:pPr>
                  <w:r>
                    <w:t>占地面积4896m</w:t>
                  </w:r>
                  <w:r>
                    <w:rPr>
                      <w:vertAlign w:val="superscript"/>
                    </w:rPr>
                    <w:t>2</w:t>
                  </w:r>
                  <w:r>
                    <w:t>，建筑面积4896m</w:t>
                  </w:r>
                  <w:r>
                    <w:rPr>
                      <w:vertAlign w:val="superscript"/>
                    </w:rPr>
                    <w:t>2</w:t>
                  </w:r>
                  <w:r>
                    <w:t>，1F；前悬焊接车间</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车架厂房2</w:t>
                  </w:r>
                </w:p>
              </w:tc>
              <w:tc>
                <w:tcPr>
                  <w:tcW w:w="3330" w:type="pct"/>
                  <w:tcBorders>
                    <w:tl2br w:val="nil"/>
                    <w:tr2bl w:val="nil"/>
                  </w:tcBorders>
                  <w:vAlign w:val="center"/>
                </w:tcPr>
                <w:p>
                  <w:pPr>
                    <w:pStyle w:val="37"/>
                    <w:jc w:val="left"/>
                  </w:pPr>
                  <w:r>
                    <w:t>占地面积4896m</w:t>
                  </w:r>
                  <w:r>
                    <w:rPr>
                      <w:vertAlign w:val="superscript"/>
                    </w:rPr>
                    <w:t>2</w:t>
                  </w:r>
                  <w:r>
                    <w:t>，建筑面积4896m</w:t>
                  </w:r>
                  <w:r>
                    <w:rPr>
                      <w:vertAlign w:val="superscript"/>
                    </w:rPr>
                    <w:t>2</w:t>
                  </w:r>
                  <w:r>
                    <w:t>，1F；底架焊接车间</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辅房</w:t>
                  </w:r>
                </w:p>
              </w:tc>
              <w:tc>
                <w:tcPr>
                  <w:tcW w:w="3330" w:type="pct"/>
                  <w:tcBorders>
                    <w:tl2br w:val="nil"/>
                    <w:tr2bl w:val="nil"/>
                  </w:tcBorders>
                  <w:vAlign w:val="center"/>
                </w:tcPr>
                <w:p>
                  <w:pPr>
                    <w:pStyle w:val="37"/>
                    <w:jc w:val="left"/>
                  </w:pPr>
                  <w:r>
                    <w:t>占地面积1224m</w:t>
                  </w:r>
                  <w:r>
                    <w:rPr>
                      <w:vertAlign w:val="superscript"/>
                    </w:rPr>
                    <w:t>2</w:t>
                  </w:r>
                  <w:r>
                    <w:t>，建筑面积2448m</w:t>
                  </w:r>
                  <w:r>
                    <w:rPr>
                      <w:vertAlign w:val="superscript"/>
                    </w:rPr>
                    <w:t>2</w:t>
                  </w:r>
                  <w:r>
                    <w:t>，2F；辅房及办公区</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restart"/>
                  <w:tcBorders>
                    <w:tl2br w:val="nil"/>
                    <w:tr2bl w:val="nil"/>
                  </w:tcBorders>
                  <w:vAlign w:val="center"/>
                </w:tcPr>
                <w:p>
                  <w:pPr>
                    <w:pStyle w:val="37"/>
                  </w:pPr>
                  <w:r>
                    <w:t>冲压一车间</w:t>
                  </w:r>
                </w:p>
              </w:tc>
              <w:tc>
                <w:tcPr>
                  <w:tcW w:w="939" w:type="pct"/>
                  <w:tcBorders>
                    <w:tl2br w:val="nil"/>
                    <w:tr2bl w:val="nil"/>
                  </w:tcBorders>
                  <w:vAlign w:val="center"/>
                </w:tcPr>
                <w:p>
                  <w:pPr>
                    <w:pStyle w:val="37"/>
                  </w:pPr>
                  <w:r>
                    <w:t>A2/A3/C2/C3</w:t>
                  </w:r>
                </w:p>
              </w:tc>
              <w:tc>
                <w:tcPr>
                  <w:tcW w:w="3330" w:type="pct"/>
                  <w:tcBorders>
                    <w:tl2br w:val="nil"/>
                    <w:tr2bl w:val="nil"/>
                  </w:tcBorders>
                  <w:vAlign w:val="center"/>
                </w:tcPr>
                <w:p>
                  <w:pPr>
                    <w:pStyle w:val="37"/>
                    <w:jc w:val="left"/>
                  </w:pPr>
                  <w:r>
                    <w:t>冲压生产区域；占地面积19152m</w:t>
                  </w:r>
                  <w:r>
                    <w:rPr>
                      <w:vertAlign w:val="superscript"/>
                    </w:rPr>
                    <w:t>2</w:t>
                  </w:r>
                  <w:r>
                    <w:t>，建筑面积19152m</w:t>
                  </w:r>
                  <w:r>
                    <w:rPr>
                      <w:vertAlign w:val="superscript"/>
                    </w:rPr>
                    <w:t>2</w:t>
                  </w:r>
                  <w:r>
                    <w:t>，1F</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车身仓库</w:t>
                  </w:r>
                </w:p>
              </w:tc>
              <w:tc>
                <w:tcPr>
                  <w:tcW w:w="3330" w:type="pct"/>
                  <w:tcBorders>
                    <w:tl2br w:val="nil"/>
                    <w:tr2bl w:val="nil"/>
                  </w:tcBorders>
                  <w:vAlign w:val="center"/>
                </w:tcPr>
                <w:p>
                  <w:pPr>
                    <w:pStyle w:val="37"/>
                    <w:jc w:val="left"/>
                  </w:pPr>
                  <w:r>
                    <w:t>占地面积21816m</w:t>
                  </w:r>
                  <w:r>
                    <w:rPr>
                      <w:vertAlign w:val="superscript"/>
                    </w:rPr>
                    <w:t>2</w:t>
                  </w:r>
                  <w:r>
                    <w:t>，建筑面积21816m</w:t>
                  </w:r>
                  <w:r>
                    <w:rPr>
                      <w:vertAlign w:val="superscript"/>
                    </w:rPr>
                    <w:t>2</w:t>
                  </w:r>
                  <w:r>
                    <w:t>，1F；仓库</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冲压一车间辅房</w:t>
                  </w:r>
                </w:p>
              </w:tc>
              <w:tc>
                <w:tcPr>
                  <w:tcW w:w="3330" w:type="pct"/>
                  <w:tcBorders>
                    <w:tl2br w:val="nil"/>
                    <w:tr2bl w:val="nil"/>
                  </w:tcBorders>
                  <w:vAlign w:val="center"/>
                </w:tcPr>
                <w:p>
                  <w:pPr>
                    <w:pStyle w:val="37"/>
                    <w:jc w:val="left"/>
                  </w:pPr>
                  <w:r>
                    <w:t>占地面积1814.4m</w:t>
                  </w:r>
                  <w:r>
                    <w:rPr>
                      <w:vertAlign w:val="superscript"/>
                    </w:rPr>
                    <w:t>2</w:t>
                  </w:r>
                  <w:r>
                    <w:t>，建筑面积1814.4m</w:t>
                  </w:r>
                  <w:r>
                    <w:rPr>
                      <w:vertAlign w:val="superscript"/>
                    </w:rPr>
                    <w:t>2</w:t>
                  </w:r>
                  <w:r>
                    <w:t>，1F；辅房</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restart"/>
                  <w:tcBorders>
                    <w:tl2br w:val="nil"/>
                    <w:tr2bl w:val="nil"/>
                  </w:tcBorders>
                  <w:vAlign w:val="center"/>
                </w:tcPr>
                <w:p>
                  <w:pPr>
                    <w:pStyle w:val="37"/>
                  </w:pPr>
                  <w:r>
                    <w:t>冲压二车间</w:t>
                  </w:r>
                </w:p>
              </w:tc>
              <w:tc>
                <w:tcPr>
                  <w:tcW w:w="939" w:type="pct"/>
                  <w:tcBorders>
                    <w:tl2br w:val="nil"/>
                    <w:tr2bl w:val="nil"/>
                  </w:tcBorders>
                  <w:vAlign w:val="center"/>
                </w:tcPr>
                <w:p>
                  <w:pPr>
                    <w:pStyle w:val="37"/>
                  </w:pPr>
                  <w:r>
                    <w:t>B2/B3</w:t>
                  </w:r>
                </w:p>
              </w:tc>
              <w:tc>
                <w:tcPr>
                  <w:tcW w:w="3330" w:type="pct"/>
                  <w:tcBorders>
                    <w:tl2br w:val="nil"/>
                    <w:tr2bl w:val="nil"/>
                  </w:tcBorders>
                  <w:vAlign w:val="center"/>
                </w:tcPr>
                <w:p>
                  <w:pPr>
                    <w:pStyle w:val="37"/>
                    <w:jc w:val="left"/>
                  </w:pPr>
                  <w:r>
                    <w:t>冲压生产区域；占地面积7290m</w:t>
                  </w:r>
                  <w:r>
                    <w:rPr>
                      <w:vertAlign w:val="superscript"/>
                    </w:rPr>
                    <w:t>2</w:t>
                  </w:r>
                  <w:r>
                    <w:t>，建筑面积7290m</w:t>
                  </w:r>
                  <w:r>
                    <w:rPr>
                      <w:vertAlign w:val="superscript"/>
                    </w:rPr>
                    <w:t>2</w:t>
                  </w:r>
                  <w:r>
                    <w:t>，1F</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车架冲压仓库1</w:t>
                  </w:r>
                </w:p>
              </w:tc>
              <w:tc>
                <w:tcPr>
                  <w:tcW w:w="3330" w:type="pct"/>
                  <w:tcBorders>
                    <w:tl2br w:val="nil"/>
                    <w:tr2bl w:val="nil"/>
                  </w:tcBorders>
                  <w:vAlign w:val="center"/>
                </w:tcPr>
                <w:p>
                  <w:pPr>
                    <w:pStyle w:val="37"/>
                    <w:jc w:val="left"/>
                  </w:pPr>
                  <w:r>
                    <w:t>占地面积8352m</w:t>
                  </w:r>
                  <w:r>
                    <w:rPr>
                      <w:vertAlign w:val="superscript"/>
                    </w:rPr>
                    <w:t>2</w:t>
                  </w:r>
                  <w:r>
                    <w:t>，建筑面积8352m</w:t>
                  </w:r>
                  <w:r>
                    <w:rPr>
                      <w:vertAlign w:val="superscript"/>
                    </w:rPr>
                    <w:t>2</w:t>
                  </w:r>
                  <w:r>
                    <w:t>，1F；仓库</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restart"/>
                  <w:tcBorders>
                    <w:tl2br w:val="nil"/>
                    <w:tr2bl w:val="nil"/>
                  </w:tcBorders>
                  <w:vAlign w:val="center"/>
                </w:tcPr>
                <w:p>
                  <w:pPr>
                    <w:pStyle w:val="37"/>
                  </w:pPr>
                  <w:r>
                    <w:t>冲压三车间</w:t>
                  </w:r>
                </w:p>
              </w:tc>
              <w:tc>
                <w:tcPr>
                  <w:tcW w:w="939" w:type="pct"/>
                  <w:tcBorders>
                    <w:tl2br w:val="nil"/>
                    <w:tr2bl w:val="nil"/>
                  </w:tcBorders>
                  <w:vAlign w:val="center"/>
                </w:tcPr>
                <w:p>
                  <w:pPr>
                    <w:pStyle w:val="37"/>
                  </w:pPr>
                  <w:r>
                    <w:t>H1/H2</w:t>
                  </w:r>
                </w:p>
              </w:tc>
              <w:tc>
                <w:tcPr>
                  <w:tcW w:w="3330" w:type="pct"/>
                  <w:tcBorders>
                    <w:tl2br w:val="nil"/>
                    <w:tr2bl w:val="nil"/>
                  </w:tcBorders>
                  <w:vAlign w:val="center"/>
                </w:tcPr>
                <w:p>
                  <w:pPr>
                    <w:pStyle w:val="37"/>
                    <w:jc w:val="left"/>
                  </w:pPr>
                  <w:r>
                    <w:t>冲压生产区域；占地面积4752m</w:t>
                  </w:r>
                  <w:r>
                    <w:rPr>
                      <w:vertAlign w:val="superscript"/>
                    </w:rPr>
                    <w:t>2</w:t>
                  </w:r>
                  <w:r>
                    <w:t>，建筑面积4752m</w:t>
                  </w:r>
                  <w:r>
                    <w:rPr>
                      <w:vertAlign w:val="superscript"/>
                    </w:rPr>
                    <w:t>2</w:t>
                  </w:r>
                  <w:r>
                    <w:t>，1F</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车架冲压仓库2</w:t>
                  </w:r>
                </w:p>
              </w:tc>
              <w:tc>
                <w:tcPr>
                  <w:tcW w:w="3330" w:type="pct"/>
                  <w:tcBorders>
                    <w:tl2br w:val="nil"/>
                    <w:tr2bl w:val="nil"/>
                  </w:tcBorders>
                  <w:vAlign w:val="center"/>
                </w:tcPr>
                <w:p>
                  <w:pPr>
                    <w:pStyle w:val="37"/>
                    <w:jc w:val="left"/>
                  </w:pPr>
                  <w:r>
                    <w:t>占地面积1920m</w:t>
                  </w:r>
                  <w:r>
                    <w:rPr>
                      <w:vertAlign w:val="superscript"/>
                    </w:rPr>
                    <w:t>2</w:t>
                  </w:r>
                  <w:r>
                    <w:t>，建筑面积1920m</w:t>
                  </w:r>
                  <w:r>
                    <w:rPr>
                      <w:vertAlign w:val="superscript"/>
                    </w:rPr>
                    <w:t>2</w:t>
                  </w:r>
                  <w:r>
                    <w:t>，1F；仓库</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600亩冲压三车间辅房</w:t>
                  </w:r>
                </w:p>
              </w:tc>
              <w:tc>
                <w:tcPr>
                  <w:tcW w:w="3330" w:type="pct"/>
                  <w:tcBorders>
                    <w:tl2br w:val="nil"/>
                    <w:tr2bl w:val="nil"/>
                  </w:tcBorders>
                  <w:vAlign w:val="center"/>
                </w:tcPr>
                <w:p>
                  <w:pPr>
                    <w:pStyle w:val="37"/>
                    <w:jc w:val="left"/>
                  </w:pPr>
                  <w:r>
                    <w:t>占地面积436.5m</w:t>
                  </w:r>
                  <w:r>
                    <w:rPr>
                      <w:vertAlign w:val="superscript"/>
                    </w:rPr>
                    <w:t>2</w:t>
                  </w:r>
                  <w:r>
                    <w:t>，建筑面积520.65m</w:t>
                  </w:r>
                  <w:r>
                    <w:rPr>
                      <w:vertAlign w:val="superscript"/>
                    </w:rPr>
                    <w:t>2</w:t>
                  </w:r>
                  <w:r>
                    <w:t>，2F（局部二层）；辅房</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restart"/>
                  <w:tcBorders>
                    <w:tl2br w:val="nil"/>
                    <w:tr2bl w:val="nil"/>
                  </w:tcBorders>
                  <w:vAlign w:val="center"/>
                </w:tcPr>
                <w:p>
                  <w:pPr>
                    <w:pStyle w:val="37"/>
                  </w:pPr>
                  <w:r>
                    <w:t>辅助工程</w:t>
                  </w:r>
                </w:p>
              </w:tc>
              <w:tc>
                <w:tcPr>
                  <w:tcW w:w="1304" w:type="pct"/>
                  <w:gridSpan w:val="2"/>
                  <w:tcBorders>
                    <w:tl2br w:val="nil"/>
                    <w:tr2bl w:val="nil"/>
                  </w:tcBorders>
                  <w:vAlign w:val="center"/>
                </w:tcPr>
                <w:p>
                  <w:pPr>
                    <w:pStyle w:val="37"/>
                    <w:rPr>
                      <w:color w:val="000000" w:themeColor="text1"/>
                    </w:rPr>
                  </w:pPr>
                  <w:r>
                    <w:rPr>
                      <w:color w:val="000000" w:themeColor="text1"/>
                    </w:rPr>
                    <w:t>动力站房</w:t>
                  </w:r>
                </w:p>
              </w:tc>
              <w:tc>
                <w:tcPr>
                  <w:tcW w:w="3330" w:type="pct"/>
                  <w:tcBorders>
                    <w:tl2br w:val="nil"/>
                    <w:tr2bl w:val="nil"/>
                  </w:tcBorders>
                  <w:vAlign w:val="center"/>
                </w:tcPr>
                <w:p>
                  <w:pPr>
                    <w:pStyle w:val="37"/>
                    <w:jc w:val="left"/>
                  </w:pPr>
                  <w:r>
                    <w:t>占地面积1278m</w:t>
                  </w:r>
                  <w:r>
                    <w:rPr>
                      <w:vertAlign w:val="superscript"/>
                    </w:rPr>
                    <w:t>2</w:t>
                  </w:r>
                  <w:r>
                    <w:rPr>
                      <w:rFonts w:hint="eastAsia"/>
                    </w:rPr>
                    <w:t>，</w:t>
                  </w:r>
                  <w:r>
                    <w:t>空压站、调压站、气化站、锅炉房</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rPr>
                      <w:color w:val="000000" w:themeColor="text1"/>
                    </w:rPr>
                  </w:pPr>
                  <w:r>
                    <w:rPr>
                      <w:color w:val="000000" w:themeColor="text1"/>
                    </w:rPr>
                    <w:t>门卫室</w:t>
                  </w:r>
                </w:p>
              </w:tc>
              <w:tc>
                <w:tcPr>
                  <w:tcW w:w="3330" w:type="pct"/>
                  <w:tcBorders>
                    <w:tl2br w:val="nil"/>
                    <w:tr2bl w:val="nil"/>
                  </w:tcBorders>
                  <w:vAlign w:val="center"/>
                </w:tcPr>
                <w:p>
                  <w:pPr>
                    <w:pStyle w:val="37"/>
                    <w:jc w:val="left"/>
                  </w:pPr>
                  <w:r>
                    <w:t>8个均为1层</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rPr>
                      <w:color w:val="000000" w:themeColor="text1"/>
                    </w:rPr>
                  </w:pPr>
                  <w:r>
                    <w:rPr>
                      <w:color w:val="000000" w:themeColor="text1"/>
                    </w:rPr>
                    <w:t>就餐中心</w:t>
                  </w:r>
                </w:p>
              </w:tc>
              <w:tc>
                <w:tcPr>
                  <w:tcW w:w="3330" w:type="pct"/>
                  <w:tcBorders>
                    <w:tl2br w:val="nil"/>
                    <w:tr2bl w:val="nil"/>
                  </w:tcBorders>
                  <w:vAlign w:val="center"/>
                </w:tcPr>
                <w:p>
                  <w:pPr>
                    <w:pStyle w:val="37"/>
                    <w:jc w:val="left"/>
                  </w:pPr>
                  <w:r>
                    <w:t>建筑面积560m</w:t>
                  </w:r>
                  <w:r>
                    <w:rPr>
                      <w:vertAlign w:val="superscript"/>
                    </w:rPr>
                    <w:t>2</w:t>
                  </w:r>
                  <w:r>
                    <w:t>，位于冲压二车间东南角</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rPr>
                      <w:color w:val="000000" w:themeColor="text1"/>
                    </w:rPr>
                  </w:pPr>
                  <w:r>
                    <w:rPr>
                      <w:color w:val="000000" w:themeColor="text1"/>
                    </w:rPr>
                    <w:t>销售培训中心</w:t>
                  </w:r>
                </w:p>
              </w:tc>
              <w:tc>
                <w:tcPr>
                  <w:tcW w:w="3330" w:type="pct"/>
                  <w:tcBorders>
                    <w:tl2br w:val="nil"/>
                    <w:tr2bl w:val="nil"/>
                  </w:tcBorders>
                  <w:vAlign w:val="center"/>
                </w:tcPr>
                <w:p>
                  <w:pPr>
                    <w:pStyle w:val="37"/>
                    <w:jc w:val="left"/>
                  </w:pPr>
                  <w:r>
                    <w:t>建筑总面积约3000㎡，设钣金维修，机修，发动机试验间，电气试验间，底盘试验间，四轮定位，培训教室等</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tcBorders>
                    <w:tl2br w:val="nil"/>
                    <w:tr2bl w:val="nil"/>
                  </w:tcBorders>
                  <w:vAlign w:val="center"/>
                </w:tcPr>
                <w:p>
                  <w:pPr>
                    <w:pStyle w:val="37"/>
                  </w:pPr>
                  <w:r>
                    <w:t>储运工程</w:t>
                  </w:r>
                </w:p>
              </w:tc>
              <w:tc>
                <w:tcPr>
                  <w:tcW w:w="1304" w:type="pct"/>
                  <w:gridSpan w:val="2"/>
                  <w:tcBorders>
                    <w:tl2br w:val="nil"/>
                    <w:tr2bl w:val="nil"/>
                  </w:tcBorders>
                  <w:vAlign w:val="center"/>
                </w:tcPr>
                <w:p>
                  <w:pPr>
                    <w:pStyle w:val="37"/>
                    <w:rPr>
                      <w:color w:val="000000" w:themeColor="text1"/>
                    </w:rPr>
                  </w:pPr>
                  <w:r>
                    <w:rPr>
                      <w:color w:val="000000" w:themeColor="text1"/>
                    </w:rPr>
                    <w:t>化学品储区</w:t>
                  </w:r>
                </w:p>
              </w:tc>
              <w:tc>
                <w:tcPr>
                  <w:tcW w:w="3330" w:type="pct"/>
                  <w:tcBorders>
                    <w:tl2br w:val="nil"/>
                    <w:tr2bl w:val="nil"/>
                  </w:tcBorders>
                  <w:vAlign w:val="center"/>
                </w:tcPr>
                <w:p>
                  <w:pPr>
                    <w:pStyle w:val="37"/>
                    <w:jc w:val="left"/>
                  </w:pPr>
                  <w:r>
                    <w:t>在车架联合厂房电泳车间内设置一个化学品储区</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restart"/>
                  <w:tcBorders>
                    <w:tl2br w:val="nil"/>
                    <w:tr2bl w:val="nil"/>
                  </w:tcBorders>
                  <w:vAlign w:val="center"/>
                </w:tcPr>
                <w:p>
                  <w:pPr>
                    <w:pStyle w:val="37"/>
                  </w:pPr>
                  <w:r>
                    <w:t>环保工程</w:t>
                  </w:r>
                </w:p>
              </w:tc>
              <w:tc>
                <w:tcPr>
                  <w:tcW w:w="364" w:type="pct"/>
                  <w:vMerge w:val="restart"/>
                  <w:tcBorders>
                    <w:tl2br w:val="nil"/>
                    <w:tr2bl w:val="nil"/>
                  </w:tcBorders>
                  <w:vAlign w:val="center"/>
                </w:tcPr>
                <w:p>
                  <w:pPr>
                    <w:pStyle w:val="37"/>
                  </w:pPr>
                  <w:r>
                    <w:rPr>
                      <w:rFonts w:hint="eastAsia"/>
                    </w:rPr>
                    <w:t>废气</w:t>
                  </w:r>
                </w:p>
              </w:tc>
              <w:tc>
                <w:tcPr>
                  <w:tcW w:w="939" w:type="pct"/>
                  <w:tcBorders>
                    <w:tl2br w:val="nil"/>
                    <w:tr2bl w:val="nil"/>
                  </w:tcBorders>
                  <w:vAlign w:val="center"/>
                </w:tcPr>
                <w:p>
                  <w:pPr>
                    <w:pStyle w:val="37"/>
                    <w:ind w:firstLine="0" w:firstLineChars="0"/>
                    <w:rPr>
                      <w:rFonts w:ascii="Times New Roman" w:hAnsi="Times New Roman" w:eastAsia="宋体" w:cs="Times New Roman"/>
                      <w:kern w:val="0"/>
                      <w:sz w:val="18"/>
                      <w:szCs w:val="20"/>
                      <w:highlight w:val="none"/>
                      <w:lang w:val="en-US" w:eastAsia="zh-CN" w:bidi="ar-SA"/>
                    </w:rPr>
                  </w:pPr>
                  <w:r>
                    <w:rPr>
                      <w:highlight w:val="none"/>
                    </w:rPr>
                    <w:t>电泳废气</w:t>
                  </w:r>
                </w:p>
              </w:tc>
              <w:tc>
                <w:tcPr>
                  <w:tcW w:w="3330" w:type="pct"/>
                  <w:tcBorders>
                    <w:tl2br w:val="nil"/>
                    <w:tr2bl w:val="nil"/>
                  </w:tcBorders>
                  <w:vAlign w:val="center"/>
                </w:tcPr>
                <w:p>
                  <w:pPr>
                    <w:pStyle w:val="37"/>
                    <w:ind w:firstLine="0" w:firstLineChars="0"/>
                    <w:jc w:val="left"/>
                    <w:rPr>
                      <w:rFonts w:ascii="Times New Roman" w:hAnsi="Times New Roman" w:eastAsia="宋体" w:cs="Times New Roman"/>
                      <w:kern w:val="0"/>
                      <w:sz w:val="18"/>
                      <w:szCs w:val="20"/>
                      <w:highlight w:val="none"/>
                      <w:lang w:val="en-US" w:eastAsia="zh-CN" w:bidi="ar-SA"/>
                    </w:rPr>
                  </w:pPr>
                  <w:r>
                    <w:rPr>
                      <w:highlight w:val="none"/>
                    </w:rPr>
                    <w:t>集气罩+1根20m排气筒</w:t>
                  </w:r>
                  <w:r>
                    <w:rPr>
                      <w:rFonts w:hint="eastAsia"/>
                      <w:highlight w:val="none"/>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烘干废气</w:t>
                  </w:r>
                </w:p>
              </w:tc>
              <w:tc>
                <w:tcPr>
                  <w:tcW w:w="3330" w:type="pct"/>
                  <w:tcBorders>
                    <w:tl2br w:val="nil"/>
                    <w:tr2bl w:val="nil"/>
                  </w:tcBorders>
                  <w:vAlign w:val="center"/>
                </w:tcPr>
                <w:p>
                  <w:pPr>
                    <w:pStyle w:val="37"/>
                    <w:jc w:val="left"/>
                  </w:pPr>
                  <w:r>
                    <w:t>安装2套回收式热力焚烧系统（TNV）处理后经1根20m高排气筒排放</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锅炉废气</w:t>
                  </w:r>
                </w:p>
              </w:tc>
              <w:tc>
                <w:tcPr>
                  <w:tcW w:w="3330" w:type="pct"/>
                  <w:tcBorders>
                    <w:tl2br w:val="nil"/>
                    <w:tr2bl w:val="nil"/>
                  </w:tcBorders>
                  <w:vAlign w:val="center"/>
                </w:tcPr>
                <w:p>
                  <w:pPr>
                    <w:pStyle w:val="37"/>
                    <w:jc w:val="left"/>
                  </w:pPr>
                  <w:r>
                    <w:t>经</w:t>
                  </w:r>
                  <w:r>
                    <w:rPr>
                      <w:rFonts w:hint="eastAsia"/>
                    </w:rPr>
                    <w:t>1根</w:t>
                  </w:r>
                  <w:r>
                    <w:t>20m高排气筒直排</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rPr>
                      <w:rFonts w:hint="eastAsia"/>
                    </w:rPr>
                    <w:t>加料间废气</w:t>
                  </w:r>
                </w:p>
              </w:tc>
              <w:tc>
                <w:tcPr>
                  <w:tcW w:w="3330" w:type="pct"/>
                  <w:tcBorders>
                    <w:tl2br w:val="nil"/>
                    <w:tr2bl w:val="nil"/>
                  </w:tcBorders>
                  <w:vAlign w:val="center"/>
                </w:tcPr>
                <w:p>
                  <w:pPr>
                    <w:pStyle w:val="37"/>
                    <w:jc w:val="left"/>
                  </w:pPr>
                  <w:r>
                    <w:rPr>
                      <w:rFonts w:hint="eastAsia"/>
                    </w:rPr>
                    <w:t>加料间废气由1根15</w:t>
                  </w:r>
                  <w:r>
                    <w:t>m</w:t>
                  </w:r>
                  <w:r>
                    <w:rPr>
                      <w:rFonts w:hint="eastAsia"/>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rPr>
                      <w:rFonts w:hint="eastAsia"/>
                    </w:rPr>
                    <w:t>直燃机废气</w:t>
                  </w:r>
                </w:p>
              </w:tc>
              <w:tc>
                <w:tcPr>
                  <w:tcW w:w="3330" w:type="pct"/>
                  <w:tcBorders>
                    <w:tl2br w:val="nil"/>
                    <w:tr2bl w:val="nil"/>
                  </w:tcBorders>
                  <w:vAlign w:val="center"/>
                </w:tcPr>
                <w:p>
                  <w:pPr>
                    <w:pStyle w:val="37"/>
                    <w:jc w:val="left"/>
                  </w:pPr>
                  <w:r>
                    <w:rPr>
                      <w:rFonts w:hint="eastAsia"/>
                    </w:rPr>
                    <w:t>直燃机组废气由1根15</w:t>
                  </w:r>
                  <w:r>
                    <w:t>m</w:t>
                  </w:r>
                  <w:r>
                    <w:rPr>
                      <w:rFonts w:hint="eastAsia"/>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备用发电机废气</w:t>
                  </w:r>
                </w:p>
              </w:tc>
              <w:tc>
                <w:tcPr>
                  <w:tcW w:w="3330" w:type="pct"/>
                  <w:tcBorders>
                    <w:tl2br w:val="nil"/>
                    <w:tr2bl w:val="nil"/>
                  </w:tcBorders>
                  <w:vAlign w:val="center"/>
                </w:tcPr>
                <w:p>
                  <w:pPr>
                    <w:pStyle w:val="37"/>
                    <w:jc w:val="left"/>
                  </w:pPr>
                  <w:r>
                    <w:t>经</w:t>
                  </w:r>
                  <w:r>
                    <w:rPr>
                      <w:rFonts w:hint="eastAsia"/>
                    </w:rPr>
                    <w:t>1根</w:t>
                  </w:r>
                  <w:r>
                    <w:t>8m高排气筒外排</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364" w:type="pct"/>
                  <w:vMerge w:val="continue"/>
                  <w:tcBorders>
                    <w:tl2br w:val="nil"/>
                    <w:tr2bl w:val="nil"/>
                  </w:tcBorders>
                  <w:vAlign w:val="center"/>
                </w:tcPr>
                <w:p>
                  <w:pPr>
                    <w:pStyle w:val="37"/>
                  </w:pPr>
                </w:p>
              </w:tc>
              <w:tc>
                <w:tcPr>
                  <w:tcW w:w="939" w:type="pct"/>
                  <w:tcBorders>
                    <w:tl2br w:val="nil"/>
                    <w:tr2bl w:val="nil"/>
                  </w:tcBorders>
                  <w:vAlign w:val="center"/>
                </w:tcPr>
                <w:p>
                  <w:pPr>
                    <w:pStyle w:val="37"/>
                  </w:pPr>
                  <w:r>
                    <w:t>焊接烟尘</w:t>
                  </w:r>
                </w:p>
              </w:tc>
              <w:tc>
                <w:tcPr>
                  <w:tcW w:w="3330" w:type="pct"/>
                  <w:tcBorders>
                    <w:tl2br w:val="nil"/>
                    <w:tr2bl w:val="nil"/>
                  </w:tcBorders>
                  <w:vAlign w:val="center"/>
                </w:tcPr>
                <w:p>
                  <w:pPr>
                    <w:pStyle w:val="37"/>
                    <w:jc w:val="left"/>
                  </w:pPr>
                  <w:r>
                    <w:t>焊接烟尘采用焊烟除尘系统处理后通过</w:t>
                  </w:r>
                  <w:r>
                    <w:rPr>
                      <w:rFonts w:hint="eastAsia"/>
                    </w:rPr>
                    <w:t>7根</w:t>
                  </w:r>
                  <w:r>
                    <w:t>15m高的排气筒排出，部分焊接工位焊接过程中产生的夹带油雾的焊烟，该部分焊烟经含油雾的焊烟净化系统处理后由</w:t>
                  </w:r>
                  <w:r>
                    <w:rPr>
                      <w:rFonts w:hint="eastAsia"/>
                    </w:rPr>
                    <w:t>1根</w:t>
                  </w:r>
                  <w:r>
                    <w:t>15m高的排气筒排出。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pPr>
                  <w:r>
                    <w:rPr>
                      <w:rFonts w:hint="eastAsia"/>
                    </w:rPr>
                    <w:t>废水</w:t>
                  </w:r>
                </w:p>
              </w:tc>
              <w:tc>
                <w:tcPr>
                  <w:tcW w:w="3330" w:type="pct"/>
                  <w:tcBorders>
                    <w:tl2br w:val="nil"/>
                    <w:tr2bl w:val="nil"/>
                  </w:tcBorders>
                  <w:vAlign w:val="center"/>
                </w:tcPr>
                <w:p>
                  <w:pPr>
                    <w:pStyle w:val="37"/>
                    <w:jc w:val="left"/>
                  </w:pPr>
                  <w:r>
                    <w:rPr>
                      <w:rFonts w:hint="eastAsia"/>
                    </w:rPr>
                    <w:t>①</w:t>
                  </w:r>
                  <w:r>
                    <w:rPr>
                      <w:rFonts w:hint="eastAsia"/>
                      <w:lang w:val="en-US" w:eastAsia="zh-CN"/>
                    </w:rPr>
                    <w:t>生产废水经</w:t>
                  </w:r>
                  <w:r>
                    <w:t>处理系统处理后，达到污水排放标准要求后，经污水管网进入小蓝污水处理厂处理，尾水最终排入雄溪河、莲塘排渍道</w:t>
                  </w:r>
                  <w:r>
                    <w:rPr>
                      <w:rFonts w:hint="eastAsia"/>
                    </w:rPr>
                    <w:t>；</w:t>
                  </w:r>
                </w:p>
                <w:p>
                  <w:pPr>
                    <w:pStyle w:val="37"/>
                    <w:jc w:val="left"/>
                  </w:pPr>
                  <w:r>
                    <w:rPr>
                      <w:rFonts w:hint="eastAsia"/>
                    </w:rPr>
                    <w:t>②生活污水和地面拖洗废水</w:t>
                  </w:r>
                  <w:r>
                    <w:t>经隔油池+化粪池处理后达到小蓝污水处理厂污水接管标准后，通过园区管网进入小蓝污水处理厂处理</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pPr>
                  <w:r>
                    <w:t>一般工业固废暂存库</w:t>
                  </w:r>
                </w:p>
              </w:tc>
              <w:tc>
                <w:tcPr>
                  <w:tcW w:w="3330" w:type="pct"/>
                  <w:tcBorders>
                    <w:tl2br w:val="nil"/>
                    <w:tr2bl w:val="nil"/>
                  </w:tcBorders>
                  <w:vAlign w:val="center"/>
                </w:tcPr>
                <w:p>
                  <w:pPr>
                    <w:pStyle w:val="37"/>
                    <w:jc w:val="left"/>
                    <w:rPr>
                      <w:highlight w:val="none"/>
                    </w:rPr>
                  </w:pPr>
                  <w:r>
                    <w:rPr>
                      <w:highlight w:val="none"/>
                    </w:rPr>
                    <w:t>占地面积</w:t>
                  </w:r>
                  <w:r>
                    <w:rPr>
                      <w:rFonts w:hint="eastAsia"/>
                      <w:highlight w:val="none"/>
                      <w:lang w:val="en-US" w:eastAsia="zh-CN"/>
                    </w:rPr>
                    <w:t>12</w:t>
                  </w:r>
                  <w:r>
                    <w:rPr>
                      <w:highlight w:val="none"/>
                    </w:rPr>
                    <w:t>0m</w:t>
                  </w:r>
                  <w:r>
                    <w:rPr>
                      <w:highlight w:val="none"/>
                      <w:vertAlign w:val="superscript"/>
                    </w:rPr>
                    <w:t>2</w:t>
                  </w: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pPr>
                  <w:r>
                    <w:t>危废暂存库</w:t>
                  </w:r>
                </w:p>
              </w:tc>
              <w:tc>
                <w:tcPr>
                  <w:tcW w:w="3330" w:type="pct"/>
                  <w:tcBorders>
                    <w:tl2br w:val="nil"/>
                    <w:tr2bl w:val="nil"/>
                  </w:tcBorders>
                  <w:vAlign w:val="center"/>
                </w:tcPr>
                <w:p>
                  <w:pPr>
                    <w:pStyle w:val="37"/>
                    <w:jc w:val="left"/>
                    <w:rPr>
                      <w:highlight w:val="none"/>
                    </w:rPr>
                  </w:pPr>
                  <w:r>
                    <w:rPr>
                      <w:highlight w:val="none"/>
                    </w:rPr>
                    <w:t>占地面积</w:t>
                  </w:r>
                  <w:r>
                    <w:rPr>
                      <w:rFonts w:hint="eastAsia"/>
                      <w:highlight w:val="none"/>
                      <w:lang w:val="en-US" w:eastAsia="zh-CN"/>
                    </w:rPr>
                    <w:t>32</w:t>
                  </w:r>
                  <w:r>
                    <w:rPr>
                      <w:highlight w:val="none"/>
                    </w:rPr>
                    <w:t>0m</w:t>
                  </w:r>
                  <w:r>
                    <w:rPr>
                      <w:highlight w:val="none"/>
                      <w:vertAlign w:val="superscript"/>
                    </w:rPr>
                    <w:t>2</w:t>
                  </w:r>
                  <w:r>
                    <w:rPr>
                      <w:rFonts w:hint="eastAsia"/>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restart"/>
                  <w:tcBorders>
                    <w:tl2br w:val="nil"/>
                    <w:tr2bl w:val="nil"/>
                  </w:tcBorders>
                  <w:vAlign w:val="center"/>
                </w:tcPr>
                <w:p>
                  <w:pPr>
                    <w:pStyle w:val="37"/>
                  </w:pPr>
                  <w:r>
                    <w:t>公用工程</w:t>
                  </w:r>
                </w:p>
              </w:tc>
              <w:tc>
                <w:tcPr>
                  <w:tcW w:w="1304" w:type="pct"/>
                  <w:gridSpan w:val="2"/>
                  <w:tcBorders>
                    <w:tl2br w:val="nil"/>
                    <w:tr2bl w:val="nil"/>
                  </w:tcBorders>
                  <w:vAlign w:val="center"/>
                </w:tcPr>
                <w:p>
                  <w:pPr>
                    <w:pStyle w:val="37"/>
                  </w:pPr>
                  <w:r>
                    <w:t>供水</w:t>
                  </w:r>
                </w:p>
              </w:tc>
              <w:tc>
                <w:tcPr>
                  <w:tcW w:w="3330" w:type="pct"/>
                  <w:tcBorders>
                    <w:tl2br w:val="nil"/>
                    <w:tr2bl w:val="nil"/>
                  </w:tcBorders>
                  <w:vAlign w:val="center"/>
                </w:tcPr>
                <w:p>
                  <w:pPr>
                    <w:pStyle w:val="37"/>
                    <w:jc w:val="left"/>
                  </w:pPr>
                  <w:r>
                    <w:t>市政供给，并在车架联合厂房电泳车间内设置纯水系统</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pPr>
                  <w:r>
                    <w:t>供电</w:t>
                  </w:r>
                </w:p>
              </w:tc>
              <w:tc>
                <w:tcPr>
                  <w:tcW w:w="3330" w:type="pct"/>
                  <w:tcBorders>
                    <w:tl2br w:val="nil"/>
                    <w:tr2bl w:val="nil"/>
                  </w:tcBorders>
                  <w:vAlign w:val="center"/>
                </w:tcPr>
                <w:p>
                  <w:pPr>
                    <w:pStyle w:val="37"/>
                    <w:jc w:val="left"/>
                  </w:pPr>
                  <w:r>
                    <w:t>市政供给</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pPr>
                  <w:r>
                    <w:t>排水</w:t>
                  </w:r>
                </w:p>
              </w:tc>
              <w:tc>
                <w:tcPr>
                  <w:tcW w:w="3330" w:type="pct"/>
                  <w:tcBorders>
                    <w:tl2br w:val="nil"/>
                    <w:tr2bl w:val="nil"/>
                  </w:tcBorders>
                  <w:vAlign w:val="center"/>
                </w:tcPr>
                <w:p>
                  <w:pPr>
                    <w:pStyle w:val="37"/>
                    <w:jc w:val="left"/>
                  </w:pPr>
                  <w:r>
                    <w:t>雨污分流，雨水排入市政雨水管网，</w:t>
                  </w:r>
                  <w:r>
                    <w:rPr>
                      <w:rFonts w:hint="eastAsia"/>
                      <w:lang w:val="en-US" w:eastAsia="zh-CN"/>
                    </w:rPr>
                    <w:t>污水经处理后</w:t>
                  </w:r>
                  <w:r>
                    <w:t>排入市政污水管网</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64" w:type="pct"/>
                  <w:vMerge w:val="continue"/>
                  <w:tcBorders>
                    <w:tl2br w:val="nil"/>
                    <w:tr2bl w:val="nil"/>
                  </w:tcBorders>
                  <w:vAlign w:val="center"/>
                </w:tcPr>
                <w:p>
                  <w:pPr>
                    <w:pStyle w:val="37"/>
                  </w:pPr>
                </w:p>
              </w:tc>
              <w:tc>
                <w:tcPr>
                  <w:tcW w:w="1304" w:type="pct"/>
                  <w:gridSpan w:val="2"/>
                  <w:tcBorders>
                    <w:tl2br w:val="nil"/>
                    <w:tr2bl w:val="nil"/>
                  </w:tcBorders>
                  <w:vAlign w:val="center"/>
                </w:tcPr>
                <w:p>
                  <w:pPr>
                    <w:pStyle w:val="37"/>
                  </w:pPr>
                  <w:r>
                    <w:t>供气</w:t>
                  </w:r>
                </w:p>
              </w:tc>
              <w:tc>
                <w:tcPr>
                  <w:tcW w:w="3330" w:type="pct"/>
                  <w:tcBorders>
                    <w:tl2br w:val="nil"/>
                    <w:tr2bl w:val="nil"/>
                  </w:tcBorders>
                  <w:vAlign w:val="center"/>
                </w:tcPr>
                <w:p>
                  <w:pPr>
                    <w:pStyle w:val="37"/>
                    <w:jc w:val="left"/>
                  </w:pPr>
                  <w:r>
                    <w:t>市政天然气管网</w:t>
                  </w:r>
                  <w:r>
                    <w:rPr>
                      <w:rFonts w:hint="eastAsia"/>
                    </w:rPr>
                    <w:t>。</w:t>
                  </w:r>
                </w:p>
              </w:tc>
            </w:tr>
          </w:tbl>
          <w:p>
            <w:pPr>
              <w:ind w:firstLine="482"/>
              <w:rPr>
                <w:b/>
                <w:bCs/>
                <w:color w:val="000000"/>
              </w:rPr>
            </w:pPr>
            <w:r>
              <w:rPr>
                <w:rFonts w:hint="eastAsia"/>
                <w:b/>
                <w:bCs/>
                <w:color w:val="000000"/>
              </w:rPr>
              <w:t>3、现有项目设备情况</w:t>
            </w:r>
          </w:p>
          <w:p>
            <w:pPr>
              <w:pStyle w:val="38"/>
            </w:pPr>
            <w:r>
              <w:rPr>
                <w:rFonts w:hint="eastAsia"/>
              </w:rPr>
              <w:t>表2-11  现有项目主要设备一览表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2397"/>
              <w:gridCol w:w="1975"/>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482" w:type="pct"/>
                  <w:tcBorders>
                    <w:tl2br w:val="nil"/>
                    <w:tr2bl w:val="nil"/>
                  </w:tcBorders>
                  <w:vAlign w:val="center"/>
                </w:tcPr>
                <w:p>
                  <w:pPr>
                    <w:pStyle w:val="37"/>
                    <w:rPr>
                      <w:b/>
                      <w:bCs/>
                    </w:rPr>
                  </w:pPr>
                  <w:r>
                    <w:rPr>
                      <w:b/>
                      <w:bCs/>
                    </w:rPr>
                    <w:t>车间</w:t>
                  </w:r>
                </w:p>
              </w:tc>
              <w:tc>
                <w:tcPr>
                  <w:tcW w:w="1482" w:type="pct"/>
                  <w:tcBorders>
                    <w:tl2br w:val="nil"/>
                    <w:tr2bl w:val="nil"/>
                  </w:tcBorders>
                  <w:vAlign w:val="center"/>
                </w:tcPr>
                <w:p>
                  <w:pPr>
                    <w:pStyle w:val="37"/>
                    <w:rPr>
                      <w:b/>
                      <w:bCs/>
                    </w:rPr>
                  </w:pPr>
                  <w:r>
                    <w:rPr>
                      <w:b/>
                      <w:bCs/>
                    </w:rPr>
                    <w:t>主要设备名称</w:t>
                  </w:r>
                </w:p>
              </w:tc>
              <w:tc>
                <w:tcPr>
                  <w:tcW w:w="1221" w:type="pct"/>
                  <w:tcBorders>
                    <w:tl2br w:val="nil"/>
                    <w:tr2bl w:val="nil"/>
                  </w:tcBorders>
                  <w:vAlign w:val="center"/>
                </w:tcPr>
                <w:p>
                  <w:pPr>
                    <w:pStyle w:val="37"/>
                    <w:rPr>
                      <w:b/>
                      <w:bCs/>
                    </w:rPr>
                  </w:pPr>
                  <w:r>
                    <w:rPr>
                      <w:b/>
                      <w:bCs/>
                    </w:rPr>
                    <w:t>规格</w:t>
                  </w:r>
                </w:p>
              </w:tc>
              <w:tc>
                <w:tcPr>
                  <w:tcW w:w="814" w:type="pct"/>
                  <w:tcBorders>
                    <w:tl2br w:val="nil"/>
                    <w:tr2bl w:val="nil"/>
                  </w:tcBorders>
                  <w:vAlign w:val="center"/>
                </w:tcPr>
                <w:p>
                  <w:pPr>
                    <w:pStyle w:val="37"/>
                    <w:rPr>
                      <w:b/>
                      <w:bCs/>
                    </w:rPr>
                  </w:pPr>
                  <w:r>
                    <w:rPr>
                      <w:b/>
                      <w:bCs/>
                    </w:rPr>
                    <w:t>设备（台）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restart"/>
                  <w:tcBorders>
                    <w:tl2br w:val="nil"/>
                    <w:tr2bl w:val="nil"/>
                  </w:tcBorders>
                  <w:vAlign w:val="center"/>
                </w:tcPr>
                <w:p>
                  <w:pPr>
                    <w:pStyle w:val="37"/>
                  </w:pPr>
                  <w:r>
                    <w:t>车架联合厂房焊装车间</w:t>
                  </w:r>
                </w:p>
              </w:tc>
              <w:tc>
                <w:tcPr>
                  <w:tcW w:w="1482" w:type="pct"/>
                  <w:tcBorders>
                    <w:tl2br w:val="nil"/>
                    <w:tr2bl w:val="nil"/>
                  </w:tcBorders>
                  <w:vAlign w:val="center"/>
                </w:tcPr>
                <w:p>
                  <w:pPr>
                    <w:pStyle w:val="37"/>
                  </w:pPr>
                  <w:r>
                    <w:t>移动式万向摇臂钻</w:t>
                  </w:r>
                </w:p>
              </w:tc>
              <w:tc>
                <w:tcPr>
                  <w:tcW w:w="1221" w:type="pct"/>
                  <w:tcBorders>
                    <w:tl2br w:val="nil"/>
                    <w:tr2bl w:val="nil"/>
                  </w:tcBorders>
                  <w:vAlign w:val="center"/>
                </w:tcPr>
                <w:p>
                  <w:pPr>
                    <w:pStyle w:val="37"/>
                  </w:pPr>
                  <w:r>
                    <w:t>ZJA3725*8/1</w:t>
                  </w:r>
                </w:p>
              </w:tc>
              <w:tc>
                <w:tcPr>
                  <w:tcW w:w="814" w:type="pct"/>
                  <w:tcBorders>
                    <w:tl2br w:val="nil"/>
                    <w:tr2bl w:val="nil"/>
                  </w:tcBorders>
                  <w:vAlign w:val="center"/>
                </w:tcPr>
                <w:p>
                  <w:pPr>
                    <w:pStyle w:val="37"/>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Borders>
                    <w:tl2br w:val="nil"/>
                    <w:tr2bl w:val="nil"/>
                  </w:tcBorders>
                  <w:vAlign w:val="center"/>
                </w:tcPr>
                <w:p>
                  <w:pPr>
                    <w:pStyle w:val="37"/>
                  </w:pPr>
                </w:p>
              </w:tc>
              <w:tc>
                <w:tcPr>
                  <w:tcW w:w="1482" w:type="pct"/>
                  <w:tcBorders>
                    <w:tl2br w:val="nil"/>
                    <w:tr2bl w:val="nil"/>
                  </w:tcBorders>
                  <w:vAlign w:val="center"/>
                </w:tcPr>
                <w:p>
                  <w:pPr>
                    <w:pStyle w:val="37"/>
                  </w:pPr>
                  <w:r>
                    <w:t>CO</w:t>
                  </w:r>
                  <w:r>
                    <w:rPr>
                      <w:vertAlign w:val="subscript"/>
                    </w:rPr>
                    <w:t>2</w:t>
                  </w:r>
                  <w:r>
                    <w:t>气体保护焊机</w:t>
                  </w:r>
                </w:p>
              </w:tc>
              <w:tc>
                <w:tcPr>
                  <w:tcW w:w="1221" w:type="pct"/>
                  <w:tcBorders>
                    <w:tl2br w:val="nil"/>
                    <w:tr2bl w:val="nil"/>
                  </w:tcBorders>
                  <w:vAlign w:val="center"/>
                </w:tcPr>
                <w:p>
                  <w:pPr>
                    <w:pStyle w:val="37"/>
                  </w:pPr>
                  <w:r>
                    <w:t>350A~500A</w:t>
                  </w:r>
                </w:p>
              </w:tc>
              <w:tc>
                <w:tcPr>
                  <w:tcW w:w="814" w:type="pct"/>
                  <w:tcBorders>
                    <w:tl2br w:val="nil"/>
                    <w:tr2bl w:val="nil"/>
                  </w:tcBorders>
                  <w:vAlign w:val="center"/>
                </w:tcPr>
                <w:p>
                  <w:pPr>
                    <w:pStyle w:val="37"/>
                  </w:pPr>
                  <w: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Borders>
                    <w:tl2br w:val="nil"/>
                    <w:tr2bl w:val="nil"/>
                  </w:tcBorders>
                  <w:vAlign w:val="center"/>
                </w:tcPr>
                <w:p>
                  <w:pPr>
                    <w:pStyle w:val="37"/>
                  </w:pPr>
                </w:p>
              </w:tc>
              <w:tc>
                <w:tcPr>
                  <w:tcW w:w="1482" w:type="pct"/>
                  <w:tcBorders>
                    <w:tl2br w:val="nil"/>
                    <w:tr2bl w:val="nil"/>
                  </w:tcBorders>
                  <w:vAlign w:val="center"/>
                </w:tcPr>
                <w:p>
                  <w:pPr>
                    <w:pStyle w:val="37"/>
                  </w:pPr>
                  <w:r>
                    <w:t>固定式点焊机</w:t>
                  </w:r>
                </w:p>
              </w:tc>
              <w:tc>
                <w:tcPr>
                  <w:tcW w:w="1221" w:type="pct"/>
                  <w:tcBorders>
                    <w:tl2br w:val="nil"/>
                    <w:tr2bl w:val="nil"/>
                  </w:tcBorders>
                  <w:vAlign w:val="center"/>
                </w:tcPr>
                <w:p>
                  <w:pPr>
                    <w:pStyle w:val="37"/>
                  </w:pPr>
                  <w:r>
                    <w:t>35kVA~70kVA</w:t>
                  </w:r>
                </w:p>
              </w:tc>
              <w:tc>
                <w:tcPr>
                  <w:tcW w:w="814" w:type="pct"/>
                  <w:tcBorders>
                    <w:tl2br w:val="nil"/>
                    <w:tr2bl w:val="nil"/>
                  </w:tcBorders>
                  <w:vAlign w:val="center"/>
                </w:tcPr>
                <w:p>
                  <w:pPr>
                    <w:pStyle w:val="37"/>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Borders>
                    <w:tl2br w:val="nil"/>
                    <w:tr2bl w:val="nil"/>
                  </w:tcBorders>
                  <w:vAlign w:val="center"/>
                </w:tcPr>
                <w:p>
                  <w:pPr>
                    <w:pStyle w:val="37"/>
                  </w:pPr>
                </w:p>
              </w:tc>
              <w:tc>
                <w:tcPr>
                  <w:tcW w:w="1482" w:type="pct"/>
                  <w:tcBorders>
                    <w:tl2br w:val="nil"/>
                    <w:tr2bl w:val="nil"/>
                  </w:tcBorders>
                  <w:vAlign w:val="center"/>
                </w:tcPr>
                <w:p>
                  <w:pPr>
                    <w:pStyle w:val="37"/>
                  </w:pPr>
                  <w:r>
                    <w:t>悬挂点焊机</w:t>
                  </w:r>
                </w:p>
              </w:tc>
              <w:tc>
                <w:tcPr>
                  <w:tcW w:w="1221" w:type="pct"/>
                  <w:tcBorders>
                    <w:tl2br w:val="nil"/>
                    <w:tr2bl w:val="nil"/>
                  </w:tcBorders>
                  <w:vAlign w:val="center"/>
                </w:tcPr>
                <w:p>
                  <w:pPr>
                    <w:pStyle w:val="37"/>
                  </w:pPr>
                  <w:r>
                    <w:t>180kVA~350kVA</w:t>
                  </w:r>
                </w:p>
              </w:tc>
              <w:tc>
                <w:tcPr>
                  <w:tcW w:w="814" w:type="pct"/>
                  <w:tcBorders>
                    <w:tl2br w:val="nil"/>
                    <w:tr2bl w:val="nil"/>
                  </w:tcBorders>
                  <w:vAlign w:val="center"/>
                </w:tcPr>
                <w:p>
                  <w:pPr>
                    <w:pStyle w:val="37"/>
                  </w:pPr>
                  <w: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Borders>
                    <w:tl2br w:val="nil"/>
                    <w:tr2bl w:val="nil"/>
                  </w:tcBorders>
                  <w:vAlign w:val="center"/>
                </w:tcPr>
                <w:p>
                  <w:pPr>
                    <w:pStyle w:val="37"/>
                  </w:pPr>
                </w:p>
              </w:tc>
              <w:tc>
                <w:tcPr>
                  <w:tcW w:w="1482" w:type="pct"/>
                  <w:tcBorders>
                    <w:tl2br w:val="nil"/>
                    <w:tr2bl w:val="nil"/>
                  </w:tcBorders>
                  <w:vAlign w:val="center"/>
                </w:tcPr>
                <w:p>
                  <w:pPr>
                    <w:pStyle w:val="37"/>
                  </w:pPr>
                  <w:r>
                    <w:t>螺柱焊机</w:t>
                  </w:r>
                </w:p>
              </w:tc>
              <w:tc>
                <w:tcPr>
                  <w:tcW w:w="1221" w:type="pct"/>
                  <w:tcBorders>
                    <w:tl2br w:val="nil"/>
                    <w:tr2bl w:val="nil"/>
                  </w:tcBorders>
                  <w:vAlign w:val="center"/>
                </w:tcPr>
                <w:p>
                  <w:pPr>
                    <w:pStyle w:val="37"/>
                  </w:pPr>
                  <w:r>
                    <w:t>DCE1500/TSG90</w:t>
                  </w:r>
                </w:p>
              </w:tc>
              <w:tc>
                <w:tcPr>
                  <w:tcW w:w="814" w:type="pct"/>
                  <w:tcBorders>
                    <w:tl2br w:val="nil"/>
                    <w:tr2bl w:val="nil"/>
                  </w:tcBorders>
                  <w:vAlign w:val="center"/>
                </w:tcPr>
                <w:p>
                  <w:pPr>
                    <w:pStyle w:val="37"/>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Borders>
                    <w:tl2br w:val="nil"/>
                    <w:tr2bl w:val="nil"/>
                  </w:tcBorders>
                  <w:vAlign w:val="center"/>
                </w:tcPr>
                <w:p>
                  <w:pPr>
                    <w:pStyle w:val="37"/>
                  </w:pPr>
                </w:p>
              </w:tc>
              <w:tc>
                <w:tcPr>
                  <w:tcW w:w="1482" w:type="pct"/>
                  <w:tcBorders>
                    <w:tl2br w:val="nil"/>
                    <w:tr2bl w:val="nil"/>
                  </w:tcBorders>
                  <w:vAlign w:val="center"/>
                </w:tcPr>
                <w:p>
                  <w:pPr>
                    <w:pStyle w:val="37"/>
                  </w:pPr>
                  <w:r>
                    <w:t>机器人焊接系统</w:t>
                  </w:r>
                </w:p>
              </w:tc>
              <w:tc>
                <w:tcPr>
                  <w:tcW w:w="1221" w:type="pct"/>
                  <w:tcBorders>
                    <w:tl2br w:val="nil"/>
                    <w:tr2bl w:val="nil"/>
                  </w:tcBorders>
                  <w:vAlign w:val="center"/>
                </w:tcPr>
                <w:p>
                  <w:pPr>
                    <w:pStyle w:val="37"/>
                  </w:pPr>
                  <w:r>
                    <w:t>/</w:t>
                  </w:r>
                </w:p>
              </w:tc>
              <w:tc>
                <w:tcPr>
                  <w:tcW w:w="814" w:type="pct"/>
                  <w:tcBorders>
                    <w:tl2br w:val="nil"/>
                    <w:tr2bl w:val="nil"/>
                  </w:tcBorders>
                  <w:vAlign w:val="center"/>
                </w:tcPr>
                <w:p>
                  <w:pPr>
                    <w:pStyle w:val="37"/>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Borders>
                    <w:tl2br w:val="nil"/>
                    <w:tr2bl w:val="nil"/>
                  </w:tcBorders>
                  <w:vAlign w:val="center"/>
                </w:tcPr>
                <w:p>
                  <w:pPr>
                    <w:pStyle w:val="37"/>
                  </w:pPr>
                </w:p>
              </w:tc>
              <w:tc>
                <w:tcPr>
                  <w:tcW w:w="1482" w:type="pct"/>
                  <w:tcBorders>
                    <w:tl2br w:val="nil"/>
                    <w:tr2bl w:val="nil"/>
                  </w:tcBorders>
                  <w:vAlign w:val="center"/>
                </w:tcPr>
                <w:p>
                  <w:pPr>
                    <w:pStyle w:val="37"/>
                  </w:pPr>
                  <w:r>
                    <w:t>机器人</w:t>
                  </w:r>
                </w:p>
              </w:tc>
              <w:tc>
                <w:tcPr>
                  <w:tcW w:w="1221" w:type="pct"/>
                  <w:tcBorders>
                    <w:tl2br w:val="nil"/>
                    <w:tr2bl w:val="nil"/>
                  </w:tcBorders>
                  <w:vAlign w:val="center"/>
                </w:tcPr>
                <w:p>
                  <w:pPr>
                    <w:pStyle w:val="37"/>
                  </w:pPr>
                  <w:r>
                    <w:t>/</w:t>
                  </w:r>
                </w:p>
              </w:tc>
              <w:tc>
                <w:tcPr>
                  <w:tcW w:w="814" w:type="pct"/>
                  <w:tcBorders>
                    <w:tl2br w:val="nil"/>
                    <w:tr2bl w:val="nil"/>
                  </w:tcBorders>
                  <w:vAlign w:val="center"/>
                </w:tcPr>
                <w:p>
                  <w:pPr>
                    <w:pStyle w:val="37"/>
                  </w:pPr>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Borders>
                    <w:tl2br w:val="nil"/>
                    <w:tr2bl w:val="nil"/>
                  </w:tcBorders>
                  <w:vAlign w:val="center"/>
                </w:tcPr>
                <w:p>
                  <w:pPr>
                    <w:pStyle w:val="37"/>
                  </w:pPr>
                </w:p>
              </w:tc>
              <w:tc>
                <w:tcPr>
                  <w:tcW w:w="1482" w:type="pct"/>
                  <w:tcBorders>
                    <w:tl2br w:val="nil"/>
                    <w:tr2bl w:val="nil"/>
                  </w:tcBorders>
                  <w:vAlign w:val="center"/>
                </w:tcPr>
                <w:p>
                  <w:pPr>
                    <w:pStyle w:val="37"/>
                  </w:pPr>
                  <w:r>
                    <w:t>焊机吊挂系统</w:t>
                  </w:r>
                </w:p>
              </w:tc>
              <w:tc>
                <w:tcPr>
                  <w:tcW w:w="1221" w:type="pct"/>
                  <w:tcBorders>
                    <w:tl2br w:val="nil"/>
                    <w:tr2bl w:val="nil"/>
                  </w:tcBorders>
                  <w:vAlign w:val="center"/>
                </w:tcPr>
                <w:p>
                  <w:pPr>
                    <w:pStyle w:val="37"/>
                  </w:pPr>
                  <w:r>
                    <w:t>/</w:t>
                  </w:r>
                </w:p>
              </w:tc>
              <w:tc>
                <w:tcPr>
                  <w:tcW w:w="814" w:type="pct"/>
                  <w:tcBorders>
                    <w:tl2br w:val="nil"/>
                    <w:tr2bl w:val="nil"/>
                  </w:tcBorders>
                  <w:vAlign w:val="center"/>
                </w:tcPr>
                <w:p>
                  <w:pPr>
                    <w:pStyle w:val="37"/>
                  </w:pP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Borders>
                    <w:tl2br w:val="nil"/>
                    <w:tr2bl w:val="nil"/>
                  </w:tcBorders>
                  <w:vAlign w:val="center"/>
                </w:tcPr>
                <w:p>
                  <w:pPr>
                    <w:pStyle w:val="37"/>
                  </w:pPr>
                </w:p>
              </w:tc>
              <w:tc>
                <w:tcPr>
                  <w:tcW w:w="1482" w:type="pct"/>
                  <w:tcBorders>
                    <w:tl2br w:val="nil"/>
                    <w:tr2bl w:val="nil"/>
                  </w:tcBorders>
                  <w:vAlign w:val="center"/>
                </w:tcPr>
                <w:p>
                  <w:pPr>
                    <w:pStyle w:val="37"/>
                  </w:pPr>
                  <w:r>
                    <w:t>焊接夹具</w:t>
                  </w:r>
                </w:p>
              </w:tc>
              <w:tc>
                <w:tcPr>
                  <w:tcW w:w="1221" w:type="pct"/>
                  <w:tcBorders>
                    <w:tl2br w:val="nil"/>
                    <w:tr2bl w:val="nil"/>
                  </w:tcBorders>
                  <w:vAlign w:val="center"/>
                </w:tcPr>
                <w:p>
                  <w:pPr>
                    <w:pStyle w:val="37"/>
                  </w:pPr>
                  <w:r>
                    <w:t>/</w:t>
                  </w:r>
                </w:p>
              </w:tc>
              <w:tc>
                <w:tcPr>
                  <w:tcW w:w="814" w:type="pct"/>
                  <w:tcBorders>
                    <w:tl2br w:val="nil"/>
                    <w:tr2bl w:val="nil"/>
                  </w:tcBorders>
                  <w:vAlign w:val="center"/>
                </w:tcPr>
                <w:p>
                  <w:pPr>
                    <w:pStyle w:val="37"/>
                  </w:pP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restart"/>
                  <w:vAlign w:val="center"/>
                </w:tcPr>
                <w:p>
                  <w:pPr>
                    <w:pStyle w:val="37"/>
                  </w:pPr>
                  <w:r>
                    <w:rPr>
                      <w:rFonts w:hint="eastAsia"/>
                      <w:highlight w:val="none"/>
                    </w:rPr>
                    <w:t>焊接车间</w:t>
                  </w:r>
                </w:p>
              </w:tc>
              <w:tc>
                <w:tcPr>
                  <w:tcW w:w="1482" w:type="pct"/>
                  <w:vAlign w:val="center"/>
                </w:tcPr>
                <w:p>
                  <w:pPr>
                    <w:pStyle w:val="37"/>
                  </w:pPr>
                  <w:r>
                    <w:t>悬挂焊机</w:t>
                  </w:r>
                </w:p>
              </w:tc>
              <w:tc>
                <w:tcPr>
                  <w:tcW w:w="1221" w:type="pct"/>
                  <w:vAlign w:val="center"/>
                </w:tcPr>
                <w:p>
                  <w:pPr>
                    <w:pStyle w:val="37"/>
                  </w:pPr>
                  <w:r>
                    <w:t>PTB250/350</w:t>
                  </w:r>
                </w:p>
              </w:tc>
              <w:tc>
                <w:tcPr>
                  <w:tcW w:w="814" w:type="pct"/>
                  <w:vAlign w:val="center"/>
                </w:tcPr>
                <w:p>
                  <w:pPr>
                    <w:pStyle w:val="37"/>
                  </w:pPr>
                  <w: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悬挂焊机</w:t>
                  </w:r>
                </w:p>
              </w:tc>
              <w:tc>
                <w:tcPr>
                  <w:tcW w:w="1221" w:type="pct"/>
                  <w:vAlign w:val="center"/>
                </w:tcPr>
                <w:p>
                  <w:pPr>
                    <w:pStyle w:val="37"/>
                  </w:pPr>
                  <w:r>
                    <w:t>PTB250/350</w:t>
                  </w:r>
                </w:p>
              </w:tc>
              <w:tc>
                <w:tcPr>
                  <w:tcW w:w="814" w:type="pct"/>
                  <w:vAlign w:val="center"/>
                </w:tcPr>
                <w:p>
                  <w:pPr>
                    <w:pStyle w:val="37"/>
                  </w:pPr>
                  <w: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固定点凸焊机</w:t>
                  </w:r>
                </w:p>
              </w:tc>
              <w:tc>
                <w:tcPr>
                  <w:tcW w:w="1221" w:type="pct"/>
                  <w:vAlign w:val="center"/>
                </w:tcPr>
                <w:p>
                  <w:pPr>
                    <w:pStyle w:val="37"/>
                  </w:pPr>
                  <w:r>
                    <w:t>50 KVA</w:t>
                  </w:r>
                </w:p>
              </w:tc>
              <w:tc>
                <w:tcPr>
                  <w:tcW w:w="814" w:type="pct"/>
                  <w:vAlign w:val="center"/>
                </w:tcPr>
                <w:p>
                  <w:pPr>
                    <w:pStyle w:val="37"/>
                  </w:pP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CO</w:t>
                  </w:r>
                  <w:r>
                    <w:rPr>
                      <w:vertAlign w:val="subscript"/>
                    </w:rPr>
                    <w:t>2</w:t>
                  </w:r>
                  <w:r>
                    <w:t>焊机</w:t>
                  </w:r>
                </w:p>
              </w:tc>
              <w:tc>
                <w:tcPr>
                  <w:tcW w:w="1221" w:type="pct"/>
                  <w:vAlign w:val="center"/>
                </w:tcPr>
                <w:p>
                  <w:pPr>
                    <w:pStyle w:val="37"/>
                  </w:pPr>
                  <w:r>
                    <w:t>350 KVA</w:t>
                  </w:r>
                </w:p>
              </w:tc>
              <w:tc>
                <w:tcPr>
                  <w:tcW w:w="814" w:type="pct"/>
                  <w:vAlign w:val="center"/>
                </w:tcPr>
                <w:p>
                  <w:pPr>
                    <w:pStyle w:val="37"/>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焊接机器人</w:t>
                  </w:r>
                </w:p>
              </w:tc>
              <w:tc>
                <w:tcPr>
                  <w:tcW w:w="1221" w:type="pct"/>
                  <w:vAlign w:val="center"/>
                </w:tcPr>
                <w:p>
                  <w:pPr>
                    <w:pStyle w:val="37"/>
                  </w:pPr>
                  <w:r>
                    <w:t>500 KVA</w:t>
                  </w:r>
                </w:p>
              </w:tc>
              <w:tc>
                <w:tcPr>
                  <w:tcW w:w="814" w:type="pct"/>
                  <w:vAlign w:val="center"/>
                </w:tcPr>
                <w:p>
                  <w:pPr>
                    <w:pStyle w:val="37"/>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CO</w:t>
                  </w:r>
                  <w:r>
                    <w:rPr>
                      <w:vertAlign w:val="subscript"/>
                    </w:rPr>
                    <w:t>2</w:t>
                  </w:r>
                  <w:r>
                    <w:t>焊机</w:t>
                  </w:r>
                </w:p>
              </w:tc>
              <w:tc>
                <w:tcPr>
                  <w:tcW w:w="1221" w:type="pct"/>
                  <w:vAlign w:val="center"/>
                </w:tcPr>
                <w:p>
                  <w:pPr>
                    <w:pStyle w:val="37"/>
                  </w:pPr>
                  <w:r>
                    <w:t>350 KVA</w:t>
                  </w:r>
                </w:p>
              </w:tc>
              <w:tc>
                <w:tcPr>
                  <w:tcW w:w="814" w:type="pct"/>
                  <w:vAlign w:val="center"/>
                </w:tcPr>
                <w:p>
                  <w:pPr>
                    <w:pStyle w:val="37"/>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restart"/>
                  <w:vAlign w:val="center"/>
                </w:tcPr>
                <w:p>
                  <w:pPr>
                    <w:pStyle w:val="37"/>
                  </w:pPr>
                  <w:r>
                    <w:rPr>
                      <w:rFonts w:hint="eastAsia"/>
                      <w:highlight w:val="none"/>
                    </w:rPr>
                    <w:t>冲压车间</w:t>
                  </w:r>
                </w:p>
              </w:tc>
              <w:tc>
                <w:tcPr>
                  <w:tcW w:w="1482" w:type="pct"/>
                  <w:vAlign w:val="center"/>
                </w:tcPr>
                <w:p>
                  <w:pPr>
                    <w:pStyle w:val="37"/>
                  </w:pPr>
                  <w:r>
                    <w:t>焊接机器人</w:t>
                  </w:r>
                </w:p>
              </w:tc>
              <w:tc>
                <w:tcPr>
                  <w:tcW w:w="1221" w:type="pct"/>
                  <w:vAlign w:val="center"/>
                </w:tcPr>
                <w:p>
                  <w:pPr>
                    <w:pStyle w:val="37"/>
                  </w:pPr>
                  <w:r>
                    <w:t>500 KVA</w:t>
                  </w:r>
                </w:p>
              </w:tc>
              <w:tc>
                <w:tcPr>
                  <w:tcW w:w="814" w:type="pct"/>
                  <w:vAlign w:val="center"/>
                </w:tcPr>
                <w:p>
                  <w:pPr>
                    <w:pStyle w:val="37"/>
                  </w:pPr>
                  <w: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机械压力机</w:t>
                  </w:r>
                </w:p>
              </w:tc>
              <w:tc>
                <w:tcPr>
                  <w:tcW w:w="1221" w:type="pct"/>
                  <w:vAlign w:val="center"/>
                </w:tcPr>
                <w:p>
                  <w:pPr>
                    <w:pStyle w:val="37"/>
                  </w:pPr>
                  <w:r>
                    <w:t>JF36-800</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JA36-500</w:t>
                  </w:r>
                </w:p>
              </w:tc>
              <w:tc>
                <w:tcPr>
                  <w:tcW w:w="814" w:type="pct"/>
                  <w:vAlign w:val="center"/>
                </w:tcPr>
                <w:p>
                  <w:pPr>
                    <w:pStyle w:val="37"/>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桥式起重机</w:t>
                  </w:r>
                </w:p>
              </w:tc>
              <w:tc>
                <w:tcPr>
                  <w:tcW w:w="1221" w:type="pct"/>
                  <w:vAlign w:val="center"/>
                </w:tcPr>
                <w:p>
                  <w:pPr>
                    <w:pStyle w:val="37"/>
                  </w:pPr>
                  <w:r>
                    <w:t>32/10T</w:t>
                  </w:r>
                </w:p>
              </w:tc>
              <w:tc>
                <w:tcPr>
                  <w:tcW w:w="814" w:type="pct"/>
                  <w:vAlign w:val="center"/>
                </w:tcPr>
                <w:p>
                  <w:pPr>
                    <w:pStyle w:val="3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立体库堆垛起重机</w:t>
                  </w:r>
                </w:p>
              </w:tc>
              <w:tc>
                <w:tcPr>
                  <w:tcW w:w="1221" w:type="pct"/>
                  <w:vAlign w:val="center"/>
                </w:tcPr>
                <w:p>
                  <w:pPr>
                    <w:pStyle w:val="37"/>
                  </w:pPr>
                  <w:r>
                    <w: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废料纵线及支线</w:t>
                  </w:r>
                </w:p>
              </w:tc>
              <w:tc>
                <w:tcPr>
                  <w:tcW w:w="1221" w:type="pct"/>
                  <w:vAlign w:val="center"/>
                </w:tcPr>
                <w:p>
                  <w:pPr>
                    <w:pStyle w:val="37"/>
                  </w:pPr>
                  <w:r>
                    <w: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机械压力机</w:t>
                  </w:r>
                </w:p>
              </w:tc>
              <w:tc>
                <w:tcPr>
                  <w:tcW w:w="1221" w:type="pct"/>
                  <w:vAlign w:val="center"/>
                </w:tcPr>
                <w:p>
                  <w:pPr>
                    <w:pStyle w:val="37"/>
                  </w:pPr>
                  <w:r>
                    <w:t>JE36-1000B</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JG36-630</w:t>
                  </w:r>
                </w:p>
              </w:tc>
              <w:tc>
                <w:tcPr>
                  <w:tcW w:w="814" w:type="pct"/>
                  <w:vAlign w:val="center"/>
                </w:tcPr>
                <w:p>
                  <w:pPr>
                    <w:pStyle w:val="37"/>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桥式起重机</w:t>
                  </w:r>
                </w:p>
              </w:tc>
              <w:tc>
                <w:tcPr>
                  <w:tcW w:w="1221" w:type="pct"/>
                  <w:vAlign w:val="center"/>
                </w:tcPr>
                <w:p>
                  <w:pPr>
                    <w:pStyle w:val="37"/>
                  </w:pPr>
                  <w:r>
                    <w:t>32/10T</w:t>
                  </w:r>
                </w:p>
              </w:tc>
              <w:tc>
                <w:tcPr>
                  <w:tcW w:w="814" w:type="pct"/>
                  <w:vAlign w:val="center"/>
                </w:tcPr>
                <w:p>
                  <w:pPr>
                    <w:pStyle w:val="3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清洗线系统</w:t>
                  </w:r>
                </w:p>
              </w:tc>
              <w:tc>
                <w:tcPr>
                  <w:tcW w:w="1221" w:type="pct"/>
                  <w:vAlign w:val="center"/>
                </w:tcPr>
                <w:p>
                  <w:pPr>
                    <w:pStyle w:val="37"/>
                  </w:pPr>
                  <w:r>
                    <w: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E4D-1000+600-MBC</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E4S-800-MBC</w:t>
                  </w:r>
                </w:p>
              </w:tc>
              <w:tc>
                <w:tcPr>
                  <w:tcW w:w="814" w:type="pct"/>
                  <w:vAlign w:val="center"/>
                </w:tcPr>
                <w:p>
                  <w:pPr>
                    <w:pStyle w:val="37"/>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桥式起重机</w:t>
                  </w:r>
                </w:p>
              </w:tc>
              <w:tc>
                <w:tcPr>
                  <w:tcW w:w="1221" w:type="pct"/>
                  <w:vAlign w:val="center"/>
                </w:tcPr>
                <w:p>
                  <w:pPr>
                    <w:pStyle w:val="37"/>
                  </w:pPr>
                  <w:r>
                    <w:t>32/10T</w:t>
                  </w:r>
                </w:p>
              </w:tc>
              <w:tc>
                <w:tcPr>
                  <w:tcW w:w="814" w:type="pct"/>
                  <w:vAlign w:val="center"/>
                </w:tcPr>
                <w:p>
                  <w:pPr>
                    <w:pStyle w:val="3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立体库堆垛起重机</w:t>
                  </w:r>
                </w:p>
              </w:tc>
              <w:tc>
                <w:tcPr>
                  <w:tcW w:w="1221" w:type="pct"/>
                  <w:vAlign w:val="center"/>
                </w:tcPr>
                <w:p>
                  <w:pPr>
                    <w:pStyle w:val="37"/>
                  </w:pPr>
                  <w:r>
                    <w: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清洗线系统</w:t>
                  </w:r>
                </w:p>
              </w:tc>
              <w:tc>
                <w:tcPr>
                  <w:tcW w:w="1221" w:type="pct"/>
                  <w:vAlign w:val="center"/>
                </w:tcPr>
                <w:p>
                  <w:pPr>
                    <w:pStyle w:val="37"/>
                  </w:pPr>
                  <w:r>
                    <w: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机器人</w:t>
                  </w:r>
                </w:p>
              </w:tc>
              <w:tc>
                <w:tcPr>
                  <w:tcW w:w="1221" w:type="pct"/>
                  <w:vAlign w:val="center"/>
                </w:tcPr>
                <w:p>
                  <w:pPr>
                    <w:pStyle w:val="37"/>
                  </w:pPr>
                  <w:r>
                    <w:t>IRB6660</w:t>
                  </w:r>
                </w:p>
              </w:tc>
              <w:tc>
                <w:tcPr>
                  <w:tcW w:w="814" w:type="pct"/>
                  <w:vAlign w:val="center"/>
                </w:tcPr>
                <w:p>
                  <w:pPr>
                    <w:pStyle w:val="37"/>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LD4-1250/750D</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2000T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E4S-1000-MBC</w:t>
                  </w:r>
                </w:p>
              </w:tc>
              <w:tc>
                <w:tcPr>
                  <w:tcW w:w="814" w:type="pct"/>
                  <w:vAlign w:val="center"/>
                </w:tcPr>
                <w:p>
                  <w:pPr>
                    <w:pStyle w:val="37"/>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桥式起重机</w:t>
                  </w:r>
                </w:p>
              </w:tc>
              <w:tc>
                <w:tcPr>
                  <w:tcW w:w="1221" w:type="pct"/>
                  <w:vAlign w:val="center"/>
                </w:tcPr>
                <w:p>
                  <w:pPr>
                    <w:pStyle w:val="37"/>
                  </w:pPr>
                  <w:r>
                    <w:t>32/10T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1482" w:type="pct"/>
                  <w:vMerge w:val="continue"/>
                </w:tcPr>
                <w:p>
                  <w:pPr>
                    <w:pStyle w:val="37"/>
                  </w:pPr>
                </w:p>
              </w:tc>
              <w:tc>
                <w:tcPr>
                  <w:tcW w:w="1482" w:type="pct"/>
                  <w:vAlign w:val="center"/>
                </w:tcPr>
                <w:p>
                  <w:pPr>
                    <w:pStyle w:val="37"/>
                  </w:pPr>
                  <w:r>
                    <w:t>桥式起重机</w:t>
                  </w:r>
                </w:p>
              </w:tc>
              <w:tc>
                <w:tcPr>
                  <w:tcW w:w="1221" w:type="pct"/>
                  <w:vAlign w:val="center"/>
                </w:tcPr>
                <w:p>
                  <w:pPr>
                    <w:pStyle w:val="37"/>
                  </w:pPr>
                  <w:r>
                    <w:t>50/10T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半龙门起重机</w:t>
                  </w:r>
                </w:p>
              </w:tc>
              <w:tc>
                <w:tcPr>
                  <w:tcW w:w="1221" w:type="pct"/>
                  <w:vAlign w:val="center"/>
                </w:tcPr>
                <w:p>
                  <w:pPr>
                    <w:pStyle w:val="37"/>
                  </w:pPr>
                  <w:r>
                    <w:t>50/10T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半龙门起重机</w:t>
                  </w:r>
                </w:p>
              </w:tc>
              <w:tc>
                <w:tcPr>
                  <w:tcW w:w="1221" w:type="pct"/>
                  <w:vAlign w:val="center"/>
                </w:tcPr>
                <w:p>
                  <w:pPr>
                    <w:pStyle w:val="37"/>
                  </w:pPr>
                  <w:r>
                    <w:t>32/10T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模具清洗间</w:t>
                  </w:r>
                </w:p>
              </w:tc>
              <w:tc>
                <w:tcPr>
                  <w:tcW w:w="1221" w:type="pct"/>
                  <w:vAlign w:val="center"/>
                </w:tcPr>
                <w:p>
                  <w:pPr>
                    <w:pStyle w:val="37"/>
                  </w:pPr>
                  <w:r>
                    <w: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废料纵线及支线</w:t>
                  </w:r>
                </w:p>
              </w:tc>
              <w:tc>
                <w:tcPr>
                  <w:tcW w:w="1221" w:type="pct"/>
                  <w:vAlign w:val="center"/>
                </w:tcPr>
                <w:p>
                  <w:pPr>
                    <w:pStyle w:val="37"/>
                  </w:pPr>
                  <w:r>
                    <w:t>1纵线+3支线</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半龙门起重机</w:t>
                  </w:r>
                </w:p>
              </w:tc>
              <w:tc>
                <w:tcPr>
                  <w:tcW w:w="1221" w:type="pct"/>
                  <w:vAlign w:val="center"/>
                </w:tcPr>
                <w:p>
                  <w:pPr>
                    <w:pStyle w:val="37"/>
                  </w:pPr>
                  <w:r>
                    <w:t>32/10T</w:t>
                  </w:r>
                </w:p>
              </w:tc>
              <w:tc>
                <w:tcPr>
                  <w:tcW w:w="814" w:type="pct"/>
                  <w:vAlign w:val="center"/>
                </w:tcPr>
                <w:p>
                  <w:pPr>
                    <w:pStyle w:val="3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模具清洗间</w:t>
                  </w:r>
                </w:p>
              </w:tc>
              <w:tc>
                <w:tcPr>
                  <w:tcW w:w="1221" w:type="pct"/>
                  <w:vAlign w:val="center"/>
                </w:tcPr>
                <w:p>
                  <w:pPr>
                    <w:pStyle w:val="37"/>
                  </w:pPr>
                  <w:r>
                    <w: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机械压力机</w:t>
                  </w:r>
                </w:p>
              </w:tc>
              <w:tc>
                <w:tcPr>
                  <w:tcW w:w="1221" w:type="pct"/>
                  <w:vAlign w:val="center"/>
                </w:tcPr>
                <w:p>
                  <w:pPr>
                    <w:pStyle w:val="37"/>
                  </w:pPr>
                  <w:r>
                    <w:t>JE36-1000A</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JE36-1600</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JE36-800D</w:t>
                  </w:r>
                </w:p>
              </w:tc>
              <w:tc>
                <w:tcPr>
                  <w:tcW w:w="814" w:type="pct"/>
                  <w:vAlign w:val="center"/>
                </w:tcPr>
                <w:p>
                  <w:pPr>
                    <w:pStyle w:val="37"/>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桥式起重机</w:t>
                  </w:r>
                </w:p>
              </w:tc>
              <w:tc>
                <w:tcPr>
                  <w:tcW w:w="1221" w:type="pct"/>
                  <w:vAlign w:val="center"/>
                </w:tcPr>
                <w:p>
                  <w:pPr>
                    <w:pStyle w:val="37"/>
                  </w:pPr>
                  <w:r>
                    <w:t>32/10T</w:t>
                  </w:r>
                </w:p>
              </w:tc>
              <w:tc>
                <w:tcPr>
                  <w:tcW w:w="814" w:type="pct"/>
                  <w:vAlign w:val="center"/>
                </w:tcPr>
                <w:p>
                  <w:pPr>
                    <w:pStyle w:val="3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机械压力机</w:t>
                  </w:r>
                </w:p>
              </w:tc>
              <w:tc>
                <w:tcPr>
                  <w:tcW w:w="1221" w:type="pct"/>
                  <w:vAlign w:val="center"/>
                </w:tcPr>
                <w:p>
                  <w:pPr>
                    <w:pStyle w:val="37"/>
                  </w:pPr>
                  <w:r>
                    <w:t>E2S-1250-MBC</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E2S-1600-MBC</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E2S-1000-MBC</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机械压力机</w:t>
                  </w:r>
                </w:p>
              </w:tc>
              <w:tc>
                <w:tcPr>
                  <w:tcW w:w="1221" w:type="pct"/>
                  <w:vAlign w:val="center"/>
                </w:tcPr>
                <w:p>
                  <w:pPr>
                    <w:pStyle w:val="37"/>
                  </w:pPr>
                  <w:r>
                    <w:t>E2S-800-MBC</w:t>
                  </w:r>
                </w:p>
              </w:tc>
              <w:tc>
                <w:tcPr>
                  <w:tcW w:w="814" w:type="pct"/>
                  <w:vAlign w:val="center"/>
                </w:tcPr>
                <w:p>
                  <w:pPr>
                    <w:pStyle w:val="3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桥式起重机</w:t>
                  </w:r>
                </w:p>
              </w:tc>
              <w:tc>
                <w:tcPr>
                  <w:tcW w:w="1221" w:type="pct"/>
                  <w:vAlign w:val="center"/>
                </w:tcPr>
                <w:p>
                  <w:pPr>
                    <w:pStyle w:val="37"/>
                  </w:pPr>
                  <w:r>
                    <w:t>32/10T</w:t>
                  </w:r>
                </w:p>
              </w:tc>
              <w:tc>
                <w:tcPr>
                  <w:tcW w:w="814" w:type="pct"/>
                  <w:vAlign w:val="center"/>
                </w:tcPr>
                <w:p>
                  <w:pPr>
                    <w:pStyle w:val="3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废料纵线及支线</w:t>
                  </w:r>
                </w:p>
              </w:tc>
              <w:tc>
                <w:tcPr>
                  <w:tcW w:w="1221" w:type="pct"/>
                  <w:vAlign w:val="center"/>
                </w:tcPr>
                <w:p>
                  <w:pPr>
                    <w:pStyle w:val="37"/>
                  </w:pPr>
                  <w:r>
                    <w:t>1纵线+2支线</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机械压力机</w:t>
                  </w:r>
                </w:p>
              </w:tc>
              <w:tc>
                <w:tcPr>
                  <w:tcW w:w="1221" w:type="pct"/>
                  <w:vAlign w:val="center"/>
                </w:tcPr>
                <w:p>
                  <w:pPr>
                    <w:pStyle w:val="37"/>
                  </w:pPr>
                  <w:r>
                    <w:t>E2S-4000-MBC</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机械压力机</w:t>
                  </w:r>
                </w:p>
              </w:tc>
              <w:tc>
                <w:tcPr>
                  <w:tcW w:w="1221" w:type="pct"/>
                  <w:vAlign w:val="center"/>
                </w:tcPr>
                <w:p>
                  <w:pPr>
                    <w:pStyle w:val="37"/>
                  </w:pPr>
                  <w:r>
                    <w:t>E2S-5000-MBC</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自动上下料系统</w:t>
                  </w:r>
                </w:p>
              </w:tc>
              <w:tc>
                <w:tcPr>
                  <w:tcW w:w="1221" w:type="pct"/>
                  <w:vAlign w:val="center"/>
                </w:tcPr>
                <w:p>
                  <w:pPr>
                    <w:pStyle w:val="37"/>
                  </w:pPr>
                  <w:r>
                    <w: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桥式起重机</w:t>
                  </w:r>
                </w:p>
              </w:tc>
              <w:tc>
                <w:tcPr>
                  <w:tcW w:w="1221" w:type="pct"/>
                  <w:vAlign w:val="center"/>
                </w:tcPr>
                <w:p>
                  <w:pPr>
                    <w:pStyle w:val="37"/>
                  </w:pPr>
                  <w:r>
                    <w:t>50/16T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桥式起重机</w:t>
                  </w:r>
                </w:p>
              </w:tc>
              <w:tc>
                <w:tcPr>
                  <w:tcW w:w="1221" w:type="pct"/>
                  <w:vAlign w:val="center"/>
                </w:tcPr>
                <w:p>
                  <w:pPr>
                    <w:pStyle w:val="37"/>
                  </w:pPr>
                  <w:r>
                    <w:t>50/20T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tcPr>
                <w:p>
                  <w:pPr>
                    <w:pStyle w:val="37"/>
                  </w:pPr>
                </w:p>
              </w:tc>
              <w:tc>
                <w:tcPr>
                  <w:tcW w:w="1482" w:type="pct"/>
                  <w:vAlign w:val="center"/>
                </w:tcPr>
                <w:p>
                  <w:pPr>
                    <w:pStyle w:val="37"/>
                  </w:pPr>
                  <w:r>
                    <w:t>桥式起重机</w:t>
                  </w:r>
                </w:p>
              </w:tc>
              <w:tc>
                <w:tcPr>
                  <w:tcW w:w="1221" w:type="pct"/>
                  <w:vAlign w:val="center"/>
                </w:tcPr>
                <w:p>
                  <w:pPr>
                    <w:pStyle w:val="37"/>
                  </w:pPr>
                  <w:r>
                    <w:t>15/5T</w:t>
                  </w:r>
                </w:p>
              </w:tc>
              <w:tc>
                <w:tcPr>
                  <w:tcW w:w="814" w:type="pct"/>
                  <w:vAlign w:val="center"/>
                </w:tcPr>
                <w:p>
                  <w:pPr>
                    <w:pStyle w:val="37"/>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82" w:type="pct"/>
                  <w:vMerge w:val="continue"/>
                  <w:vAlign w:val="center"/>
                </w:tcPr>
                <w:p>
                  <w:pPr>
                    <w:pStyle w:val="37"/>
                  </w:pPr>
                </w:p>
              </w:tc>
              <w:tc>
                <w:tcPr>
                  <w:tcW w:w="1482" w:type="pct"/>
                  <w:vAlign w:val="center"/>
                </w:tcPr>
                <w:p>
                  <w:pPr>
                    <w:pStyle w:val="37"/>
                  </w:pPr>
                  <w:r>
                    <w:t>模具清洗间</w:t>
                  </w:r>
                </w:p>
              </w:tc>
              <w:tc>
                <w:tcPr>
                  <w:tcW w:w="1221" w:type="pct"/>
                  <w:vAlign w:val="center"/>
                </w:tcPr>
                <w:p>
                  <w:pPr>
                    <w:pStyle w:val="37"/>
                  </w:pPr>
                  <w:r>
                    <w:t>/</w:t>
                  </w:r>
                </w:p>
              </w:tc>
              <w:tc>
                <w:tcPr>
                  <w:tcW w:w="814" w:type="pct"/>
                  <w:vAlign w:val="center"/>
                </w:tcPr>
                <w:p>
                  <w:pPr>
                    <w:pStyle w:val="37"/>
                  </w:pPr>
                  <w:r>
                    <w:t>1</w:t>
                  </w:r>
                </w:p>
              </w:tc>
            </w:tr>
          </w:tbl>
          <w:p>
            <w:pPr>
              <w:ind w:firstLine="482"/>
              <w:rPr>
                <w:b/>
                <w:bCs/>
                <w:color w:val="000000"/>
              </w:rPr>
            </w:pPr>
            <w:r>
              <w:rPr>
                <w:rFonts w:hint="eastAsia"/>
                <w:b/>
                <w:bCs/>
                <w:color w:val="000000"/>
              </w:rPr>
              <w:t>4、现有项目主要原辅料情况</w:t>
            </w:r>
          </w:p>
          <w:p>
            <w:pPr>
              <w:pStyle w:val="38"/>
            </w:pPr>
            <w:r>
              <w:rPr>
                <w:rFonts w:hint="eastAsia"/>
              </w:rPr>
              <w:t>表2-12  现有项目主要原辅料一览表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1509"/>
              <w:gridCol w:w="1087"/>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tcBorders>
                    <w:tl2br w:val="nil"/>
                    <w:tr2bl w:val="nil"/>
                  </w:tcBorders>
                  <w:vAlign w:val="center"/>
                </w:tcPr>
                <w:p>
                  <w:pPr>
                    <w:pStyle w:val="37"/>
                    <w:rPr>
                      <w:b/>
                      <w:bCs/>
                    </w:rPr>
                  </w:pPr>
                  <w:r>
                    <w:rPr>
                      <w:b/>
                      <w:bCs/>
                    </w:rPr>
                    <w:t>厂区</w:t>
                  </w:r>
                </w:p>
              </w:tc>
              <w:tc>
                <w:tcPr>
                  <w:tcW w:w="933" w:type="pct"/>
                  <w:tcBorders>
                    <w:tl2br w:val="nil"/>
                    <w:tr2bl w:val="nil"/>
                  </w:tcBorders>
                  <w:vAlign w:val="center"/>
                </w:tcPr>
                <w:p>
                  <w:pPr>
                    <w:pStyle w:val="37"/>
                    <w:rPr>
                      <w:b/>
                      <w:bCs/>
                    </w:rPr>
                  </w:pPr>
                  <w:r>
                    <w:rPr>
                      <w:b/>
                      <w:bCs/>
                    </w:rPr>
                    <w:t>名 称</w:t>
                  </w:r>
                </w:p>
              </w:tc>
              <w:tc>
                <w:tcPr>
                  <w:tcW w:w="672" w:type="pct"/>
                  <w:tcBorders>
                    <w:tl2br w:val="nil"/>
                    <w:tr2bl w:val="nil"/>
                  </w:tcBorders>
                  <w:vAlign w:val="center"/>
                </w:tcPr>
                <w:p>
                  <w:pPr>
                    <w:pStyle w:val="37"/>
                    <w:rPr>
                      <w:b/>
                      <w:bCs/>
                    </w:rPr>
                  </w:pPr>
                  <w:r>
                    <w:rPr>
                      <w:b/>
                      <w:bCs/>
                    </w:rPr>
                    <w:t>年耗量</w:t>
                  </w:r>
                </w:p>
              </w:tc>
              <w:tc>
                <w:tcPr>
                  <w:tcW w:w="2572" w:type="pct"/>
                  <w:tcBorders>
                    <w:tl2br w:val="nil"/>
                    <w:tr2bl w:val="nil"/>
                  </w:tcBorders>
                  <w:vAlign w:val="center"/>
                </w:tcPr>
                <w:p>
                  <w:pPr>
                    <w:pStyle w:val="37"/>
                    <w:rPr>
                      <w:b/>
                      <w:bCs/>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tcBorders>
                    <w:tl2br w:val="nil"/>
                    <w:tr2bl w:val="nil"/>
                  </w:tcBorders>
                  <w:vAlign w:val="center"/>
                </w:tcPr>
                <w:p>
                  <w:pPr>
                    <w:pStyle w:val="37"/>
                  </w:pPr>
                  <w:r>
                    <w:t>车架冲压车间</w:t>
                  </w:r>
                </w:p>
              </w:tc>
              <w:tc>
                <w:tcPr>
                  <w:tcW w:w="933" w:type="pct"/>
                  <w:tcBorders>
                    <w:tl2br w:val="nil"/>
                    <w:tr2bl w:val="nil"/>
                  </w:tcBorders>
                  <w:vAlign w:val="center"/>
                </w:tcPr>
                <w:p>
                  <w:pPr>
                    <w:pStyle w:val="37"/>
                  </w:pPr>
                  <w:r>
                    <w:t>金属原材料</w:t>
                  </w:r>
                </w:p>
              </w:tc>
              <w:tc>
                <w:tcPr>
                  <w:tcW w:w="672" w:type="pct"/>
                  <w:tcBorders>
                    <w:tl2br w:val="nil"/>
                    <w:tr2bl w:val="nil"/>
                  </w:tcBorders>
                  <w:vAlign w:val="center"/>
                </w:tcPr>
                <w:p>
                  <w:pPr>
                    <w:pStyle w:val="37"/>
                  </w:pPr>
                  <w:r>
                    <w:t>60000t</w:t>
                  </w:r>
                </w:p>
              </w:tc>
              <w:tc>
                <w:tcPr>
                  <w:tcW w:w="2572" w:type="pct"/>
                  <w:tcBorders>
                    <w:tl2br w:val="nil"/>
                    <w:tr2bl w:val="nil"/>
                  </w:tcBorders>
                  <w:vAlign w:val="center"/>
                </w:tcPr>
                <w:p>
                  <w:pPr>
                    <w:pStyle w:val="37"/>
                  </w:pPr>
                  <w:r>
                    <w:t>主要为金属板材和金属铸件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tcBorders>
                    <w:tl2br w:val="nil"/>
                    <w:tr2bl w:val="nil"/>
                  </w:tcBorders>
                  <w:vAlign w:val="center"/>
                </w:tcPr>
                <w:p>
                  <w:pPr>
                    <w:pStyle w:val="37"/>
                  </w:pPr>
                  <w:r>
                    <w:t>车身冲压车间</w:t>
                  </w:r>
                </w:p>
              </w:tc>
              <w:tc>
                <w:tcPr>
                  <w:tcW w:w="933" w:type="pct"/>
                  <w:tcBorders>
                    <w:tl2br w:val="nil"/>
                    <w:tr2bl w:val="nil"/>
                  </w:tcBorders>
                  <w:vAlign w:val="center"/>
                </w:tcPr>
                <w:p>
                  <w:pPr>
                    <w:pStyle w:val="37"/>
                  </w:pPr>
                  <w:r>
                    <w:t>金属原材料</w:t>
                  </w:r>
                </w:p>
              </w:tc>
              <w:tc>
                <w:tcPr>
                  <w:tcW w:w="672" w:type="pct"/>
                  <w:tcBorders>
                    <w:tl2br w:val="nil"/>
                    <w:tr2bl w:val="nil"/>
                  </w:tcBorders>
                  <w:vAlign w:val="center"/>
                </w:tcPr>
                <w:p>
                  <w:pPr>
                    <w:pStyle w:val="37"/>
                  </w:pPr>
                  <w:r>
                    <w:t>13273t</w:t>
                  </w:r>
                </w:p>
              </w:tc>
              <w:tc>
                <w:tcPr>
                  <w:tcW w:w="2572" w:type="pct"/>
                  <w:tcBorders>
                    <w:tl2br w:val="nil"/>
                    <w:tr2bl w:val="nil"/>
                  </w:tcBorders>
                  <w:vAlign w:val="center"/>
                </w:tcPr>
                <w:p>
                  <w:pPr>
                    <w:pStyle w:val="37"/>
                  </w:pPr>
                  <w:r>
                    <w:t>主要为金属板材和金属铸件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restart"/>
                  <w:tcBorders>
                    <w:tl2br w:val="nil"/>
                    <w:tr2bl w:val="nil"/>
                  </w:tcBorders>
                  <w:vAlign w:val="center"/>
                </w:tcPr>
                <w:p>
                  <w:pPr>
                    <w:pStyle w:val="37"/>
                  </w:pPr>
                  <w:r>
                    <w:t>车架联合厂房焊装车间</w:t>
                  </w:r>
                </w:p>
              </w:tc>
              <w:tc>
                <w:tcPr>
                  <w:tcW w:w="933" w:type="pct"/>
                  <w:tcBorders>
                    <w:tl2br w:val="nil"/>
                    <w:tr2bl w:val="nil"/>
                  </w:tcBorders>
                  <w:vAlign w:val="center"/>
                </w:tcPr>
                <w:p>
                  <w:pPr>
                    <w:pStyle w:val="37"/>
                  </w:pPr>
                  <w:r>
                    <w:t>车架总成件</w:t>
                  </w:r>
                </w:p>
              </w:tc>
              <w:tc>
                <w:tcPr>
                  <w:tcW w:w="672" w:type="pct"/>
                  <w:tcBorders>
                    <w:tl2br w:val="nil"/>
                    <w:tr2bl w:val="nil"/>
                  </w:tcBorders>
                  <w:vAlign w:val="center"/>
                </w:tcPr>
                <w:p>
                  <w:pPr>
                    <w:pStyle w:val="37"/>
                  </w:pPr>
                  <w:r>
                    <w:t>291720件</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车架配件</w:t>
                  </w:r>
                </w:p>
              </w:tc>
              <w:tc>
                <w:tcPr>
                  <w:tcW w:w="672" w:type="pct"/>
                  <w:tcBorders>
                    <w:tl2br w:val="nil"/>
                    <w:tr2bl w:val="nil"/>
                  </w:tcBorders>
                  <w:vAlign w:val="center"/>
                </w:tcPr>
                <w:p>
                  <w:pPr>
                    <w:pStyle w:val="37"/>
                  </w:pPr>
                  <w:r>
                    <w:t>437580件</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CO</w:t>
                  </w:r>
                  <w:r>
                    <w:rPr>
                      <w:vertAlign w:val="subscript"/>
                    </w:rPr>
                    <w:t>2</w:t>
                  </w:r>
                  <w:r>
                    <w:t>焊丝</w:t>
                  </w:r>
                </w:p>
              </w:tc>
              <w:tc>
                <w:tcPr>
                  <w:tcW w:w="672" w:type="pct"/>
                  <w:tcBorders>
                    <w:tl2br w:val="nil"/>
                    <w:tr2bl w:val="nil"/>
                  </w:tcBorders>
                  <w:vAlign w:val="center"/>
                </w:tcPr>
                <w:p>
                  <w:pPr>
                    <w:pStyle w:val="37"/>
                  </w:pPr>
                  <w:r>
                    <w:t>285t</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restart"/>
                  <w:tcBorders>
                    <w:tl2br w:val="nil"/>
                    <w:tr2bl w:val="nil"/>
                  </w:tcBorders>
                  <w:vAlign w:val="center"/>
                </w:tcPr>
                <w:p>
                  <w:pPr>
                    <w:pStyle w:val="37"/>
                  </w:pPr>
                  <w:r>
                    <w:t>智能装备中心</w:t>
                  </w:r>
                </w:p>
              </w:tc>
              <w:tc>
                <w:tcPr>
                  <w:tcW w:w="933" w:type="pct"/>
                  <w:tcBorders>
                    <w:tl2br w:val="nil"/>
                    <w:tr2bl w:val="nil"/>
                  </w:tcBorders>
                  <w:vAlign w:val="center"/>
                </w:tcPr>
                <w:p>
                  <w:pPr>
                    <w:pStyle w:val="37"/>
                  </w:pPr>
                  <w:r>
                    <w:t>金属原材料</w:t>
                  </w:r>
                </w:p>
              </w:tc>
              <w:tc>
                <w:tcPr>
                  <w:tcW w:w="672" w:type="pct"/>
                  <w:tcBorders>
                    <w:tl2br w:val="nil"/>
                    <w:tr2bl w:val="nil"/>
                  </w:tcBorders>
                  <w:vAlign w:val="center"/>
                </w:tcPr>
                <w:p>
                  <w:pPr>
                    <w:pStyle w:val="37"/>
                  </w:pPr>
                  <w:r>
                    <w:t>4550t</w:t>
                  </w:r>
                </w:p>
              </w:tc>
              <w:tc>
                <w:tcPr>
                  <w:tcW w:w="2572" w:type="pct"/>
                  <w:tcBorders>
                    <w:tl2br w:val="nil"/>
                    <w:tr2bl w:val="nil"/>
                  </w:tcBorders>
                  <w:vAlign w:val="center"/>
                </w:tcPr>
                <w:p>
                  <w:pPr>
                    <w:pStyle w:val="37"/>
                  </w:pPr>
                  <w:r>
                    <w:t>主要为金属板材和金属铸件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醇酸磁漆</w:t>
                  </w:r>
                </w:p>
              </w:tc>
              <w:tc>
                <w:tcPr>
                  <w:tcW w:w="672" w:type="pct"/>
                  <w:tcBorders>
                    <w:tl2br w:val="nil"/>
                    <w:tr2bl w:val="nil"/>
                  </w:tcBorders>
                  <w:vAlign w:val="center"/>
                </w:tcPr>
                <w:p>
                  <w:pPr>
                    <w:pStyle w:val="37"/>
                  </w:pPr>
                  <w:r>
                    <w:t>2.0t</w:t>
                  </w:r>
                </w:p>
              </w:tc>
              <w:tc>
                <w:tcPr>
                  <w:tcW w:w="2572" w:type="pct"/>
                  <w:tcBorders>
                    <w:tl2br w:val="nil"/>
                    <w:tr2bl w:val="nil"/>
                  </w:tcBorders>
                  <w:vAlign w:val="center"/>
                </w:tcPr>
                <w:p>
                  <w:pPr>
                    <w:pStyle w:val="37"/>
                  </w:pPr>
                  <w:r>
                    <w:t>主要成分为醇酸树脂，颜料、助剂、溶剂（含二甲苯）等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硝基磁漆</w:t>
                  </w:r>
                </w:p>
              </w:tc>
              <w:tc>
                <w:tcPr>
                  <w:tcW w:w="672" w:type="pct"/>
                  <w:tcBorders>
                    <w:tl2br w:val="nil"/>
                    <w:tr2bl w:val="nil"/>
                  </w:tcBorders>
                  <w:vAlign w:val="center"/>
                </w:tcPr>
                <w:p>
                  <w:pPr>
                    <w:pStyle w:val="37"/>
                  </w:pPr>
                  <w:r>
                    <w:t>2.0t</w:t>
                  </w:r>
                </w:p>
              </w:tc>
              <w:tc>
                <w:tcPr>
                  <w:tcW w:w="2572" w:type="pct"/>
                  <w:tcBorders>
                    <w:tl2br w:val="nil"/>
                    <w:tr2bl w:val="nil"/>
                  </w:tcBorders>
                  <w:vAlign w:val="center"/>
                </w:tcPr>
                <w:p>
                  <w:pPr>
                    <w:pStyle w:val="37"/>
                  </w:pPr>
                  <w:r>
                    <w:t>主要成分为硝化棉、醇酸树脂、颜料、增塑剂及二甲苯等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稀释剂</w:t>
                  </w:r>
                </w:p>
              </w:tc>
              <w:tc>
                <w:tcPr>
                  <w:tcW w:w="672" w:type="pct"/>
                  <w:tcBorders>
                    <w:tl2br w:val="nil"/>
                    <w:tr2bl w:val="nil"/>
                  </w:tcBorders>
                  <w:vAlign w:val="center"/>
                </w:tcPr>
                <w:p>
                  <w:pPr>
                    <w:pStyle w:val="37"/>
                  </w:pPr>
                  <w:r>
                    <w:t>1.0t</w:t>
                  </w:r>
                </w:p>
              </w:tc>
              <w:tc>
                <w:tcPr>
                  <w:tcW w:w="2572" w:type="pct"/>
                  <w:tcBorders>
                    <w:tl2br w:val="nil"/>
                    <w:tr2bl w:val="nil"/>
                  </w:tcBorders>
                  <w:vAlign w:val="center"/>
                </w:tcPr>
                <w:p>
                  <w:pPr>
                    <w:pStyle w:val="37"/>
                  </w:pPr>
                  <w:r>
                    <w:t>主要成分为乙酸丁酯、二甲苯和乙酸丙基酯等挥发性有机溶剂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切削液</w:t>
                  </w:r>
                </w:p>
              </w:tc>
              <w:tc>
                <w:tcPr>
                  <w:tcW w:w="672" w:type="pct"/>
                  <w:tcBorders>
                    <w:tl2br w:val="nil"/>
                    <w:tr2bl w:val="nil"/>
                  </w:tcBorders>
                  <w:vAlign w:val="center"/>
                </w:tcPr>
                <w:p>
                  <w:pPr>
                    <w:pStyle w:val="37"/>
                  </w:pPr>
                  <w:r>
                    <w:t>0.3t</w:t>
                  </w:r>
                </w:p>
              </w:tc>
              <w:tc>
                <w:tcPr>
                  <w:tcW w:w="2572" w:type="pct"/>
                  <w:tcBorders>
                    <w:tl2br w:val="nil"/>
                    <w:tr2bl w:val="nil"/>
                  </w:tcBorders>
                  <w:vAlign w:val="center"/>
                </w:tcPr>
                <w:p>
                  <w:pPr>
                    <w:pStyle w:val="37"/>
                  </w:pPr>
                  <w:r>
                    <w:t>主要成分为基础油、特种乳化剂、复合润滑剂、进口极压剂、去离子水、辅助助剂等；其含量分别为油脂51%、防酸化剂5%、去离子水44%。使用过程中需加水稀释后再使用，稀释倍数约为20倍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基础油及添加剂</w:t>
                  </w:r>
                </w:p>
              </w:tc>
              <w:tc>
                <w:tcPr>
                  <w:tcW w:w="672" w:type="pct"/>
                  <w:tcBorders>
                    <w:tl2br w:val="nil"/>
                    <w:tr2bl w:val="nil"/>
                  </w:tcBorders>
                  <w:vAlign w:val="center"/>
                </w:tcPr>
                <w:p>
                  <w:pPr>
                    <w:pStyle w:val="37"/>
                  </w:pPr>
                  <w:r>
                    <w:t>0.98t</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导轨油</w:t>
                  </w:r>
                </w:p>
              </w:tc>
              <w:tc>
                <w:tcPr>
                  <w:tcW w:w="672" w:type="pct"/>
                  <w:tcBorders>
                    <w:tl2br w:val="nil"/>
                    <w:tr2bl w:val="nil"/>
                  </w:tcBorders>
                  <w:vAlign w:val="center"/>
                </w:tcPr>
                <w:p>
                  <w:pPr>
                    <w:pStyle w:val="37"/>
                  </w:pPr>
                  <w:r>
                    <w:t>0.62t</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齿轮油</w:t>
                  </w:r>
                </w:p>
              </w:tc>
              <w:tc>
                <w:tcPr>
                  <w:tcW w:w="672" w:type="pct"/>
                  <w:tcBorders>
                    <w:tl2br w:val="nil"/>
                    <w:tr2bl w:val="nil"/>
                  </w:tcBorders>
                  <w:vAlign w:val="center"/>
                </w:tcPr>
                <w:p>
                  <w:pPr>
                    <w:pStyle w:val="37"/>
                  </w:pPr>
                  <w:r>
                    <w:t>0.3t</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轴承油</w:t>
                  </w:r>
                </w:p>
              </w:tc>
              <w:tc>
                <w:tcPr>
                  <w:tcW w:w="672" w:type="pct"/>
                  <w:tcBorders>
                    <w:tl2br w:val="nil"/>
                    <w:tr2bl w:val="nil"/>
                  </w:tcBorders>
                  <w:vAlign w:val="center"/>
                </w:tcPr>
                <w:p>
                  <w:pPr>
                    <w:pStyle w:val="37"/>
                  </w:pPr>
                  <w:r>
                    <w:t>0.4t</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抗磨液压油</w:t>
                  </w:r>
                </w:p>
              </w:tc>
              <w:tc>
                <w:tcPr>
                  <w:tcW w:w="672" w:type="pct"/>
                  <w:tcBorders>
                    <w:tl2br w:val="nil"/>
                    <w:tr2bl w:val="nil"/>
                  </w:tcBorders>
                  <w:vAlign w:val="center"/>
                </w:tcPr>
                <w:p>
                  <w:pPr>
                    <w:pStyle w:val="37"/>
                  </w:pPr>
                  <w:r>
                    <w:t>1.368t</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冷却液</w:t>
                  </w:r>
                </w:p>
              </w:tc>
              <w:tc>
                <w:tcPr>
                  <w:tcW w:w="672" w:type="pct"/>
                  <w:tcBorders>
                    <w:tl2br w:val="nil"/>
                    <w:tr2bl w:val="nil"/>
                  </w:tcBorders>
                  <w:vAlign w:val="center"/>
                </w:tcPr>
                <w:p>
                  <w:pPr>
                    <w:pStyle w:val="37"/>
                  </w:pPr>
                  <w:r>
                    <w:t>0.8t</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润滑剂</w:t>
                  </w:r>
                </w:p>
              </w:tc>
              <w:tc>
                <w:tcPr>
                  <w:tcW w:w="672" w:type="pct"/>
                  <w:tcBorders>
                    <w:tl2br w:val="nil"/>
                    <w:tr2bl w:val="nil"/>
                  </w:tcBorders>
                  <w:vAlign w:val="center"/>
                </w:tcPr>
                <w:p>
                  <w:pPr>
                    <w:pStyle w:val="37"/>
                  </w:pPr>
                  <w:r>
                    <w:t>3.5t</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焊丝</w:t>
                  </w:r>
                </w:p>
              </w:tc>
              <w:tc>
                <w:tcPr>
                  <w:tcW w:w="672" w:type="pct"/>
                  <w:tcBorders>
                    <w:tl2br w:val="nil"/>
                    <w:tr2bl w:val="nil"/>
                  </w:tcBorders>
                  <w:vAlign w:val="center"/>
                </w:tcPr>
                <w:p>
                  <w:pPr>
                    <w:pStyle w:val="37"/>
                  </w:pPr>
                  <w:r>
                    <w:t>1.0t</w:t>
                  </w:r>
                </w:p>
              </w:tc>
              <w:tc>
                <w:tcPr>
                  <w:tcW w:w="2572" w:type="pct"/>
                  <w:tcBorders>
                    <w:tl2br w:val="nil"/>
                    <w:tr2bl w:val="nil"/>
                  </w:tcBorders>
                  <w:vAlign w:val="center"/>
                </w:tcPr>
                <w:p>
                  <w:pPr>
                    <w:pStyle w:val="37"/>
                  </w:pPr>
                  <w:r>
                    <w:t>即CO</w:t>
                  </w:r>
                  <w:r>
                    <w:rPr>
                      <w:vertAlign w:val="subscript"/>
                    </w:rPr>
                    <w:t>2</w:t>
                  </w:r>
                  <w:r>
                    <w:t>气体保护焊丝；主要成分为铁，含有一定量的锰和硅等脱氧剂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乙炔</w:t>
                  </w:r>
                </w:p>
              </w:tc>
              <w:tc>
                <w:tcPr>
                  <w:tcW w:w="672" w:type="pct"/>
                  <w:tcBorders>
                    <w:tl2br w:val="nil"/>
                    <w:tr2bl w:val="nil"/>
                  </w:tcBorders>
                  <w:vAlign w:val="center"/>
                </w:tcPr>
                <w:p>
                  <w:pPr>
                    <w:pStyle w:val="37"/>
                  </w:pPr>
                  <w:r>
                    <w:t>2560m</w:t>
                  </w:r>
                  <w:r>
                    <w:rPr>
                      <w:vertAlign w:val="superscript"/>
                    </w:rPr>
                    <w:t>3</w:t>
                  </w:r>
                </w:p>
              </w:tc>
              <w:tc>
                <w:tcPr>
                  <w:tcW w:w="2572" w:type="pct"/>
                  <w:tcBorders>
                    <w:tl2br w:val="nil"/>
                    <w:tr2bl w:val="nil"/>
                  </w:tcBorders>
                  <w:vAlign w:val="center"/>
                </w:tcPr>
                <w:p>
                  <w:pPr>
                    <w:pStyle w:val="37"/>
                  </w:pPr>
                  <w:r>
                    <w:t>钢瓶装，50kg/瓶；易燃气体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氧气</w:t>
                  </w:r>
                </w:p>
              </w:tc>
              <w:tc>
                <w:tcPr>
                  <w:tcW w:w="672" w:type="pct"/>
                  <w:tcBorders>
                    <w:tl2br w:val="nil"/>
                    <w:tr2bl w:val="nil"/>
                  </w:tcBorders>
                  <w:vAlign w:val="center"/>
                </w:tcPr>
                <w:p>
                  <w:pPr>
                    <w:pStyle w:val="37"/>
                  </w:pPr>
                  <w:r>
                    <w:t>3200m</w:t>
                  </w:r>
                  <w:r>
                    <w:rPr>
                      <w:vertAlign w:val="superscript"/>
                    </w:rPr>
                    <w:t>3</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二氧化碳</w:t>
                  </w:r>
                </w:p>
              </w:tc>
              <w:tc>
                <w:tcPr>
                  <w:tcW w:w="672" w:type="pct"/>
                  <w:tcBorders>
                    <w:tl2br w:val="nil"/>
                    <w:tr2bl w:val="nil"/>
                  </w:tcBorders>
                  <w:vAlign w:val="center"/>
                </w:tcPr>
                <w:p>
                  <w:pPr>
                    <w:pStyle w:val="37"/>
                  </w:pPr>
                  <w:r>
                    <w:t>960m</w:t>
                  </w:r>
                  <w:r>
                    <w:rPr>
                      <w:vertAlign w:val="superscript"/>
                    </w:rPr>
                    <w:t>3</w:t>
                  </w:r>
                </w:p>
              </w:tc>
              <w:tc>
                <w:tcPr>
                  <w:tcW w:w="2572" w:type="pct"/>
                  <w:tcBorders>
                    <w:tl2br w:val="nil"/>
                    <w:tr2bl w:val="nil"/>
                  </w:tcBorders>
                  <w:vAlign w:val="center"/>
                </w:tcPr>
                <w:p>
                  <w:pPr>
                    <w:pStyle w:val="37"/>
                  </w:pPr>
                  <w:r>
                    <w:t>钢瓶装，50kg/瓶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丙烷</w:t>
                  </w:r>
                </w:p>
              </w:tc>
              <w:tc>
                <w:tcPr>
                  <w:tcW w:w="672" w:type="pct"/>
                  <w:tcBorders>
                    <w:tl2br w:val="nil"/>
                    <w:tr2bl w:val="nil"/>
                  </w:tcBorders>
                  <w:vAlign w:val="center"/>
                </w:tcPr>
                <w:p>
                  <w:pPr>
                    <w:pStyle w:val="37"/>
                  </w:pPr>
                  <w:r>
                    <w:t>50m</w:t>
                  </w:r>
                  <w:r>
                    <w:rPr>
                      <w:vertAlign w:val="superscript"/>
                    </w:rPr>
                    <w:t>3</w:t>
                  </w:r>
                </w:p>
              </w:tc>
              <w:tc>
                <w:tcPr>
                  <w:tcW w:w="2572" w:type="pct"/>
                  <w:tcBorders>
                    <w:tl2br w:val="nil"/>
                    <w:tr2bl w:val="nil"/>
                  </w:tcBorders>
                  <w:vAlign w:val="center"/>
                </w:tcPr>
                <w:p>
                  <w:pPr>
                    <w:pStyle w:val="37"/>
                  </w:pPr>
                  <w:r>
                    <w:t>钢瓶装，50kg/瓶；易燃气体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液氧</w:t>
                  </w:r>
                </w:p>
              </w:tc>
              <w:tc>
                <w:tcPr>
                  <w:tcW w:w="672" w:type="pct"/>
                  <w:tcBorders>
                    <w:tl2br w:val="nil"/>
                    <w:tr2bl w:val="nil"/>
                  </w:tcBorders>
                  <w:vAlign w:val="center"/>
                </w:tcPr>
                <w:p>
                  <w:pPr>
                    <w:pStyle w:val="37"/>
                  </w:pPr>
                  <w:r>
                    <w:t>40罐</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氩气</w:t>
                  </w:r>
                </w:p>
              </w:tc>
              <w:tc>
                <w:tcPr>
                  <w:tcW w:w="672" w:type="pct"/>
                  <w:tcBorders>
                    <w:tl2br w:val="nil"/>
                    <w:tr2bl w:val="nil"/>
                  </w:tcBorders>
                  <w:vAlign w:val="center"/>
                </w:tcPr>
                <w:p>
                  <w:pPr>
                    <w:pStyle w:val="37"/>
                  </w:pPr>
                  <w:r>
                    <w:t>20m</w:t>
                  </w:r>
                  <w:r>
                    <w:rPr>
                      <w:vertAlign w:val="superscript"/>
                    </w:rPr>
                    <w:t>3</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restart"/>
                  <w:tcBorders>
                    <w:tl2br w:val="nil"/>
                    <w:tr2bl w:val="nil"/>
                  </w:tcBorders>
                  <w:vAlign w:val="center"/>
                </w:tcPr>
                <w:p>
                  <w:pPr>
                    <w:pStyle w:val="37"/>
                  </w:pPr>
                  <w:r>
                    <w:rPr>
                      <w:rFonts w:hint="eastAsia"/>
                    </w:rPr>
                    <w:t>焊接车间</w:t>
                  </w:r>
                </w:p>
              </w:tc>
              <w:tc>
                <w:tcPr>
                  <w:tcW w:w="933" w:type="pct"/>
                  <w:tcBorders>
                    <w:tl2br w:val="nil"/>
                    <w:tr2bl w:val="nil"/>
                  </w:tcBorders>
                  <w:vAlign w:val="center"/>
                </w:tcPr>
                <w:p>
                  <w:pPr>
                    <w:pStyle w:val="37"/>
                  </w:pPr>
                  <w:r>
                    <w:t>钢材</w:t>
                  </w:r>
                </w:p>
              </w:tc>
              <w:tc>
                <w:tcPr>
                  <w:tcW w:w="672" w:type="pct"/>
                  <w:tcBorders>
                    <w:tl2br w:val="nil"/>
                    <w:tr2bl w:val="nil"/>
                  </w:tcBorders>
                  <w:vAlign w:val="center"/>
                </w:tcPr>
                <w:p>
                  <w:pPr>
                    <w:pStyle w:val="37"/>
                  </w:pPr>
                  <w:r>
                    <w:t>13万吨</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CO</w:t>
                  </w:r>
                  <w:r>
                    <w:rPr>
                      <w:vertAlign w:val="subscript"/>
                    </w:rPr>
                    <w:t>2</w:t>
                  </w:r>
                </w:p>
              </w:tc>
              <w:tc>
                <w:tcPr>
                  <w:tcW w:w="672" w:type="pct"/>
                  <w:tcBorders>
                    <w:tl2br w:val="nil"/>
                    <w:tr2bl w:val="nil"/>
                  </w:tcBorders>
                  <w:vAlign w:val="center"/>
                </w:tcPr>
                <w:p>
                  <w:pPr>
                    <w:pStyle w:val="37"/>
                  </w:pPr>
                  <w:r>
                    <w:t>120L</w:t>
                  </w:r>
                </w:p>
              </w:tc>
              <w:tc>
                <w:tcPr>
                  <w:tcW w:w="2572" w:type="pct"/>
                  <w:tcBorders>
                    <w:tl2br w:val="nil"/>
                    <w:tr2bl w:val="nil"/>
                  </w:tcBorders>
                  <w:vAlign w:val="center"/>
                </w:tcPr>
                <w:p>
                  <w:pPr>
                    <w:pStyle w:val="37"/>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Ar</w:t>
                  </w:r>
                </w:p>
              </w:tc>
              <w:tc>
                <w:tcPr>
                  <w:tcW w:w="672" w:type="pct"/>
                  <w:tcBorders>
                    <w:tl2br w:val="nil"/>
                    <w:tr2bl w:val="nil"/>
                  </w:tcBorders>
                  <w:vAlign w:val="center"/>
                </w:tcPr>
                <w:p>
                  <w:pPr>
                    <w:pStyle w:val="37"/>
                  </w:pPr>
                  <w:r>
                    <w:t>480L</w:t>
                  </w:r>
                </w:p>
              </w:tc>
              <w:tc>
                <w:tcPr>
                  <w:tcW w:w="2572" w:type="pct"/>
                  <w:tcBorders>
                    <w:tl2br w:val="nil"/>
                    <w:tr2bl w:val="nil"/>
                  </w:tcBorders>
                  <w:vAlign w:val="center"/>
                </w:tcPr>
                <w:p>
                  <w:pPr>
                    <w:pStyle w:val="37"/>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焊丝</w:t>
                  </w:r>
                </w:p>
              </w:tc>
              <w:tc>
                <w:tcPr>
                  <w:tcW w:w="672" w:type="pct"/>
                  <w:tcBorders>
                    <w:tl2br w:val="nil"/>
                    <w:tr2bl w:val="nil"/>
                  </w:tcBorders>
                  <w:vAlign w:val="center"/>
                </w:tcPr>
                <w:p>
                  <w:pPr>
                    <w:pStyle w:val="37"/>
                  </w:pPr>
                  <w:r>
                    <w:t>300吨</w:t>
                  </w:r>
                </w:p>
              </w:tc>
              <w:tc>
                <w:tcPr>
                  <w:tcW w:w="2572" w:type="pct"/>
                  <w:tcBorders>
                    <w:tl2br w:val="nil"/>
                    <w:tr2bl w:val="nil"/>
                  </w:tcBorders>
                  <w:vAlign w:val="center"/>
                </w:tcPr>
                <w:p>
                  <w:pPr>
                    <w:pStyle w:val="37"/>
                  </w:pPr>
                  <w:r>
                    <w:t>φ1.2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restart"/>
                  <w:tcBorders>
                    <w:tl2br w:val="nil"/>
                    <w:tr2bl w:val="nil"/>
                  </w:tcBorders>
                  <w:vAlign w:val="center"/>
                </w:tcPr>
                <w:p>
                  <w:pPr>
                    <w:pStyle w:val="37"/>
                  </w:pPr>
                  <w:r>
                    <w:rPr>
                      <w:rFonts w:hint="eastAsia"/>
                    </w:rPr>
                    <w:t>冲压车间</w:t>
                  </w:r>
                </w:p>
              </w:tc>
              <w:tc>
                <w:tcPr>
                  <w:tcW w:w="933" w:type="pct"/>
                  <w:tcBorders>
                    <w:tl2br w:val="nil"/>
                    <w:tr2bl w:val="nil"/>
                  </w:tcBorders>
                  <w:vAlign w:val="center"/>
                </w:tcPr>
                <w:p>
                  <w:pPr>
                    <w:pStyle w:val="37"/>
                  </w:pPr>
                  <w:r>
                    <w:t>钢材</w:t>
                  </w:r>
                </w:p>
              </w:tc>
              <w:tc>
                <w:tcPr>
                  <w:tcW w:w="672" w:type="pct"/>
                  <w:tcBorders>
                    <w:tl2br w:val="nil"/>
                    <w:tr2bl w:val="nil"/>
                  </w:tcBorders>
                  <w:vAlign w:val="center"/>
                </w:tcPr>
                <w:p>
                  <w:pPr>
                    <w:pStyle w:val="37"/>
                  </w:pPr>
                  <w:r>
                    <w:t>50790</w:t>
                  </w:r>
                  <w:r>
                    <w:rPr>
                      <w:rFonts w:hint="eastAsia"/>
                    </w:rPr>
                    <w:t>t</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拉延油</w:t>
                  </w:r>
                </w:p>
              </w:tc>
              <w:tc>
                <w:tcPr>
                  <w:tcW w:w="672" w:type="pct"/>
                  <w:tcBorders>
                    <w:tl2br w:val="nil"/>
                    <w:tr2bl w:val="nil"/>
                  </w:tcBorders>
                  <w:vAlign w:val="center"/>
                </w:tcPr>
                <w:p>
                  <w:pPr>
                    <w:pStyle w:val="37"/>
                  </w:pPr>
                  <w:r>
                    <w:t>7600L</w:t>
                  </w:r>
                </w:p>
              </w:tc>
              <w:tc>
                <w:tcPr>
                  <w:tcW w:w="2572"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46#抗磨液压油</w:t>
                  </w:r>
                </w:p>
              </w:tc>
              <w:tc>
                <w:tcPr>
                  <w:tcW w:w="672" w:type="pct"/>
                  <w:tcBorders>
                    <w:tl2br w:val="nil"/>
                    <w:tr2bl w:val="nil"/>
                  </w:tcBorders>
                  <w:vAlign w:val="center"/>
                </w:tcPr>
                <w:p>
                  <w:pPr>
                    <w:pStyle w:val="37"/>
                  </w:pPr>
                  <w:r>
                    <w:t>1600kg</w:t>
                  </w:r>
                </w:p>
              </w:tc>
              <w:tc>
                <w:tcPr>
                  <w:tcW w:w="2572" w:type="pct"/>
                  <w:tcBorders>
                    <w:tl2br w:val="nil"/>
                    <w:tr2bl w:val="nil"/>
                  </w:tcBorders>
                  <w:vAlign w:val="center"/>
                </w:tcPr>
                <w:p>
                  <w:pPr>
                    <w:pStyle w:val="37"/>
                  </w:pPr>
                  <w: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1" w:type="pct"/>
                  <w:vMerge w:val="continue"/>
                  <w:tcBorders>
                    <w:tl2br w:val="nil"/>
                    <w:tr2bl w:val="nil"/>
                  </w:tcBorders>
                  <w:vAlign w:val="center"/>
                </w:tcPr>
                <w:p>
                  <w:pPr>
                    <w:pStyle w:val="37"/>
                  </w:pPr>
                </w:p>
              </w:tc>
              <w:tc>
                <w:tcPr>
                  <w:tcW w:w="933" w:type="pct"/>
                  <w:tcBorders>
                    <w:tl2br w:val="nil"/>
                    <w:tr2bl w:val="nil"/>
                  </w:tcBorders>
                  <w:vAlign w:val="center"/>
                </w:tcPr>
                <w:p>
                  <w:pPr>
                    <w:pStyle w:val="37"/>
                  </w:pPr>
                  <w:r>
                    <w:t>100#抗磨液压油</w:t>
                  </w:r>
                </w:p>
              </w:tc>
              <w:tc>
                <w:tcPr>
                  <w:tcW w:w="672" w:type="pct"/>
                  <w:tcBorders>
                    <w:tl2br w:val="nil"/>
                    <w:tr2bl w:val="nil"/>
                  </w:tcBorders>
                  <w:vAlign w:val="center"/>
                </w:tcPr>
                <w:p>
                  <w:pPr>
                    <w:pStyle w:val="37"/>
                  </w:pPr>
                  <w:r>
                    <w:t>6000kg</w:t>
                  </w:r>
                </w:p>
              </w:tc>
              <w:tc>
                <w:tcPr>
                  <w:tcW w:w="2572" w:type="pct"/>
                  <w:tcBorders>
                    <w:tl2br w:val="nil"/>
                    <w:tr2bl w:val="nil"/>
                  </w:tcBorders>
                  <w:vAlign w:val="center"/>
                </w:tcPr>
                <w:p>
                  <w:pPr>
                    <w:pStyle w:val="37"/>
                  </w:pPr>
                  <w:r>
                    <w:t>100#</w:t>
                  </w:r>
                </w:p>
              </w:tc>
            </w:tr>
          </w:tbl>
          <w:p>
            <w:pPr>
              <w:ind w:firstLine="482"/>
              <w:rPr>
                <w:b/>
                <w:bCs/>
                <w:color w:val="000000"/>
              </w:rPr>
            </w:pPr>
            <w:r>
              <w:rPr>
                <w:rFonts w:hint="eastAsia"/>
                <w:b/>
                <w:bCs/>
                <w:color w:val="000000"/>
              </w:rPr>
              <w:t>5、现有项目主要污染物产排情况</w:t>
            </w:r>
          </w:p>
          <w:p>
            <w:pPr>
              <w:ind w:firstLine="480"/>
              <w:rPr>
                <w:color w:val="000000"/>
              </w:rPr>
            </w:pPr>
            <w:r>
              <w:t>江铃汽车股份有限公司</w:t>
            </w:r>
            <w:r>
              <w:rPr>
                <w:rFonts w:hint="eastAsia"/>
              </w:rPr>
              <w:t>600亩建设用地范围内批复的项目目前均已</w:t>
            </w:r>
            <w:r>
              <w:rPr>
                <w:rFonts w:hint="eastAsia"/>
                <w:color w:val="000000"/>
              </w:rPr>
              <w:t>完成竣工环保自主验收，为此，现有工程的产排污情况结合</w:t>
            </w:r>
            <w:r>
              <w:rPr>
                <w:kern w:val="0"/>
                <w:szCs w:val="21"/>
                <w:lang w:val="zh-CN"/>
              </w:rPr>
              <w:t>《</w:t>
            </w:r>
            <w:r>
              <w:t>江铃汽车股份有限公司年产30万辆整车零部件配套生产扩能项目（二期）</w:t>
            </w:r>
            <w:r>
              <w:rPr>
                <w:rFonts w:hint="eastAsia"/>
              </w:rPr>
              <w:t>竣工环境保护验收监测</w:t>
            </w:r>
            <w:r>
              <w:t>报告表</w:t>
            </w:r>
            <w:r>
              <w:rPr>
                <w:kern w:val="0"/>
                <w:szCs w:val="21"/>
                <w:lang w:val="zh-CN"/>
              </w:rPr>
              <w:t>》</w:t>
            </w:r>
            <w:r>
              <w:rPr>
                <w:rFonts w:hint="eastAsia"/>
                <w:kern w:val="0"/>
                <w:szCs w:val="21"/>
              </w:rPr>
              <w:t>以及</w:t>
            </w:r>
            <w:r>
              <w:rPr>
                <w:rFonts w:hint="eastAsia"/>
                <w:szCs w:val="22"/>
              </w:rPr>
              <w:t>《江铃汽车股份有限公司零部件搬迁改造项目竣工环境保护验收监测报告书》</w:t>
            </w:r>
            <w:r>
              <w:rPr>
                <w:rFonts w:hint="eastAsia"/>
                <w:kern w:val="0"/>
                <w:szCs w:val="21"/>
              </w:rPr>
              <w:t>中的</w:t>
            </w:r>
            <w:r>
              <w:rPr>
                <w:rFonts w:hint="eastAsia"/>
                <w:color w:val="000000"/>
              </w:rPr>
              <w:t>验收监测数据进行分析，具体如下：</w:t>
            </w:r>
          </w:p>
          <w:p>
            <w:pPr>
              <w:ind w:firstLine="480"/>
            </w:pPr>
            <w:r>
              <w:rPr>
                <w:rFonts w:hint="eastAsia"/>
              </w:rPr>
              <w:t>①废气</w:t>
            </w:r>
          </w:p>
          <w:p>
            <w:pPr>
              <w:ind w:firstLine="480"/>
            </w:pPr>
            <w:r>
              <w:rPr>
                <w:rFonts w:hint="eastAsia"/>
              </w:rPr>
              <w:t>1）有组织废气</w:t>
            </w:r>
          </w:p>
          <w:p>
            <w:pPr>
              <w:pStyle w:val="38"/>
              <w:rPr>
                <w:rFonts w:hint="eastAsia"/>
              </w:rPr>
            </w:pPr>
          </w:p>
          <w:p>
            <w:pPr>
              <w:pStyle w:val="38"/>
              <w:rPr>
                <w:rFonts w:hint="eastAsia"/>
              </w:rPr>
            </w:pPr>
          </w:p>
          <w:p>
            <w:pPr>
              <w:pStyle w:val="38"/>
              <w:rPr>
                <w:rFonts w:hint="eastAsia"/>
              </w:rPr>
            </w:pPr>
          </w:p>
          <w:p>
            <w:pPr>
              <w:pStyle w:val="38"/>
              <w:rPr>
                <w:rFonts w:hint="eastAsia"/>
              </w:rPr>
            </w:pPr>
          </w:p>
          <w:p>
            <w:pPr>
              <w:pStyle w:val="38"/>
              <w:rPr>
                <w:rFonts w:hint="eastAsia"/>
              </w:rPr>
            </w:pPr>
          </w:p>
          <w:p>
            <w:pPr>
              <w:pStyle w:val="38"/>
              <w:rPr>
                <w:rFonts w:hint="eastAsia"/>
              </w:rPr>
            </w:pPr>
          </w:p>
          <w:p>
            <w:pPr>
              <w:pStyle w:val="38"/>
              <w:rPr>
                <w:rFonts w:hint="eastAsia"/>
              </w:rPr>
            </w:pPr>
          </w:p>
          <w:p>
            <w:pPr>
              <w:pStyle w:val="38"/>
            </w:pPr>
            <w:r>
              <w:rPr>
                <w:rFonts w:hint="eastAsia"/>
              </w:rPr>
              <w:t>表2-13  现有项目有</w:t>
            </w:r>
            <w:r>
              <w:t>组织废气排放情况一览表</w:t>
            </w:r>
          </w:p>
          <w:tbl>
            <w:tblPr>
              <w:tblStyle w:val="13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3"/>
              <w:gridCol w:w="786"/>
              <w:gridCol w:w="686"/>
              <w:gridCol w:w="32"/>
              <w:gridCol w:w="1370"/>
              <w:gridCol w:w="750"/>
              <w:gridCol w:w="787"/>
              <w:gridCol w:w="749"/>
              <w:gridCol w:w="755"/>
              <w:gridCol w:w="755"/>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404" w:type="pct"/>
                  <w:vAlign w:val="center"/>
                </w:tcPr>
                <w:p>
                  <w:pPr>
                    <w:pStyle w:val="37"/>
                    <w:rPr>
                      <w:b/>
                      <w:bCs/>
                    </w:rPr>
                  </w:pPr>
                  <w:r>
                    <w:rPr>
                      <w:rFonts w:hint="eastAsia"/>
                      <w:b/>
                      <w:bCs/>
                    </w:rPr>
                    <w:t>采样时间</w:t>
                  </w:r>
                </w:p>
              </w:tc>
              <w:tc>
                <w:tcPr>
                  <w:tcW w:w="486" w:type="pct"/>
                  <w:vAlign w:val="center"/>
                </w:tcPr>
                <w:p>
                  <w:pPr>
                    <w:pStyle w:val="37"/>
                    <w:rPr>
                      <w:b/>
                      <w:bCs/>
                    </w:rPr>
                  </w:pPr>
                  <w:r>
                    <w:rPr>
                      <w:rFonts w:hint="eastAsia"/>
                      <w:b/>
                      <w:bCs/>
                    </w:rPr>
                    <w:t>监测点位</w:t>
                  </w:r>
                </w:p>
              </w:tc>
              <w:tc>
                <w:tcPr>
                  <w:tcW w:w="1291" w:type="pct"/>
                  <w:gridSpan w:val="3"/>
                  <w:vAlign w:val="center"/>
                </w:tcPr>
                <w:p>
                  <w:pPr>
                    <w:pStyle w:val="37"/>
                    <w:rPr>
                      <w:b/>
                      <w:bCs/>
                    </w:rPr>
                  </w:pPr>
                  <w:r>
                    <w:rPr>
                      <w:rFonts w:hint="eastAsia"/>
                      <w:b/>
                      <w:bCs/>
                    </w:rPr>
                    <w:t>检测项目</w:t>
                  </w:r>
                </w:p>
              </w:tc>
              <w:tc>
                <w:tcPr>
                  <w:tcW w:w="464" w:type="pct"/>
                  <w:vAlign w:val="center"/>
                </w:tcPr>
                <w:p>
                  <w:pPr>
                    <w:pStyle w:val="37"/>
                    <w:rPr>
                      <w:b/>
                      <w:bCs/>
                    </w:rPr>
                  </w:pPr>
                  <w:r>
                    <w:rPr>
                      <w:rFonts w:hint="eastAsia"/>
                      <w:b/>
                      <w:bCs/>
                    </w:rPr>
                    <w:t>第一次</w:t>
                  </w:r>
                </w:p>
              </w:tc>
              <w:tc>
                <w:tcPr>
                  <w:tcW w:w="487" w:type="pct"/>
                  <w:vAlign w:val="center"/>
                </w:tcPr>
                <w:p>
                  <w:pPr>
                    <w:pStyle w:val="37"/>
                    <w:rPr>
                      <w:b/>
                      <w:bCs/>
                    </w:rPr>
                  </w:pPr>
                  <w:r>
                    <w:rPr>
                      <w:rFonts w:hint="eastAsia"/>
                      <w:b/>
                      <w:bCs/>
                    </w:rPr>
                    <w:t>第二次</w:t>
                  </w:r>
                </w:p>
              </w:tc>
              <w:tc>
                <w:tcPr>
                  <w:tcW w:w="463" w:type="pct"/>
                  <w:vAlign w:val="center"/>
                </w:tcPr>
                <w:p>
                  <w:pPr>
                    <w:pStyle w:val="37"/>
                    <w:rPr>
                      <w:b/>
                      <w:bCs/>
                    </w:rPr>
                  </w:pPr>
                  <w:r>
                    <w:rPr>
                      <w:rFonts w:hint="eastAsia"/>
                      <w:b/>
                      <w:bCs/>
                    </w:rPr>
                    <w:t>第三次</w:t>
                  </w:r>
                </w:p>
              </w:tc>
              <w:tc>
                <w:tcPr>
                  <w:tcW w:w="467" w:type="pct"/>
                  <w:vAlign w:val="center"/>
                </w:tcPr>
                <w:p>
                  <w:pPr>
                    <w:pStyle w:val="37"/>
                    <w:rPr>
                      <w:b/>
                      <w:bCs/>
                    </w:rPr>
                  </w:pPr>
                  <w:r>
                    <w:rPr>
                      <w:rFonts w:hint="eastAsia"/>
                      <w:b/>
                      <w:bCs/>
                    </w:rPr>
                    <w:t>最大值</w:t>
                  </w:r>
                </w:p>
              </w:tc>
              <w:tc>
                <w:tcPr>
                  <w:tcW w:w="467" w:type="pct"/>
                  <w:vAlign w:val="center"/>
                </w:tcPr>
                <w:p>
                  <w:pPr>
                    <w:pStyle w:val="37"/>
                    <w:rPr>
                      <w:b/>
                      <w:bCs/>
                    </w:rPr>
                  </w:pPr>
                  <w:r>
                    <w:rPr>
                      <w:rFonts w:hint="eastAsia"/>
                      <w:b/>
                      <w:bCs/>
                    </w:rPr>
                    <w:t>标准值</w:t>
                  </w:r>
                </w:p>
              </w:tc>
              <w:tc>
                <w:tcPr>
                  <w:tcW w:w="469" w:type="pct"/>
                  <w:vAlign w:val="center"/>
                </w:tcPr>
                <w:p>
                  <w:pPr>
                    <w:pStyle w:val="37"/>
                    <w:rPr>
                      <w:b/>
                      <w:bCs/>
                    </w:rPr>
                  </w:pPr>
                  <w:r>
                    <w:rPr>
                      <w:rFonts w:hint="eastAsia"/>
                      <w:b/>
                      <w:bC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8月11日</w:t>
                  </w:r>
                </w:p>
              </w:tc>
              <w:tc>
                <w:tcPr>
                  <w:tcW w:w="486" w:type="pct"/>
                  <w:vMerge w:val="restart"/>
                  <w:vAlign w:val="center"/>
                </w:tcPr>
                <w:p>
                  <w:pPr>
                    <w:pStyle w:val="37"/>
                  </w:pPr>
                  <w:r>
                    <w:t>焊接烟尘排气口1</w:t>
                  </w:r>
                </w:p>
              </w:tc>
              <w:tc>
                <w:tcPr>
                  <w:tcW w:w="424" w:type="pct"/>
                  <w:vMerge w:val="restart"/>
                  <w:vAlign w:val="center"/>
                </w:tcPr>
                <w:p>
                  <w:pPr>
                    <w:pStyle w:val="37"/>
                  </w:pPr>
                  <w:r>
                    <w:t>颗粒物</w:t>
                  </w:r>
                </w:p>
              </w:tc>
              <w:tc>
                <w:tcPr>
                  <w:tcW w:w="866" w:type="pct"/>
                  <w:gridSpan w:val="2"/>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24" w:type="pct"/>
                  <w:vMerge w:val="continue"/>
                  <w:vAlign w:val="center"/>
                </w:tcPr>
                <w:p>
                  <w:pPr>
                    <w:pStyle w:val="37"/>
                  </w:pPr>
                </w:p>
              </w:tc>
              <w:tc>
                <w:tcPr>
                  <w:tcW w:w="866" w:type="pct"/>
                  <w:gridSpan w:val="2"/>
                  <w:vAlign w:val="center"/>
                </w:tcPr>
                <w:p>
                  <w:pPr>
                    <w:pStyle w:val="37"/>
                  </w:pPr>
                  <w:r>
                    <w:t>排放速率(kg/h)</w:t>
                  </w:r>
                </w:p>
              </w:tc>
              <w:tc>
                <w:tcPr>
                  <w:tcW w:w="464" w:type="pct"/>
                  <w:vAlign w:val="center"/>
                </w:tcPr>
                <w:p>
                  <w:pPr>
                    <w:pStyle w:val="37"/>
                  </w:pPr>
                  <w:r>
                    <w:t>&lt;0.153</w:t>
                  </w:r>
                </w:p>
              </w:tc>
              <w:tc>
                <w:tcPr>
                  <w:tcW w:w="487" w:type="pct"/>
                  <w:vAlign w:val="center"/>
                </w:tcPr>
                <w:p>
                  <w:pPr>
                    <w:pStyle w:val="37"/>
                  </w:pPr>
                  <w:r>
                    <w:t>&lt;0.156</w:t>
                  </w:r>
                </w:p>
              </w:tc>
              <w:tc>
                <w:tcPr>
                  <w:tcW w:w="463" w:type="pct"/>
                  <w:vAlign w:val="center"/>
                </w:tcPr>
                <w:p>
                  <w:pPr>
                    <w:pStyle w:val="37"/>
                  </w:pPr>
                  <w:r>
                    <w:t>&lt;0.169</w:t>
                  </w:r>
                </w:p>
              </w:tc>
              <w:tc>
                <w:tcPr>
                  <w:tcW w:w="467" w:type="pct"/>
                  <w:vAlign w:val="center"/>
                </w:tcPr>
                <w:p>
                  <w:pPr>
                    <w:pStyle w:val="37"/>
                  </w:pPr>
                  <w:r>
                    <w:t>&lt;0.169</w:t>
                  </w:r>
                </w:p>
              </w:tc>
              <w:tc>
                <w:tcPr>
                  <w:tcW w:w="467" w:type="pct"/>
                  <w:vAlign w:val="center"/>
                </w:tcPr>
                <w:p>
                  <w:pPr>
                    <w:pStyle w:val="37"/>
                  </w:pPr>
                  <w:r>
                    <w:t>3.5</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7672</w:t>
                  </w:r>
                </w:p>
              </w:tc>
              <w:tc>
                <w:tcPr>
                  <w:tcW w:w="487" w:type="pct"/>
                  <w:vAlign w:val="center"/>
                </w:tcPr>
                <w:p>
                  <w:pPr>
                    <w:pStyle w:val="37"/>
                  </w:pPr>
                  <w:r>
                    <w:t>7786</w:t>
                  </w:r>
                </w:p>
              </w:tc>
              <w:tc>
                <w:tcPr>
                  <w:tcW w:w="463" w:type="pct"/>
                  <w:vAlign w:val="center"/>
                </w:tcPr>
                <w:p>
                  <w:pPr>
                    <w:pStyle w:val="37"/>
                  </w:pPr>
                  <w:r>
                    <w:t>8431</w:t>
                  </w:r>
                </w:p>
              </w:tc>
              <w:tc>
                <w:tcPr>
                  <w:tcW w:w="467" w:type="pct"/>
                  <w:vAlign w:val="center"/>
                </w:tcPr>
                <w:p>
                  <w:pPr>
                    <w:pStyle w:val="37"/>
                  </w:pPr>
                  <w:r>
                    <w:t>8431</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8月12</w:t>
                  </w:r>
                  <w:r>
                    <w:rPr>
                      <w:rFonts w:hint="eastAsia"/>
                    </w:rPr>
                    <w:t>日</w:t>
                  </w:r>
                </w:p>
              </w:tc>
              <w:tc>
                <w:tcPr>
                  <w:tcW w:w="486" w:type="pct"/>
                  <w:vMerge w:val="restart"/>
                  <w:vAlign w:val="center"/>
                </w:tcPr>
                <w:p>
                  <w:pPr>
                    <w:pStyle w:val="37"/>
                  </w:pPr>
                  <w:r>
                    <w:t>焊接烟尘排气口1</w:t>
                  </w:r>
                </w:p>
              </w:tc>
              <w:tc>
                <w:tcPr>
                  <w:tcW w:w="424" w:type="pct"/>
                  <w:vMerge w:val="restart"/>
                  <w:vAlign w:val="center"/>
                </w:tcPr>
                <w:p>
                  <w:pPr>
                    <w:pStyle w:val="37"/>
                  </w:pPr>
                  <w:r>
                    <w:t>颗粒物</w:t>
                  </w:r>
                </w:p>
              </w:tc>
              <w:tc>
                <w:tcPr>
                  <w:tcW w:w="866" w:type="pct"/>
                  <w:gridSpan w:val="2"/>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24" w:type="pct"/>
                  <w:vMerge w:val="continue"/>
                  <w:vAlign w:val="center"/>
                </w:tcPr>
                <w:p>
                  <w:pPr>
                    <w:pStyle w:val="37"/>
                  </w:pPr>
                </w:p>
              </w:tc>
              <w:tc>
                <w:tcPr>
                  <w:tcW w:w="866" w:type="pct"/>
                  <w:gridSpan w:val="2"/>
                  <w:vAlign w:val="center"/>
                </w:tcPr>
                <w:p>
                  <w:pPr>
                    <w:pStyle w:val="37"/>
                  </w:pPr>
                  <w:r>
                    <w:t>排放速率(kg/h)</w:t>
                  </w:r>
                </w:p>
              </w:tc>
              <w:tc>
                <w:tcPr>
                  <w:tcW w:w="464" w:type="pct"/>
                  <w:vAlign w:val="center"/>
                </w:tcPr>
                <w:p>
                  <w:pPr>
                    <w:pStyle w:val="37"/>
                  </w:pPr>
                  <w:r>
                    <w:t>&lt;0.150</w:t>
                  </w:r>
                </w:p>
              </w:tc>
              <w:tc>
                <w:tcPr>
                  <w:tcW w:w="487" w:type="pct"/>
                  <w:vAlign w:val="center"/>
                </w:tcPr>
                <w:p>
                  <w:pPr>
                    <w:pStyle w:val="37"/>
                  </w:pPr>
                  <w:r>
                    <w:t>&lt;0.160</w:t>
                  </w:r>
                </w:p>
              </w:tc>
              <w:tc>
                <w:tcPr>
                  <w:tcW w:w="463" w:type="pct"/>
                  <w:vAlign w:val="center"/>
                </w:tcPr>
                <w:p>
                  <w:pPr>
                    <w:pStyle w:val="37"/>
                  </w:pPr>
                  <w:r>
                    <w:t>&lt;0.156</w:t>
                  </w:r>
                </w:p>
              </w:tc>
              <w:tc>
                <w:tcPr>
                  <w:tcW w:w="467" w:type="pct"/>
                  <w:vAlign w:val="center"/>
                </w:tcPr>
                <w:p>
                  <w:pPr>
                    <w:pStyle w:val="37"/>
                  </w:pPr>
                  <w:r>
                    <w:t>&lt;0.160</w:t>
                  </w:r>
                </w:p>
              </w:tc>
              <w:tc>
                <w:tcPr>
                  <w:tcW w:w="467" w:type="pct"/>
                  <w:vAlign w:val="center"/>
                </w:tcPr>
                <w:p>
                  <w:pPr>
                    <w:pStyle w:val="37"/>
                  </w:pPr>
                  <w:r>
                    <w:t>3.5</w:t>
                  </w:r>
                </w:p>
              </w:tc>
              <w:tc>
                <w:tcPr>
                  <w:tcW w:w="469" w:type="pct"/>
                  <w:vAlign w:val="center"/>
                </w:tcPr>
                <w:p>
                  <w:pPr>
                    <w:pStyle w:val="37"/>
                  </w:pPr>
                  <w:r>
                    <w:t>达标</w:t>
                  </w:r>
                </w:p>
              </w:tc>
            </w:tr>
            <w:tr>
              <w:tblPrEx>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7536</w:t>
                  </w:r>
                </w:p>
              </w:tc>
              <w:tc>
                <w:tcPr>
                  <w:tcW w:w="487" w:type="pct"/>
                  <w:vAlign w:val="center"/>
                </w:tcPr>
                <w:p>
                  <w:pPr>
                    <w:pStyle w:val="37"/>
                  </w:pPr>
                  <w:r>
                    <w:t>7985</w:t>
                  </w:r>
                </w:p>
              </w:tc>
              <w:tc>
                <w:tcPr>
                  <w:tcW w:w="463" w:type="pct"/>
                  <w:vAlign w:val="center"/>
                </w:tcPr>
                <w:p>
                  <w:pPr>
                    <w:pStyle w:val="37"/>
                  </w:pPr>
                  <w:r>
                    <w:t>7825</w:t>
                  </w:r>
                </w:p>
              </w:tc>
              <w:tc>
                <w:tcPr>
                  <w:tcW w:w="467" w:type="pct"/>
                  <w:vAlign w:val="center"/>
                </w:tcPr>
                <w:p>
                  <w:pPr>
                    <w:pStyle w:val="37"/>
                  </w:pPr>
                  <w:r>
                    <w:t>7985</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8月11日</w:t>
                  </w:r>
                </w:p>
              </w:tc>
              <w:tc>
                <w:tcPr>
                  <w:tcW w:w="486" w:type="pct"/>
                  <w:vMerge w:val="restart"/>
                  <w:vAlign w:val="center"/>
                </w:tcPr>
                <w:p>
                  <w:pPr>
                    <w:pStyle w:val="37"/>
                  </w:pPr>
                  <w:r>
                    <w:t>焊接烟尘排气口2</w:t>
                  </w:r>
                </w:p>
              </w:tc>
              <w:tc>
                <w:tcPr>
                  <w:tcW w:w="424" w:type="pct"/>
                  <w:vMerge w:val="restart"/>
                  <w:vAlign w:val="center"/>
                </w:tcPr>
                <w:p>
                  <w:pPr>
                    <w:pStyle w:val="37"/>
                  </w:pPr>
                  <w:r>
                    <w:t>颗粒物</w:t>
                  </w:r>
                </w:p>
              </w:tc>
              <w:tc>
                <w:tcPr>
                  <w:tcW w:w="866" w:type="pct"/>
                  <w:gridSpan w:val="2"/>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24" w:type="pct"/>
                  <w:vMerge w:val="continue"/>
                  <w:vAlign w:val="center"/>
                </w:tcPr>
                <w:p>
                  <w:pPr>
                    <w:pStyle w:val="37"/>
                  </w:pPr>
                </w:p>
              </w:tc>
              <w:tc>
                <w:tcPr>
                  <w:tcW w:w="866" w:type="pct"/>
                  <w:gridSpan w:val="2"/>
                  <w:vAlign w:val="center"/>
                </w:tcPr>
                <w:p>
                  <w:pPr>
                    <w:pStyle w:val="37"/>
                  </w:pPr>
                  <w:r>
                    <w:t>排放速率(kg/h)</w:t>
                  </w:r>
                </w:p>
              </w:tc>
              <w:tc>
                <w:tcPr>
                  <w:tcW w:w="464" w:type="pct"/>
                  <w:vAlign w:val="center"/>
                </w:tcPr>
                <w:p>
                  <w:pPr>
                    <w:pStyle w:val="37"/>
                  </w:pPr>
                  <w:r>
                    <w:t>&lt;0.266</w:t>
                  </w:r>
                </w:p>
              </w:tc>
              <w:tc>
                <w:tcPr>
                  <w:tcW w:w="487" w:type="pct"/>
                  <w:vAlign w:val="center"/>
                </w:tcPr>
                <w:p>
                  <w:pPr>
                    <w:pStyle w:val="37"/>
                  </w:pPr>
                  <w:r>
                    <w:t>&lt;0.244</w:t>
                  </w:r>
                </w:p>
              </w:tc>
              <w:tc>
                <w:tcPr>
                  <w:tcW w:w="463" w:type="pct"/>
                  <w:vAlign w:val="center"/>
                </w:tcPr>
                <w:p>
                  <w:pPr>
                    <w:pStyle w:val="37"/>
                  </w:pPr>
                  <w:r>
                    <w:t>&lt;0.245</w:t>
                  </w:r>
                </w:p>
              </w:tc>
              <w:tc>
                <w:tcPr>
                  <w:tcW w:w="467" w:type="pct"/>
                  <w:vAlign w:val="center"/>
                </w:tcPr>
                <w:p>
                  <w:pPr>
                    <w:pStyle w:val="37"/>
                  </w:pPr>
                  <w:r>
                    <w:t>&lt;0.266</w:t>
                  </w:r>
                </w:p>
              </w:tc>
              <w:tc>
                <w:tcPr>
                  <w:tcW w:w="467" w:type="pct"/>
                  <w:vAlign w:val="center"/>
                </w:tcPr>
                <w:p>
                  <w:pPr>
                    <w:pStyle w:val="37"/>
                  </w:pPr>
                  <w:r>
                    <w:t>3.5</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13300</w:t>
                  </w:r>
                </w:p>
              </w:tc>
              <w:tc>
                <w:tcPr>
                  <w:tcW w:w="487" w:type="pct"/>
                  <w:vAlign w:val="center"/>
                </w:tcPr>
                <w:p>
                  <w:pPr>
                    <w:pStyle w:val="37"/>
                  </w:pPr>
                  <w:r>
                    <w:t>12179</w:t>
                  </w:r>
                </w:p>
              </w:tc>
              <w:tc>
                <w:tcPr>
                  <w:tcW w:w="463" w:type="pct"/>
                  <w:vAlign w:val="center"/>
                </w:tcPr>
                <w:p>
                  <w:pPr>
                    <w:pStyle w:val="37"/>
                  </w:pPr>
                  <w:r>
                    <w:t>12237</w:t>
                  </w:r>
                </w:p>
              </w:tc>
              <w:tc>
                <w:tcPr>
                  <w:tcW w:w="467" w:type="pct"/>
                  <w:vAlign w:val="center"/>
                </w:tcPr>
                <w:p>
                  <w:pPr>
                    <w:pStyle w:val="37"/>
                  </w:pPr>
                  <w:r>
                    <w:t>13300</w:t>
                  </w:r>
                </w:p>
              </w:tc>
              <w:tc>
                <w:tcPr>
                  <w:tcW w:w="467" w:type="pct"/>
                  <w:vAlign w:val="center"/>
                </w:tcPr>
                <w:p>
                  <w:pPr>
                    <w:pStyle w:val="37"/>
                  </w:pPr>
                  <w:r>
                    <w:t>/</w:t>
                  </w:r>
                </w:p>
              </w:tc>
              <w:tc>
                <w:tcPr>
                  <w:tcW w:w="469" w:type="pct"/>
                  <w:vAlign w:val="center"/>
                </w:tcPr>
                <w:p>
                  <w:pPr>
                    <w:pStyle w:val="37"/>
                  </w:pPr>
                  <w:r>
                    <w:t>/</w:t>
                  </w:r>
                </w:p>
              </w:tc>
            </w:tr>
            <w:tr>
              <w:tblPrEx>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8月12日</w:t>
                  </w:r>
                </w:p>
              </w:tc>
              <w:tc>
                <w:tcPr>
                  <w:tcW w:w="486" w:type="pct"/>
                  <w:vMerge w:val="restart"/>
                  <w:vAlign w:val="center"/>
                </w:tcPr>
                <w:p>
                  <w:pPr>
                    <w:pStyle w:val="37"/>
                  </w:pPr>
                  <w:r>
                    <w:t>焊接烟尘排气口2</w:t>
                  </w:r>
                </w:p>
              </w:tc>
              <w:tc>
                <w:tcPr>
                  <w:tcW w:w="444" w:type="pct"/>
                  <w:gridSpan w:val="2"/>
                  <w:vMerge w:val="restart"/>
                  <w:vAlign w:val="center"/>
                </w:tcPr>
                <w:p>
                  <w:pPr>
                    <w:pStyle w:val="37"/>
                  </w:pPr>
                  <w:r>
                    <w:t>颗粒物</w:t>
                  </w:r>
                </w:p>
              </w:tc>
              <w:tc>
                <w:tcPr>
                  <w:tcW w:w="846" w:type="pct"/>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44" w:type="pct"/>
                  <w:gridSpan w:val="2"/>
                  <w:vMerge w:val="continue"/>
                  <w:vAlign w:val="center"/>
                </w:tcPr>
                <w:p>
                  <w:pPr>
                    <w:pStyle w:val="37"/>
                  </w:pPr>
                </w:p>
              </w:tc>
              <w:tc>
                <w:tcPr>
                  <w:tcW w:w="846" w:type="pct"/>
                  <w:vAlign w:val="center"/>
                </w:tcPr>
                <w:p>
                  <w:pPr>
                    <w:pStyle w:val="37"/>
                  </w:pPr>
                  <w:r>
                    <w:t>排放速率(kg/h)</w:t>
                  </w:r>
                </w:p>
              </w:tc>
              <w:tc>
                <w:tcPr>
                  <w:tcW w:w="464" w:type="pct"/>
                  <w:vAlign w:val="center"/>
                </w:tcPr>
                <w:p>
                  <w:pPr>
                    <w:pStyle w:val="37"/>
                  </w:pPr>
                  <w:r>
                    <w:t>&lt;0.250</w:t>
                  </w:r>
                </w:p>
              </w:tc>
              <w:tc>
                <w:tcPr>
                  <w:tcW w:w="487" w:type="pct"/>
                  <w:vAlign w:val="center"/>
                </w:tcPr>
                <w:p>
                  <w:pPr>
                    <w:pStyle w:val="37"/>
                  </w:pPr>
                  <w:r>
                    <w:t>&lt;0.253</w:t>
                  </w:r>
                </w:p>
              </w:tc>
              <w:tc>
                <w:tcPr>
                  <w:tcW w:w="463" w:type="pct"/>
                  <w:vAlign w:val="center"/>
                </w:tcPr>
                <w:p>
                  <w:pPr>
                    <w:pStyle w:val="37"/>
                  </w:pPr>
                  <w:r>
                    <w:t>&lt;0.242</w:t>
                  </w:r>
                </w:p>
              </w:tc>
              <w:tc>
                <w:tcPr>
                  <w:tcW w:w="467" w:type="pct"/>
                  <w:vAlign w:val="center"/>
                </w:tcPr>
                <w:p>
                  <w:pPr>
                    <w:pStyle w:val="37"/>
                  </w:pPr>
                  <w:r>
                    <w:t>&lt;0.253</w:t>
                  </w:r>
                </w:p>
              </w:tc>
              <w:tc>
                <w:tcPr>
                  <w:tcW w:w="467" w:type="pct"/>
                  <w:vAlign w:val="center"/>
                </w:tcPr>
                <w:p>
                  <w:pPr>
                    <w:pStyle w:val="37"/>
                  </w:pPr>
                  <w:r>
                    <w:t>3.5</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12487</w:t>
                  </w:r>
                </w:p>
              </w:tc>
              <w:tc>
                <w:tcPr>
                  <w:tcW w:w="487" w:type="pct"/>
                  <w:vAlign w:val="center"/>
                </w:tcPr>
                <w:p>
                  <w:pPr>
                    <w:pStyle w:val="37"/>
                  </w:pPr>
                  <w:r>
                    <w:t>12648</w:t>
                  </w:r>
                </w:p>
              </w:tc>
              <w:tc>
                <w:tcPr>
                  <w:tcW w:w="463" w:type="pct"/>
                  <w:vAlign w:val="center"/>
                </w:tcPr>
                <w:p>
                  <w:pPr>
                    <w:pStyle w:val="37"/>
                  </w:pPr>
                  <w:r>
                    <w:t>12110</w:t>
                  </w:r>
                </w:p>
              </w:tc>
              <w:tc>
                <w:tcPr>
                  <w:tcW w:w="467" w:type="pct"/>
                  <w:vAlign w:val="center"/>
                </w:tcPr>
                <w:p>
                  <w:pPr>
                    <w:pStyle w:val="37"/>
                  </w:pPr>
                  <w:r>
                    <w:t>12648</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8月11日</w:t>
                  </w:r>
                </w:p>
              </w:tc>
              <w:tc>
                <w:tcPr>
                  <w:tcW w:w="486" w:type="pct"/>
                  <w:vMerge w:val="restart"/>
                  <w:vAlign w:val="center"/>
                </w:tcPr>
                <w:p>
                  <w:pPr>
                    <w:pStyle w:val="37"/>
                  </w:pPr>
                  <w:r>
                    <w:t>焊接烟尘排气口3</w:t>
                  </w:r>
                </w:p>
              </w:tc>
              <w:tc>
                <w:tcPr>
                  <w:tcW w:w="424" w:type="pct"/>
                  <w:vMerge w:val="restart"/>
                  <w:vAlign w:val="center"/>
                </w:tcPr>
                <w:p>
                  <w:pPr>
                    <w:pStyle w:val="37"/>
                  </w:pPr>
                  <w:r>
                    <w:t>颗粒物</w:t>
                  </w:r>
                </w:p>
              </w:tc>
              <w:tc>
                <w:tcPr>
                  <w:tcW w:w="866" w:type="pct"/>
                  <w:gridSpan w:val="2"/>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24" w:type="pct"/>
                  <w:vMerge w:val="continue"/>
                  <w:vAlign w:val="center"/>
                </w:tcPr>
                <w:p>
                  <w:pPr>
                    <w:pStyle w:val="37"/>
                  </w:pPr>
                </w:p>
              </w:tc>
              <w:tc>
                <w:tcPr>
                  <w:tcW w:w="866" w:type="pct"/>
                  <w:gridSpan w:val="2"/>
                  <w:vAlign w:val="center"/>
                </w:tcPr>
                <w:p>
                  <w:pPr>
                    <w:pStyle w:val="37"/>
                  </w:pPr>
                  <w:r>
                    <w:t>排放速率(kg/h)</w:t>
                  </w:r>
                </w:p>
              </w:tc>
              <w:tc>
                <w:tcPr>
                  <w:tcW w:w="464" w:type="pct"/>
                  <w:vAlign w:val="center"/>
                </w:tcPr>
                <w:p>
                  <w:pPr>
                    <w:pStyle w:val="37"/>
                  </w:pPr>
                  <w:r>
                    <w:t>&lt;0.085</w:t>
                  </w:r>
                </w:p>
              </w:tc>
              <w:tc>
                <w:tcPr>
                  <w:tcW w:w="487" w:type="pct"/>
                  <w:vAlign w:val="center"/>
                </w:tcPr>
                <w:p>
                  <w:pPr>
                    <w:pStyle w:val="37"/>
                  </w:pPr>
                  <w:r>
                    <w:t>&lt;0.076</w:t>
                  </w:r>
                </w:p>
              </w:tc>
              <w:tc>
                <w:tcPr>
                  <w:tcW w:w="463" w:type="pct"/>
                  <w:vAlign w:val="center"/>
                </w:tcPr>
                <w:p>
                  <w:pPr>
                    <w:pStyle w:val="37"/>
                  </w:pPr>
                  <w:r>
                    <w:t>&lt;0.090</w:t>
                  </w:r>
                </w:p>
              </w:tc>
              <w:tc>
                <w:tcPr>
                  <w:tcW w:w="467" w:type="pct"/>
                  <w:vAlign w:val="center"/>
                </w:tcPr>
                <w:p>
                  <w:pPr>
                    <w:pStyle w:val="37"/>
                  </w:pPr>
                  <w:r>
                    <w:t>&lt;0.090</w:t>
                  </w:r>
                </w:p>
              </w:tc>
              <w:tc>
                <w:tcPr>
                  <w:tcW w:w="467" w:type="pct"/>
                  <w:vAlign w:val="center"/>
                </w:tcPr>
                <w:p>
                  <w:pPr>
                    <w:pStyle w:val="37"/>
                  </w:pPr>
                  <w:r>
                    <w:t>3.5</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4228</w:t>
                  </w:r>
                </w:p>
              </w:tc>
              <w:tc>
                <w:tcPr>
                  <w:tcW w:w="487" w:type="pct"/>
                  <w:vAlign w:val="center"/>
                </w:tcPr>
                <w:p>
                  <w:pPr>
                    <w:pStyle w:val="37"/>
                  </w:pPr>
                  <w:r>
                    <w:t>3815</w:t>
                  </w:r>
                </w:p>
              </w:tc>
              <w:tc>
                <w:tcPr>
                  <w:tcW w:w="463" w:type="pct"/>
                  <w:vAlign w:val="center"/>
                </w:tcPr>
                <w:p>
                  <w:pPr>
                    <w:pStyle w:val="37"/>
                  </w:pPr>
                  <w:r>
                    <w:t>4516</w:t>
                  </w:r>
                </w:p>
              </w:tc>
              <w:tc>
                <w:tcPr>
                  <w:tcW w:w="467" w:type="pct"/>
                  <w:vAlign w:val="center"/>
                </w:tcPr>
                <w:p>
                  <w:pPr>
                    <w:pStyle w:val="37"/>
                  </w:pPr>
                  <w:r>
                    <w:t>4516</w:t>
                  </w:r>
                </w:p>
              </w:tc>
              <w:tc>
                <w:tcPr>
                  <w:tcW w:w="467" w:type="pct"/>
                  <w:vAlign w:val="center"/>
                </w:tcPr>
                <w:p>
                  <w:pPr>
                    <w:pStyle w:val="37"/>
                  </w:pPr>
                  <w:r>
                    <w:t>/</w:t>
                  </w:r>
                </w:p>
              </w:tc>
              <w:tc>
                <w:tcPr>
                  <w:tcW w:w="469" w:type="pct"/>
                  <w:vAlign w:val="center"/>
                </w:tcPr>
                <w:p>
                  <w:pPr>
                    <w:pStyle w:val="37"/>
                  </w:pPr>
                  <w:r>
                    <w:t>/</w:t>
                  </w:r>
                </w:p>
              </w:tc>
            </w:tr>
            <w:tr>
              <w:tblPrEx>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8月12日</w:t>
                  </w:r>
                </w:p>
              </w:tc>
              <w:tc>
                <w:tcPr>
                  <w:tcW w:w="486" w:type="pct"/>
                  <w:vMerge w:val="restart"/>
                  <w:vAlign w:val="center"/>
                </w:tcPr>
                <w:p>
                  <w:pPr>
                    <w:pStyle w:val="37"/>
                  </w:pPr>
                  <w:r>
                    <w:t>焊接烟尘排气口3</w:t>
                  </w:r>
                </w:p>
              </w:tc>
              <w:tc>
                <w:tcPr>
                  <w:tcW w:w="424" w:type="pct"/>
                  <w:vMerge w:val="restart"/>
                  <w:vAlign w:val="center"/>
                </w:tcPr>
                <w:p>
                  <w:pPr>
                    <w:pStyle w:val="37"/>
                  </w:pPr>
                  <w:r>
                    <w:t>颗粒物</w:t>
                  </w:r>
                </w:p>
              </w:tc>
              <w:tc>
                <w:tcPr>
                  <w:tcW w:w="866" w:type="pct"/>
                  <w:gridSpan w:val="2"/>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24" w:type="pct"/>
                  <w:vMerge w:val="continue"/>
                  <w:vAlign w:val="center"/>
                </w:tcPr>
                <w:p>
                  <w:pPr>
                    <w:pStyle w:val="37"/>
                  </w:pPr>
                </w:p>
              </w:tc>
              <w:tc>
                <w:tcPr>
                  <w:tcW w:w="866" w:type="pct"/>
                  <w:gridSpan w:val="2"/>
                  <w:vAlign w:val="center"/>
                </w:tcPr>
                <w:p>
                  <w:pPr>
                    <w:pStyle w:val="37"/>
                  </w:pPr>
                  <w:r>
                    <w:t>排放速率(kg/h)</w:t>
                  </w:r>
                </w:p>
              </w:tc>
              <w:tc>
                <w:tcPr>
                  <w:tcW w:w="464" w:type="pct"/>
                  <w:vAlign w:val="center"/>
                </w:tcPr>
                <w:p>
                  <w:pPr>
                    <w:pStyle w:val="37"/>
                  </w:pPr>
                  <w:r>
                    <w:t>&lt;0.077</w:t>
                  </w:r>
                </w:p>
              </w:tc>
              <w:tc>
                <w:tcPr>
                  <w:tcW w:w="487" w:type="pct"/>
                  <w:vAlign w:val="center"/>
                </w:tcPr>
                <w:p>
                  <w:pPr>
                    <w:pStyle w:val="37"/>
                  </w:pPr>
                  <w:r>
                    <w:t>&lt;0.083</w:t>
                  </w:r>
                </w:p>
              </w:tc>
              <w:tc>
                <w:tcPr>
                  <w:tcW w:w="463" w:type="pct"/>
                  <w:vAlign w:val="center"/>
                </w:tcPr>
                <w:p>
                  <w:pPr>
                    <w:pStyle w:val="37"/>
                  </w:pPr>
                  <w:r>
                    <w:t>&lt;0.080</w:t>
                  </w:r>
                </w:p>
              </w:tc>
              <w:tc>
                <w:tcPr>
                  <w:tcW w:w="467" w:type="pct"/>
                  <w:vAlign w:val="center"/>
                </w:tcPr>
                <w:p>
                  <w:pPr>
                    <w:pStyle w:val="37"/>
                  </w:pPr>
                  <w:r>
                    <w:t>&lt;0.083</w:t>
                  </w:r>
                </w:p>
              </w:tc>
              <w:tc>
                <w:tcPr>
                  <w:tcW w:w="467" w:type="pct"/>
                  <w:vAlign w:val="center"/>
                </w:tcPr>
                <w:p>
                  <w:pPr>
                    <w:pStyle w:val="37"/>
                  </w:pPr>
                  <w:r>
                    <w:t>3.5</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3864</w:t>
                  </w:r>
                </w:p>
              </w:tc>
              <w:tc>
                <w:tcPr>
                  <w:tcW w:w="487" w:type="pct"/>
                  <w:vAlign w:val="center"/>
                </w:tcPr>
                <w:p>
                  <w:pPr>
                    <w:pStyle w:val="37"/>
                  </w:pPr>
                  <w:r>
                    <w:t>4174</w:t>
                  </w:r>
                </w:p>
              </w:tc>
              <w:tc>
                <w:tcPr>
                  <w:tcW w:w="463" w:type="pct"/>
                  <w:vAlign w:val="center"/>
                </w:tcPr>
                <w:p>
                  <w:pPr>
                    <w:pStyle w:val="37"/>
                  </w:pPr>
                  <w:r>
                    <w:t>3979</w:t>
                  </w:r>
                </w:p>
              </w:tc>
              <w:tc>
                <w:tcPr>
                  <w:tcW w:w="467" w:type="pct"/>
                  <w:vAlign w:val="center"/>
                </w:tcPr>
                <w:p>
                  <w:pPr>
                    <w:pStyle w:val="37"/>
                  </w:pPr>
                  <w:r>
                    <w:t>4174</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8月11日</w:t>
                  </w:r>
                </w:p>
              </w:tc>
              <w:tc>
                <w:tcPr>
                  <w:tcW w:w="486" w:type="pct"/>
                  <w:vMerge w:val="restart"/>
                  <w:vAlign w:val="center"/>
                </w:tcPr>
                <w:p>
                  <w:pPr>
                    <w:pStyle w:val="37"/>
                  </w:pPr>
                  <w:r>
                    <w:t>焊接烟尘排气口4</w:t>
                  </w:r>
                </w:p>
              </w:tc>
              <w:tc>
                <w:tcPr>
                  <w:tcW w:w="424" w:type="pct"/>
                  <w:vMerge w:val="restart"/>
                  <w:vAlign w:val="center"/>
                </w:tcPr>
                <w:p>
                  <w:pPr>
                    <w:pStyle w:val="37"/>
                  </w:pPr>
                  <w:r>
                    <w:t>颗粒物</w:t>
                  </w:r>
                </w:p>
              </w:tc>
              <w:tc>
                <w:tcPr>
                  <w:tcW w:w="866" w:type="pct"/>
                  <w:gridSpan w:val="2"/>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24" w:type="pct"/>
                  <w:vMerge w:val="continue"/>
                  <w:vAlign w:val="center"/>
                </w:tcPr>
                <w:p>
                  <w:pPr>
                    <w:pStyle w:val="37"/>
                  </w:pPr>
                </w:p>
              </w:tc>
              <w:tc>
                <w:tcPr>
                  <w:tcW w:w="866" w:type="pct"/>
                  <w:gridSpan w:val="2"/>
                  <w:vAlign w:val="center"/>
                </w:tcPr>
                <w:p>
                  <w:pPr>
                    <w:pStyle w:val="37"/>
                  </w:pPr>
                  <w:r>
                    <w:t>排放速率(kg/h)</w:t>
                  </w:r>
                </w:p>
              </w:tc>
              <w:tc>
                <w:tcPr>
                  <w:tcW w:w="464" w:type="pct"/>
                  <w:vAlign w:val="center"/>
                </w:tcPr>
                <w:p>
                  <w:pPr>
                    <w:pStyle w:val="37"/>
                  </w:pPr>
                  <w:r>
                    <w:t>&lt;0.183</w:t>
                  </w:r>
                </w:p>
              </w:tc>
              <w:tc>
                <w:tcPr>
                  <w:tcW w:w="487" w:type="pct"/>
                  <w:vAlign w:val="center"/>
                </w:tcPr>
                <w:p>
                  <w:pPr>
                    <w:pStyle w:val="37"/>
                  </w:pPr>
                  <w:r>
                    <w:t>&lt;0.191</w:t>
                  </w:r>
                </w:p>
              </w:tc>
              <w:tc>
                <w:tcPr>
                  <w:tcW w:w="463" w:type="pct"/>
                  <w:vAlign w:val="center"/>
                </w:tcPr>
                <w:p>
                  <w:pPr>
                    <w:pStyle w:val="37"/>
                  </w:pPr>
                  <w:r>
                    <w:t>&lt;0.182</w:t>
                  </w:r>
                </w:p>
              </w:tc>
              <w:tc>
                <w:tcPr>
                  <w:tcW w:w="467" w:type="pct"/>
                  <w:vAlign w:val="center"/>
                </w:tcPr>
                <w:p>
                  <w:pPr>
                    <w:pStyle w:val="37"/>
                  </w:pPr>
                  <w:r>
                    <w:t>&lt;0.191</w:t>
                  </w:r>
                </w:p>
              </w:tc>
              <w:tc>
                <w:tcPr>
                  <w:tcW w:w="467" w:type="pct"/>
                  <w:vAlign w:val="center"/>
                </w:tcPr>
                <w:p>
                  <w:pPr>
                    <w:pStyle w:val="37"/>
                  </w:pPr>
                  <w:r>
                    <w:t>3.5</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9159</w:t>
                  </w:r>
                </w:p>
              </w:tc>
              <w:tc>
                <w:tcPr>
                  <w:tcW w:w="487" w:type="pct"/>
                  <w:vAlign w:val="center"/>
                </w:tcPr>
                <w:p>
                  <w:pPr>
                    <w:pStyle w:val="37"/>
                  </w:pPr>
                  <w:r>
                    <w:t>9566</w:t>
                  </w:r>
                </w:p>
              </w:tc>
              <w:tc>
                <w:tcPr>
                  <w:tcW w:w="463" w:type="pct"/>
                  <w:vAlign w:val="center"/>
                </w:tcPr>
                <w:p>
                  <w:pPr>
                    <w:pStyle w:val="37"/>
                  </w:pPr>
                  <w:r>
                    <w:t>9093</w:t>
                  </w:r>
                </w:p>
              </w:tc>
              <w:tc>
                <w:tcPr>
                  <w:tcW w:w="467" w:type="pct"/>
                  <w:vAlign w:val="center"/>
                </w:tcPr>
                <w:p>
                  <w:pPr>
                    <w:pStyle w:val="37"/>
                  </w:pPr>
                  <w:r>
                    <w:t>9566</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8月12日</w:t>
                  </w:r>
                </w:p>
              </w:tc>
              <w:tc>
                <w:tcPr>
                  <w:tcW w:w="486" w:type="pct"/>
                  <w:vMerge w:val="restart"/>
                  <w:vAlign w:val="center"/>
                </w:tcPr>
                <w:p>
                  <w:pPr>
                    <w:pStyle w:val="37"/>
                  </w:pPr>
                  <w:r>
                    <w:t>焊接烟尘排气口4</w:t>
                  </w:r>
                </w:p>
              </w:tc>
              <w:tc>
                <w:tcPr>
                  <w:tcW w:w="424" w:type="pct"/>
                  <w:vMerge w:val="restart"/>
                  <w:vAlign w:val="center"/>
                </w:tcPr>
                <w:p>
                  <w:pPr>
                    <w:pStyle w:val="37"/>
                  </w:pPr>
                  <w:r>
                    <w:t>颗粒物</w:t>
                  </w:r>
                </w:p>
              </w:tc>
              <w:tc>
                <w:tcPr>
                  <w:tcW w:w="866" w:type="pct"/>
                  <w:gridSpan w:val="2"/>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24" w:type="pct"/>
                  <w:vMerge w:val="continue"/>
                  <w:vAlign w:val="center"/>
                </w:tcPr>
                <w:p>
                  <w:pPr>
                    <w:pStyle w:val="37"/>
                  </w:pPr>
                </w:p>
              </w:tc>
              <w:tc>
                <w:tcPr>
                  <w:tcW w:w="866" w:type="pct"/>
                  <w:gridSpan w:val="2"/>
                  <w:vAlign w:val="center"/>
                </w:tcPr>
                <w:p>
                  <w:pPr>
                    <w:pStyle w:val="37"/>
                  </w:pPr>
                  <w:r>
                    <w:t>排放速率(kg/h)</w:t>
                  </w:r>
                </w:p>
              </w:tc>
              <w:tc>
                <w:tcPr>
                  <w:tcW w:w="464" w:type="pct"/>
                  <w:vAlign w:val="center"/>
                </w:tcPr>
                <w:p>
                  <w:pPr>
                    <w:pStyle w:val="37"/>
                  </w:pPr>
                  <w:r>
                    <w:t>&lt;0.178</w:t>
                  </w:r>
                </w:p>
              </w:tc>
              <w:tc>
                <w:tcPr>
                  <w:tcW w:w="487" w:type="pct"/>
                  <w:vAlign w:val="center"/>
                </w:tcPr>
                <w:p>
                  <w:pPr>
                    <w:pStyle w:val="37"/>
                  </w:pPr>
                  <w:r>
                    <w:t>&lt;0.189</w:t>
                  </w:r>
                </w:p>
              </w:tc>
              <w:tc>
                <w:tcPr>
                  <w:tcW w:w="463" w:type="pct"/>
                  <w:vAlign w:val="center"/>
                </w:tcPr>
                <w:p>
                  <w:pPr>
                    <w:pStyle w:val="37"/>
                  </w:pPr>
                  <w:r>
                    <w:t>&lt;0.178</w:t>
                  </w:r>
                </w:p>
              </w:tc>
              <w:tc>
                <w:tcPr>
                  <w:tcW w:w="467" w:type="pct"/>
                  <w:vAlign w:val="center"/>
                </w:tcPr>
                <w:p>
                  <w:pPr>
                    <w:pStyle w:val="37"/>
                  </w:pPr>
                  <w:r>
                    <w:t>&lt;0.189</w:t>
                  </w:r>
                </w:p>
              </w:tc>
              <w:tc>
                <w:tcPr>
                  <w:tcW w:w="467" w:type="pct"/>
                  <w:vAlign w:val="center"/>
                </w:tcPr>
                <w:p>
                  <w:pPr>
                    <w:pStyle w:val="37"/>
                  </w:pPr>
                  <w:r>
                    <w:t>3.5</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8913</w:t>
                  </w:r>
                </w:p>
              </w:tc>
              <w:tc>
                <w:tcPr>
                  <w:tcW w:w="487" w:type="pct"/>
                  <w:vAlign w:val="center"/>
                </w:tcPr>
                <w:p>
                  <w:pPr>
                    <w:pStyle w:val="37"/>
                  </w:pPr>
                  <w:r>
                    <w:t>9464</w:t>
                  </w:r>
                </w:p>
              </w:tc>
              <w:tc>
                <w:tcPr>
                  <w:tcW w:w="463" w:type="pct"/>
                  <w:vAlign w:val="center"/>
                </w:tcPr>
                <w:p>
                  <w:pPr>
                    <w:pStyle w:val="37"/>
                  </w:pPr>
                  <w:r>
                    <w:t>8895</w:t>
                  </w:r>
                </w:p>
              </w:tc>
              <w:tc>
                <w:tcPr>
                  <w:tcW w:w="467" w:type="pct"/>
                  <w:vAlign w:val="center"/>
                </w:tcPr>
                <w:p>
                  <w:pPr>
                    <w:pStyle w:val="37"/>
                  </w:pPr>
                  <w:r>
                    <w:t>9464</w:t>
                  </w:r>
                </w:p>
              </w:tc>
              <w:tc>
                <w:tcPr>
                  <w:tcW w:w="467" w:type="pct"/>
                  <w:vAlign w:val="center"/>
                </w:tcPr>
                <w:p>
                  <w:pPr>
                    <w:pStyle w:val="37"/>
                  </w:pPr>
                  <w:r>
                    <w:t>/</w:t>
                  </w:r>
                </w:p>
              </w:tc>
              <w:tc>
                <w:tcPr>
                  <w:tcW w:w="469" w:type="pct"/>
                  <w:vAlign w:val="center"/>
                </w:tcPr>
                <w:p>
                  <w:pPr>
                    <w:pStyle w:val="37"/>
                  </w:pPr>
                  <w:r>
                    <w:t>/</w:t>
                  </w:r>
                </w:p>
              </w:tc>
            </w:tr>
            <w:tr>
              <w:tblPrEx>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8月11日</w:t>
                  </w:r>
                </w:p>
              </w:tc>
              <w:tc>
                <w:tcPr>
                  <w:tcW w:w="486" w:type="pct"/>
                  <w:vMerge w:val="restart"/>
                  <w:vAlign w:val="center"/>
                </w:tcPr>
                <w:p>
                  <w:pPr>
                    <w:pStyle w:val="37"/>
                  </w:pPr>
                  <w:r>
                    <w:t>焊接油雾排气口5</w:t>
                  </w:r>
                </w:p>
              </w:tc>
              <w:tc>
                <w:tcPr>
                  <w:tcW w:w="424" w:type="pct"/>
                  <w:vMerge w:val="restart"/>
                  <w:vAlign w:val="center"/>
                </w:tcPr>
                <w:p>
                  <w:pPr>
                    <w:pStyle w:val="37"/>
                  </w:pPr>
                  <w:r>
                    <w:t>颗粒物</w:t>
                  </w:r>
                </w:p>
              </w:tc>
              <w:tc>
                <w:tcPr>
                  <w:tcW w:w="866" w:type="pct"/>
                  <w:gridSpan w:val="2"/>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24" w:type="pct"/>
                  <w:vMerge w:val="continue"/>
                  <w:vAlign w:val="center"/>
                </w:tcPr>
                <w:p>
                  <w:pPr>
                    <w:pStyle w:val="37"/>
                  </w:pPr>
                </w:p>
              </w:tc>
              <w:tc>
                <w:tcPr>
                  <w:tcW w:w="866" w:type="pct"/>
                  <w:gridSpan w:val="2"/>
                  <w:vAlign w:val="center"/>
                </w:tcPr>
                <w:p>
                  <w:pPr>
                    <w:pStyle w:val="37"/>
                  </w:pPr>
                  <w:r>
                    <w:t>排放速率(kg/h)</w:t>
                  </w:r>
                </w:p>
              </w:tc>
              <w:tc>
                <w:tcPr>
                  <w:tcW w:w="464" w:type="pct"/>
                  <w:vAlign w:val="center"/>
                </w:tcPr>
                <w:p>
                  <w:pPr>
                    <w:pStyle w:val="37"/>
                  </w:pPr>
                  <w:r>
                    <w:t>&lt;0.115</w:t>
                  </w:r>
                </w:p>
              </w:tc>
              <w:tc>
                <w:tcPr>
                  <w:tcW w:w="487" w:type="pct"/>
                  <w:vAlign w:val="center"/>
                </w:tcPr>
                <w:p>
                  <w:pPr>
                    <w:pStyle w:val="37"/>
                  </w:pPr>
                  <w:r>
                    <w:t>&lt;0.121</w:t>
                  </w:r>
                </w:p>
              </w:tc>
              <w:tc>
                <w:tcPr>
                  <w:tcW w:w="463" w:type="pct"/>
                  <w:vAlign w:val="center"/>
                </w:tcPr>
                <w:p>
                  <w:pPr>
                    <w:pStyle w:val="37"/>
                  </w:pPr>
                  <w:r>
                    <w:t>&lt;0.115</w:t>
                  </w:r>
                </w:p>
              </w:tc>
              <w:tc>
                <w:tcPr>
                  <w:tcW w:w="467" w:type="pct"/>
                  <w:vAlign w:val="center"/>
                </w:tcPr>
                <w:p>
                  <w:pPr>
                    <w:pStyle w:val="37"/>
                  </w:pPr>
                  <w:r>
                    <w:t>&lt;0.121</w:t>
                  </w:r>
                </w:p>
              </w:tc>
              <w:tc>
                <w:tcPr>
                  <w:tcW w:w="467" w:type="pct"/>
                  <w:vAlign w:val="center"/>
                </w:tcPr>
                <w:p>
                  <w:pPr>
                    <w:pStyle w:val="37"/>
                  </w:pPr>
                  <w:r>
                    <w:t>3.5</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5749</w:t>
                  </w:r>
                </w:p>
              </w:tc>
              <w:tc>
                <w:tcPr>
                  <w:tcW w:w="487" w:type="pct"/>
                  <w:vAlign w:val="center"/>
                </w:tcPr>
                <w:p>
                  <w:pPr>
                    <w:pStyle w:val="37"/>
                  </w:pPr>
                  <w:r>
                    <w:t>6069</w:t>
                  </w:r>
                </w:p>
              </w:tc>
              <w:tc>
                <w:tcPr>
                  <w:tcW w:w="463" w:type="pct"/>
                  <w:vAlign w:val="center"/>
                </w:tcPr>
                <w:p>
                  <w:pPr>
                    <w:pStyle w:val="37"/>
                  </w:pPr>
                  <w:r>
                    <w:t>5752</w:t>
                  </w:r>
                </w:p>
              </w:tc>
              <w:tc>
                <w:tcPr>
                  <w:tcW w:w="467" w:type="pct"/>
                  <w:vAlign w:val="center"/>
                </w:tcPr>
                <w:p>
                  <w:pPr>
                    <w:pStyle w:val="37"/>
                  </w:pPr>
                  <w:r>
                    <w:t>6069</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w:t>
                  </w:r>
                  <w:r>
                    <w:t>8月12日</w:t>
                  </w:r>
                </w:p>
              </w:tc>
              <w:tc>
                <w:tcPr>
                  <w:tcW w:w="486" w:type="pct"/>
                  <w:vMerge w:val="restart"/>
                  <w:vAlign w:val="center"/>
                </w:tcPr>
                <w:p>
                  <w:pPr>
                    <w:pStyle w:val="37"/>
                  </w:pPr>
                  <w:r>
                    <w:t>焊接油雾排气口5</w:t>
                  </w:r>
                </w:p>
              </w:tc>
              <w:tc>
                <w:tcPr>
                  <w:tcW w:w="424" w:type="pct"/>
                  <w:vMerge w:val="restart"/>
                  <w:vAlign w:val="center"/>
                </w:tcPr>
                <w:p>
                  <w:pPr>
                    <w:pStyle w:val="37"/>
                  </w:pPr>
                  <w:r>
                    <w:t>颗粒物</w:t>
                  </w:r>
                </w:p>
              </w:tc>
              <w:tc>
                <w:tcPr>
                  <w:tcW w:w="866" w:type="pct"/>
                  <w:gridSpan w:val="2"/>
                  <w:vAlign w:val="center"/>
                </w:tcPr>
                <w:p>
                  <w:pPr>
                    <w:pStyle w:val="37"/>
                  </w:pPr>
                  <w:r>
                    <w:t>排放浓度(mg/m</w:t>
                  </w:r>
                  <w:r>
                    <w:rPr>
                      <w:vertAlign w:val="superscript"/>
                    </w:rPr>
                    <w:t>3</w:t>
                  </w:r>
                  <w:r>
                    <w:t>)</w:t>
                  </w:r>
                </w:p>
              </w:tc>
              <w:tc>
                <w:tcPr>
                  <w:tcW w:w="464" w:type="pct"/>
                  <w:vAlign w:val="center"/>
                </w:tcPr>
                <w:p>
                  <w:pPr>
                    <w:pStyle w:val="37"/>
                  </w:pPr>
                  <w:r>
                    <w:t>&lt;20</w:t>
                  </w:r>
                </w:p>
              </w:tc>
              <w:tc>
                <w:tcPr>
                  <w:tcW w:w="487" w:type="pct"/>
                  <w:vAlign w:val="center"/>
                </w:tcPr>
                <w:p>
                  <w:pPr>
                    <w:pStyle w:val="37"/>
                  </w:pPr>
                  <w:r>
                    <w:t>&lt;20</w:t>
                  </w:r>
                </w:p>
              </w:tc>
              <w:tc>
                <w:tcPr>
                  <w:tcW w:w="463" w:type="pct"/>
                  <w:vAlign w:val="center"/>
                </w:tcPr>
                <w:p>
                  <w:pPr>
                    <w:pStyle w:val="37"/>
                  </w:pPr>
                  <w:r>
                    <w:t>&lt;20</w:t>
                  </w:r>
                </w:p>
              </w:tc>
              <w:tc>
                <w:tcPr>
                  <w:tcW w:w="467" w:type="pct"/>
                  <w:vAlign w:val="center"/>
                </w:tcPr>
                <w:p>
                  <w:pPr>
                    <w:pStyle w:val="37"/>
                  </w:pPr>
                  <w:r>
                    <w:t>&lt;20</w:t>
                  </w:r>
                </w:p>
              </w:tc>
              <w:tc>
                <w:tcPr>
                  <w:tcW w:w="467" w:type="pct"/>
                  <w:vAlign w:val="center"/>
                </w:tcPr>
                <w:p>
                  <w:pPr>
                    <w:pStyle w:val="37"/>
                  </w:pPr>
                  <w:r>
                    <w:t>120</w:t>
                  </w:r>
                </w:p>
              </w:tc>
              <w:tc>
                <w:tcPr>
                  <w:tcW w:w="469"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424" w:type="pct"/>
                  <w:vMerge w:val="continue"/>
                  <w:vAlign w:val="center"/>
                </w:tcPr>
                <w:p>
                  <w:pPr>
                    <w:pStyle w:val="37"/>
                  </w:pPr>
                </w:p>
              </w:tc>
              <w:tc>
                <w:tcPr>
                  <w:tcW w:w="866" w:type="pct"/>
                  <w:gridSpan w:val="2"/>
                  <w:vAlign w:val="center"/>
                </w:tcPr>
                <w:p>
                  <w:pPr>
                    <w:pStyle w:val="37"/>
                  </w:pPr>
                  <w:r>
                    <w:t>排放速率(kg/h)</w:t>
                  </w:r>
                </w:p>
              </w:tc>
              <w:tc>
                <w:tcPr>
                  <w:tcW w:w="464" w:type="pct"/>
                  <w:vAlign w:val="center"/>
                </w:tcPr>
                <w:p>
                  <w:pPr>
                    <w:pStyle w:val="37"/>
                  </w:pPr>
                  <w:r>
                    <w:t>&lt;0.130</w:t>
                  </w:r>
                </w:p>
              </w:tc>
              <w:tc>
                <w:tcPr>
                  <w:tcW w:w="487" w:type="pct"/>
                  <w:vAlign w:val="center"/>
                </w:tcPr>
                <w:p>
                  <w:pPr>
                    <w:pStyle w:val="37"/>
                  </w:pPr>
                  <w:r>
                    <w:t>&lt;0.137</w:t>
                  </w:r>
                </w:p>
              </w:tc>
              <w:tc>
                <w:tcPr>
                  <w:tcW w:w="463" w:type="pct"/>
                  <w:vAlign w:val="center"/>
                </w:tcPr>
                <w:p>
                  <w:pPr>
                    <w:pStyle w:val="37"/>
                  </w:pPr>
                  <w:r>
                    <w:t>&lt;0.127</w:t>
                  </w:r>
                </w:p>
              </w:tc>
              <w:tc>
                <w:tcPr>
                  <w:tcW w:w="467" w:type="pct"/>
                  <w:vAlign w:val="center"/>
                </w:tcPr>
                <w:p>
                  <w:pPr>
                    <w:pStyle w:val="37"/>
                  </w:pPr>
                  <w:r>
                    <w:t>&lt;0.137</w:t>
                  </w:r>
                </w:p>
              </w:tc>
              <w:tc>
                <w:tcPr>
                  <w:tcW w:w="467" w:type="pct"/>
                  <w:vAlign w:val="center"/>
                </w:tcPr>
                <w:p>
                  <w:pPr>
                    <w:pStyle w:val="37"/>
                  </w:pPr>
                  <w:r>
                    <w:t>3.5</w:t>
                  </w:r>
                </w:p>
              </w:tc>
              <w:tc>
                <w:tcPr>
                  <w:tcW w:w="469" w:type="pct"/>
                  <w:vAlign w:val="center"/>
                </w:tcPr>
                <w:p>
                  <w:pPr>
                    <w:pStyle w:val="37"/>
                  </w:pPr>
                  <w:r>
                    <w:t>达标</w:t>
                  </w:r>
                </w:p>
              </w:tc>
            </w:tr>
            <w:tr>
              <w:tblPrEx>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t>烟气标干流量(m</w:t>
                  </w:r>
                  <w:r>
                    <w:rPr>
                      <w:vertAlign w:val="superscript"/>
                    </w:rPr>
                    <w:t>3</w:t>
                  </w:r>
                  <w:r>
                    <w:t>/h)</w:t>
                  </w:r>
                </w:p>
              </w:tc>
              <w:tc>
                <w:tcPr>
                  <w:tcW w:w="464" w:type="pct"/>
                  <w:vAlign w:val="center"/>
                </w:tcPr>
                <w:p>
                  <w:pPr>
                    <w:pStyle w:val="37"/>
                  </w:pPr>
                  <w:r>
                    <w:t>6484</w:t>
                  </w:r>
                </w:p>
              </w:tc>
              <w:tc>
                <w:tcPr>
                  <w:tcW w:w="487" w:type="pct"/>
                  <w:vAlign w:val="center"/>
                </w:tcPr>
                <w:p>
                  <w:pPr>
                    <w:pStyle w:val="37"/>
                  </w:pPr>
                  <w:r>
                    <w:t>6839</w:t>
                  </w:r>
                </w:p>
              </w:tc>
              <w:tc>
                <w:tcPr>
                  <w:tcW w:w="463" w:type="pct"/>
                  <w:vAlign w:val="center"/>
                </w:tcPr>
                <w:p>
                  <w:pPr>
                    <w:pStyle w:val="37"/>
                  </w:pPr>
                  <w:r>
                    <w:t>6356</w:t>
                  </w:r>
                </w:p>
              </w:tc>
              <w:tc>
                <w:tcPr>
                  <w:tcW w:w="467" w:type="pct"/>
                  <w:vAlign w:val="center"/>
                </w:tcPr>
                <w:p>
                  <w:pPr>
                    <w:pStyle w:val="37"/>
                  </w:pPr>
                  <w:r>
                    <w:t>6839</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2021年9月4日</w:t>
                  </w:r>
                </w:p>
              </w:tc>
              <w:tc>
                <w:tcPr>
                  <w:tcW w:w="486" w:type="pct"/>
                  <w:vMerge w:val="restart"/>
                  <w:vAlign w:val="center"/>
                </w:tcPr>
                <w:p>
                  <w:pPr>
                    <w:pStyle w:val="37"/>
                  </w:pPr>
                  <w:r>
                    <w:rPr>
                      <w:rFonts w:hint="eastAsia"/>
                    </w:rPr>
                    <w:t>电泳废气排口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10954</w:t>
                  </w:r>
                </w:p>
              </w:tc>
              <w:tc>
                <w:tcPr>
                  <w:tcW w:w="487" w:type="pct"/>
                  <w:vAlign w:val="center"/>
                </w:tcPr>
                <w:p>
                  <w:pPr>
                    <w:pStyle w:val="37"/>
                  </w:pPr>
                  <w:r>
                    <w:rPr>
                      <w:rFonts w:hint="eastAsia"/>
                    </w:rPr>
                    <w:t>11048</w:t>
                  </w:r>
                </w:p>
              </w:tc>
              <w:tc>
                <w:tcPr>
                  <w:tcW w:w="463" w:type="pct"/>
                  <w:vAlign w:val="center"/>
                </w:tcPr>
                <w:p>
                  <w:pPr>
                    <w:pStyle w:val="37"/>
                  </w:pPr>
                  <w:r>
                    <w:rPr>
                      <w:rFonts w:hint="eastAsia"/>
                    </w:rPr>
                    <w:t>10979</w:t>
                  </w:r>
                </w:p>
              </w:tc>
              <w:tc>
                <w:tcPr>
                  <w:tcW w:w="467" w:type="pct"/>
                  <w:vAlign w:val="center"/>
                </w:tcPr>
                <w:p>
                  <w:pPr>
                    <w:pStyle w:val="37"/>
                  </w:pPr>
                  <w:r>
                    <w:rPr>
                      <w:rFonts w:hint="eastAsia"/>
                    </w:rPr>
                    <w:t>11048</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TVOC浓度(mg/</w:t>
                  </w:r>
                  <w:r>
                    <w:t>m</w:t>
                  </w:r>
                  <w:r>
                    <w:rPr>
                      <w:vertAlign w:val="superscript"/>
                    </w:rPr>
                    <w:t>3</w:t>
                  </w:r>
                  <w:r>
                    <w:rPr>
                      <w:rFonts w:hint="eastAsia"/>
                    </w:rPr>
                    <w:t>)</w:t>
                  </w:r>
                </w:p>
              </w:tc>
              <w:tc>
                <w:tcPr>
                  <w:tcW w:w="464" w:type="pct"/>
                  <w:vAlign w:val="center"/>
                </w:tcPr>
                <w:p>
                  <w:pPr>
                    <w:pStyle w:val="37"/>
                  </w:pPr>
                  <w:r>
                    <w:rPr>
                      <w:rFonts w:hint="eastAsia"/>
                    </w:rPr>
                    <w:t>4.67</w:t>
                  </w:r>
                </w:p>
              </w:tc>
              <w:tc>
                <w:tcPr>
                  <w:tcW w:w="487" w:type="pct"/>
                  <w:vAlign w:val="center"/>
                </w:tcPr>
                <w:p>
                  <w:pPr>
                    <w:pStyle w:val="37"/>
                  </w:pPr>
                  <w:r>
                    <w:rPr>
                      <w:rFonts w:hint="eastAsia"/>
                    </w:rPr>
                    <w:t>2.37</w:t>
                  </w:r>
                </w:p>
              </w:tc>
              <w:tc>
                <w:tcPr>
                  <w:tcW w:w="463" w:type="pct"/>
                  <w:vAlign w:val="center"/>
                </w:tcPr>
                <w:p>
                  <w:pPr>
                    <w:pStyle w:val="37"/>
                  </w:pPr>
                  <w:r>
                    <w:rPr>
                      <w:rFonts w:hint="eastAsia"/>
                    </w:rPr>
                    <w:t>2.35</w:t>
                  </w:r>
                </w:p>
              </w:tc>
              <w:tc>
                <w:tcPr>
                  <w:tcW w:w="467" w:type="pct"/>
                  <w:vAlign w:val="center"/>
                </w:tcPr>
                <w:p>
                  <w:pPr>
                    <w:pStyle w:val="37"/>
                  </w:pPr>
                  <w:r>
                    <w:rPr>
                      <w:rFonts w:hint="eastAsia"/>
                    </w:rPr>
                    <w:t>4.67</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非甲烷总烃浓度(mg/</w:t>
                  </w:r>
                  <w:r>
                    <w:t>m</w:t>
                  </w:r>
                  <w:r>
                    <w:rPr>
                      <w:vertAlign w:val="superscript"/>
                    </w:rPr>
                    <w:t>3</w:t>
                  </w:r>
                  <w:r>
                    <w:rPr>
                      <w:rFonts w:hint="eastAsia"/>
                    </w:rPr>
                    <w:t>)</w:t>
                  </w:r>
                </w:p>
              </w:tc>
              <w:tc>
                <w:tcPr>
                  <w:tcW w:w="464" w:type="pct"/>
                  <w:vAlign w:val="center"/>
                </w:tcPr>
                <w:p>
                  <w:pPr>
                    <w:pStyle w:val="37"/>
                  </w:pPr>
                  <w:r>
                    <w:rPr>
                      <w:rFonts w:hint="eastAsia"/>
                    </w:rPr>
                    <w:t>2.47</w:t>
                  </w:r>
                </w:p>
              </w:tc>
              <w:tc>
                <w:tcPr>
                  <w:tcW w:w="487" w:type="pct"/>
                  <w:vAlign w:val="center"/>
                </w:tcPr>
                <w:p>
                  <w:pPr>
                    <w:pStyle w:val="37"/>
                  </w:pPr>
                  <w:r>
                    <w:rPr>
                      <w:rFonts w:hint="eastAsia"/>
                    </w:rPr>
                    <w:t>2.46</w:t>
                  </w:r>
                </w:p>
              </w:tc>
              <w:tc>
                <w:tcPr>
                  <w:tcW w:w="463" w:type="pct"/>
                  <w:vAlign w:val="center"/>
                </w:tcPr>
                <w:p>
                  <w:pPr>
                    <w:pStyle w:val="37"/>
                  </w:pPr>
                  <w:r>
                    <w:rPr>
                      <w:rFonts w:hint="eastAsia"/>
                    </w:rPr>
                    <w:t>2.47</w:t>
                  </w:r>
                </w:p>
              </w:tc>
              <w:tc>
                <w:tcPr>
                  <w:tcW w:w="467" w:type="pct"/>
                  <w:vAlign w:val="center"/>
                </w:tcPr>
                <w:p>
                  <w:pPr>
                    <w:pStyle w:val="37"/>
                  </w:pPr>
                  <w:r>
                    <w:rPr>
                      <w:rFonts w:hint="eastAsia"/>
                    </w:rPr>
                    <w:t>2.47</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2021年9月5日</w:t>
                  </w:r>
                </w:p>
              </w:tc>
              <w:tc>
                <w:tcPr>
                  <w:tcW w:w="486" w:type="pct"/>
                  <w:vMerge w:val="restart"/>
                  <w:vAlign w:val="center"/>
                </w:tcPr>
                <w:p>
                  <w:pPr>
                    <w:pStyle w:val="37"/>
                    <w:tabs>
                      <w:tab w:val="left" w:pos="297"/>
                    </w:tabs>
                  </w:pPr>
                  <w:r>
                    <w:rPr>
                      <w:rFonts w:hint="eastAsia"/>
                    </w:rPr>
                    <w:t>电泳废气排口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11125</w:t>
                  </w:r>
                </w:p>
              </w:tc>
              <w:tc>
                <w:tcPr>
                  <w:tcW w:w="487" w:type="pct"/>
                  <w:vAlign w:val="center"/>
                </w:tcPr>
                <w:p>
                  <w:pPr>
                    <w:pStyle w:val="37"/>
                  </w:pPr>
                  <w:r>
                    <w:rPr>
                      <w:rFonts w:hint="eastAsia"/>
                    </w:rPr>
                    <w:t>11021</w:t>
                  </w:r>
                </w:p>
              </w:tc>
              <w:tc>
                <w:tcPr>
                  <w:tcW w:w="463" w:type="pct"/>
                  <w:vAlign w:val="center"/>
                </w:tcPr>
                <w:p>
                  <w:pPr>
                    <w:pStyle w:val="37"/>
                  </w:pPr>
                  <w:r>
                    <w:rPr>
                      <w:rFonts w:hint="eastAsia"/>
                    </w:rPr>
                    <w:t>11180</w:t>
                  </w:r>
                </w:p>
              </w:tc>
              <w:tc>
                <w:tcPr>
                  <w:tcW w:w="467" w:type="pct"/>
                  <w:vAlign w:val="center"/>
                </w:tcPr>
                <w:p>
                  <w:pPr>
                    <w:pStyle w:val="37"/>
                  </w:pPr>
                  <w:r>
                    <w:rPr>
                      <w:rFonts w:hint="eastAsia"/>
                    </w:rPr>
                    <w:t>11180</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TVOC浓度(mg/</w:t>
                  </w:r>
                  <w:r>
                    <w:t>m</w:t>
                  </w:r>
                  <w:r>
                    <w:rPr>
                      <w:vertAlign w:val="superscript"/>
                    </w:rPr>
                    <w:t>3</w:t>
                  </w:r>
                  <w:r>
                    <w:rPr>
                      <w:rFonts w:hint="eastAsia"/>
                    </w:rPr>
                    <w:t>)</w:t>
                  </w:r>
                </w:p>
              </w:tc>
              <w:tc>
                <w:tcPr>
                  <w:tcW w:w="464" w:type="pct"/>
                  <w:vAlign w:val="center"/>
                </w:tcPr>
                <w:p>
                  <w:pPr>
                    <w:pStyle w:val="37"/>
                  </w:pPr>
                  <w:r>
                    <w:rPr>
                      <w:rFonts w:hint="eastAsia"/>
                    </w:rPr>
                    <w:t>2.04</w:t>
                  </w:r>
                </w:p>
              </w:tc>
              <w:tc>
                <w:tcPr>
                  <w:tcW w:w="487" w:type="pct"/>
                  <w:vAlign w:val="center"/>
                </w:tcPr>
                <w:p>
                  <w:pPr>
                    <w:pStyle w:val="37"/>
                  </w:pPr>
                  <w:r>
                    <w:rPr>
                      <w:rFonts w:hint="eastAsia"/>
                    </w:rPr>
                    <w:t>2.07</w:t>
                  </w:r>
                </w:p>
              </w:tc>
              <w:tc>
                <w:tcPr>
                  <w:tcW w:w="463" w:type="pct"/>
                  <w:vAlign w:val="center"/>
                </w:tcPr>
                <w:p>
                  <w:pPr>
                    <w:pStyle w:val="37"/>
                  </w:pPr>
                  <w:r>
                    <w:rPr>
                      <w:rFonts w:hint="eastAsia"/>
                    </w:rPr>
                    <w:t>1.81</w:t>
                  </w:r>
                </w:p>
              </w:tc>
              <w:tc>
                <w:tcPr>
                  <w:tcW w:w="467" w:type="pct"/>
                  <w:vAlign w:val="center"/>
                </w:tcPr>
                <w:p>
                  <w:pPr>
                    <w:pStyle w:val="37"/>
                  </w:pPr>
                  <w:r>
                    <w:rPr>
                      <w:rFonts w:hint="eastAsia"/>
                    </w:rPr>
                    <w:t>2.07</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非甲烷总烃浓度(mg/</w:t>
                  </w:r>
                  <w:r>
                    <w:t>m</w:t>
                  </w:r>
                  <w:r>
                    <w:rPr>
                      <w:vertAlign w:val="superscript"/>
                    </w:rPr>
                    <w:t>3</w:t>
                  </w:r>
                  <w:r>
                    <w:rPr>
                      <w:rFonts w:hint="eastAsia"/>
                    </w:rPr>
                    <w:t>)</w:t>
                  </w:r>
                </w:p>
              </w:tc>
              <w:tc>
                <w:tcPr>
                  <w:tcW w:w="464" w:type="pct"/>
                  <w:vAlign w:val="center"/>
                </w:tcPr>
                <w:p>
                  <w:pPr>
                    <w:pStyle w:val="37"/>
                  </w:pPr>
                  <w:r>
                    <w:rPr>
                      <w:rFonts w:hint="eastAsia"/>
                    </w:rPr>
                    <w:t>2.48</w:t>
                  </w:r>
                </w:p>
              </w:tc>
              <w:tc>
                <w:tcPr>
                  <w:tcW w:w="487" w:type="pct"/>
                  <w:vAlign w:val="center"/>
                </w:tcPr>
                <w:p>
                  <w:pPr>
                    <w:pStyle w:val="37"/>
                  </w:pPr>
                  <w:r>
                    <w:rPr>
                      <w:rFonts w:hint="eastAsia"/>
                    </w:rPr>
                    <w:t>2.46</w:t>
                  </w:r>
                </w:p>
              </w:tc>
              <w:tc>
                <w:tcPr>
                  <w:tcW w:w="463" w:type="pct"/>
                  <w:vAlign w:val="center"/>
                </w:tcPr>
                <w:p>
                  <w:pPr>
                    <w:pStyle w:val="37"/>
                  </w:pPr>
                  <w:r>
                    <w:rPr>
                      <w:rFonts w:hint="eastAsia"/>
                    </w:rPr>
                    <w:t>2.47</w:t>
                  </w:r>
                </w:p>
              </w:tc>
              <w:tc>
                <w:tcPr>
                  <w:tcW w:w="467" w:type="pct"/>
                  <w:vAlign w:val="center"/>
                </w:tcPr>
                <w:p>
                  <w:pPr>
                    <w:pStyle w:val="37"/>
                  </w:pPr>
                  <w:r>
                    <w:rPr>
                      <w:rFonts w:hint="eastAsia"/>
                    </w:rPr>
                    <w:t>2.48</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2021年9月4日</w:t>
                  </w:r>
                </w:p>
              </w:tc>
              <w:tc>
                <w:tcPr>
                  <w:tcW w:w="486" w:type="pct"/>
                  <w:vMerge w:val="restart"/>
                  <w:vAlign w:val="center"/>
                </w:tcPr>
                <w:p>
                  <w:pPr>
                    <w:pStyle w:val="37"/>
                  </w:pPr>
                  <w:r>
                    <w:rPr>
                      <w:rFonts w:hint="eastAsia"/>
                    </w:rPr>
                    <w:t>烘干废气排口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6993</w:t>
                  </w:r>
                </w:p>
              </w:tc>
              <w:tc>
                <w:tcPr>
                  <w:tcW w:w="487" w:type="pct"/>
                  <w:vAlign w:val="center"/>
                </w:tcPr>
                <w:p>
                  <w:pPr>
                    <w:pStyle w:val="37"/>
                  </w:pPr>
                  <w:r>
                    <w:rPr>
                      <w:rFonts w:hint="eastAsia"/>
                    </w:rPr>
                    <w:t>6857</w:t>
                  </w:r>
                </w:p>
              </w:tc>
              <w:tc>
                <w:tcPr>
                  <w:tcW w:w="463" w:type="pct"/>
                  <w:vAlign w:val="center"/>
                </w:tcPr>
                <w:p>
                  <w:pPr>
                    <w:pStyle w:val="37"/>
                  </w:pPr>
                  <w:r>
                    <w:rPr>
                      <w:rFonts w:hint="eastAsia"/>
                    </w:rPr>
                    <w:t>6851</w:t>
                  </w:r>
                </w:p>
              </w:tc>
              <w:tc>
                <w:tcPr>
                  <w:tcW w:w="467" w:type="pct"/>
                  <w:vAlign w:val="center"/>
                </w:tcPr>
                <w:p>
                  <w:pPr>
                    <w:pStyle w:val="37"/>
                  </w:pPr>
                  <w:r>
                    <w:rPr>
                      <w:rFonts w:hint="eastAsia"/>
                    </w:rPr>
                    <w:t>6993</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颗粒物浓度(mg/</w:t>
                  </w:r>
                  <w:r>
                    <w:t>m</w:t>
                  </w:r>
                  <w:r>
                    <w:rPr>
                      <w:vertAlign w:val="superscript"/>
                    </w:rPr>
                    <w:t>3</w:t>
                  </w:r>
                  <w:r>
                    <w:rPr>
                      <w:rFonts w:hint="eastAsia"/>
                    </w:rPr>
                    <w:t>)</w:t>
                  </w:r>
                </w:p>
              </w:tc>
              <w:tc>
                <w:tcPr>
                  <w:tcW w:w="464" w:type="pct"/>
                  <w:vAlign w:val="center"/>
                </w:tcPr>
                <w:p>
                  <w:pPr>
                    <w:pStyle w:val="37"/>
                  </w:pPr>
                  <w:r>
                    <w:rPr>
                      <w:rFonts w:hint="eastAsia"/>
                    </w:rPr>
                    <w:t>＜20</w:t>
                  </w:r>
                </w:p>
              </w:tc>
              <w:tc>
                <w:tcPr>
                  <w:tcW w:w="487" w:type="pct"/>
                  <w:vAlign w:val="center"/>
                </w:tcPr>
                <w:p>
                  <w:pPr>
                    <w:pStyle w:val="37"/>
                  </w:pPr>
                  <w:r>
                    <w:rPr>
                      <w:rFonts w:hint="eastAsia"/>
                    </w:rPr>
                    <w:t>＜20</w:t>
                  </w:r>
                </w:p>
              </w:tc>
              <w:tc>
                <w:tcPr>
                  <w:tcW w:w="463" w:type="pct"/>
                  <w:vAlign w:val="center"/>
                </w:tcPr>
                <w:p>
                  <w:pPr>
                    <w:pStyle w:val="37"/>
                  </w:pPr>
                  <w:r>
                    <w:rPr>
                      <w:rFonts w:hint="eastAsia"/>
                    </w:rPr>
                    <w:t>＜20</w:t>
                  </w:r>
                </w:p>
              </w:tc>
              <w:tc>
                <w:tcPr>
                  <w:tcW w:w="467" w:type="pct"/>
                  <w:vAlign w:val="center"/>
                </w:tcPr>
                <w:p>
                  <w:pPr>
                    <w:pStyle w:val="37"/>
                  </w:pPr>
                  <w:r>
                    <w:rPr>
                      <w:rFonts w:hint="eastAsia"/>
                    </w:rPr>
                    <w:t>＜20</w:t>
                  </w:r>
                </w:p>
              </w:tc>
              <w:tc>
                <w:tcPr>
                  <w:tcW w:w="467" w:type="pct"/>
                  <w:vAlign w:val="center"/>
                </w:tcPr>
                <w:p>
                  <w:pPr>
                    <w:pStyle w:val="37"/>
                  </w:pPr>
                  <w:r>
                    <w:rPr>
                      <w:rFonts w:hint="eastAsia"/>
                    </w:rPr>
                    <w:t>120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颗粒物排放速率（kg/h）</w:t>
                  </w:r>
                </w:p>
              </w:tc>
              <w:tc>
                <w:tcPr>
                  <w:tcW w:w="464" w:type="pct"/>
                  <w:vAlign w:val="center"/>
                </w:tcPr>
                <w:p>
                  <w:pPr>
                    <w:pStyle w:val="37"/>
                  </w:pPr>
                  <w:r>
                    <w:rPr>
                      <w:rFonts w:hint="eastAsia"/>
                    </w:rPr>
                    <w:t>＜0.140</w:t>
                  </w:r>
                </w:p>
              </w:tc>
              <w:tc>
                <w:tcPr>
                  <w:tcW w:w="487" w:type="pct"/>
                  <w:vAlign w:val="center"/>
                </w:tcPr>
                <w:p>
                  <w:pPr>
                    <w:pStyle w:val="37"/>
                  </w:pPr>
                  <w:r>
                    <w:rPr>
                      <w:rFonts w:hint="eastAsia"/>
                    </w:rPr>
                    <w:t>＜0.137</w:t>
                  </w:r>
                </w:p>
              </w:tc>
              <w:tc>
                <w:tcPr>
                  <w:tcW w:w="463" w:type="pct"/>
                  <w:vAlign w:val="center"/>
                </w:tcPr>
                <w:p>
                  <w:pPr>
                    <w:pStyle w:val="37"/>
                  </w:pPr>
                  <w:r>
                    <w:rPr>
                      <w:rFonts w:hint="eastAsia"/>
                    </w:rPr>
                    <w:t>＜0.137</w:t>
                  </w:r>
                </w:p>
              </w:tc>
              <w:tc>
                <w:tcPr>
                  <w:tcW w:w="467" w:type="pct"/>
                  <w:vAlign w:val="center"/>
                </w:tcPr>
                <w:p>
                  <w:pPr>
                    <w:pStyle w:val="37"/>
                  </w:pPr>
                  <w:r>
                    <w:rPr>
                      <w:rFonts w:hint="eastAsia"/>
                    </w:rPr>
                    <w:t>＜0.137</w:t>
                  </w:r>
                </w:p>
              </w:tc>
              <w:tc>
                <w:tcPr>
                  <w:tcW w:w="467" w:type="pct"/>
                  <w:vAlign w:val="center"/>
                </w:tcPr>
                <w:p>
                  <w:pPr>
                    <w:pStyle w:val="37"/>
                  </w:pPr>
                  <w:r>
                    <w:rPr>
                      <w:rFonts w:hint="eastAsia"/>
                    </w:rPr>
                    <w:t>5.9</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二氧化硫浓度(mg/</w:t>
                  </w:r>
                  <w:r>
                    <w:t>m</w:t>
                  </w:r>
                  <w:r>
                    <w:rPr>
                      <w:vertAlign w:val="superscript"/>
                    </w:rPr>
                    <w:t>3</w:t>
                  </w:r>
                  <w:r>
                    <w:rPr>
                      <w:rFonts w:hint="eastAsia"/>
                    </w:rPr>
                    <w:t>)</w:t>
                  </w:r>
                </w:p>
              </w:tc>
              <w:tc>
                <w:tcPr>
                  <w:tcW w:w="464" w:type="pct"/>
                  <w:vAlign w:val="center"/>
                </w:tcPr>
                <w:p>
                  <w:pPr>
                    <w:pStyle w:val="37"/>
                  </w:pPr>
                  <w:r>
                    <w:rPr>
                      <w:rFonts w:hint="eastAsia"/>
                    </w:rPr>
                    <w:t>13</w:t>
                  </w:r>
                </w:p>
              </w:tc>
              <w:tc>
                <w:tcPr>
                  <w:tcW w:w="487" w:type="pct"/>
                  <w:vAlign w:val="center"/>
                </w:tcPr>
                <w:p>
                  <w:pPr>
                    <w:pStyle w:val="37"/>
                  </w:pPr>
                  <w:r>
                    <w:rPr>
                      <w:rFonts w:hint="eastAsia"/>
                    </w:rPr>
                    <w:t>13</w:t>
                  </w:r>
                </w:p>
              </w:tc>
              <w:tc>
                <w:tcPr>
                  <w:tcW w:w="463" w:type="pct"/>
                  <w:vAlign w:val="center"/>
                </w:tcPr>
                <w:p>
                  <w:pPr>
                    <w:pStyle w:val="37"/>
                  </w:pPr>
                  <w:r>
                    <w:rPr>
                      <w:rFonts w:hint="eastAsia"/>
                    </w:rPr>
                    <w:t>15</w:t>
                  </w:r>
                </w:p>
              </w:tc>
              <w:tc>
                <w:tcPr>
                  <w:tcW w:w="467" w:type="pct"/>
                  <w:vAlign w:val="center"/>
                </w:tcPr>
                <w:p>
                  <w:pPr>
                    <w:pStyle w:val="37"/>
                  </w:pPr>
                  <w:r>
                    <w:rPr>
                      <w:rFonts w:hint="eastAsia"/>
                    </w:rPr>
                    <w:t>15</w:t>
                  </w:r>
                </w:p>
              </w:tc>
              <w:tc>
                <w:tcPr>
                  <w:tcW w:w="467" w:type="pct"/>
                  <w:vAlign w:val="center"/>
                </w:tcPr>
                <w:p>
                  <w:pPr>
                    <w:pStyle w:val="37"/>
                  </w:pPr>
                  <w:r>
                    <w:rPr>
                      <w:rFonts w:hint="eastAsia"/>
                    </w:rPr>
                    <w:t>550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二氧化硫排放速率（kg/h）</w:t>
                  </w:r>
                </w:p>
              </w:tc>
              <w:tc>
                <w:tcPr>
                  <w:tcW w:w="464" w:type="pct"/>
                  <w:vAlign w:val="center"/>
                </w:tcPr>
                <w:p>
                  <w:pPr>
                    <w:pStyle w:val="37"/>
                  </w:pPr>
                  <w:r>
                    <w:rPr>
                      <w:rFonts w:hint="eastAsia"/>
                    </w:rPr>
                    <w:t>0.091</w:t>
                  </w:r>
                </w:p>
              </w:tc>
              <w:tc>
                <w:tcPr>
                  <w:tcW w:w="487" w:type="pct"/>
                  <w:vAlign w:val="center"/>
                </w:tcPr>
                <w:p>
                  <w:pPr>
                    <w:pStyle w:val="37"/>
                  </w:pPr>
                  <w:r>
                    <w:rPr>
                      <w:rFonts w:hint="eastAsia"/>
                    </w:rPr>
                    <w:t>0.089</w:t>
                  </w:r>
                </w:p>
              </w:tc>
              <w:tc>
                <w:tcPr>
                  <w:tcW w:w="463" w:type="pct"/>
                  <w:vAlign w:val="center"/>
                </w:tcPr>
                <w:p>
                  <w:pPr>
                    <w:pStyle w:val="37"/>
                  </w:pPr>
                  <w:r>
                    <w:rPr>
                      <w:rFonts w:hint="eastAsia"/>
                    </w:rPr>
                    <w:t>0.10</w:t>
                  </w:r>
                </w:p>
              </w:tc>
              <w:tc>
                <w:tcPr>
                  <w:tcW w:w="467" w:type="pct"/>
                  <w:vAlign w:val="center"/>
                </w:tcPr>
                <w:p>
                  <w:pPr>
                    <w:pStyle w:val="37"/>
                  </w:pPr>
                  <w:r>
                    <w:rPr>
                      <w:rFonts w:hint="eastAsia"/>
                    </w:rPr>
                    <w:t>0.10</w:t>
                  </w:r>
                </w:p>
              </w:tc>
              <w:tc>
                <w:tcPr>
                  <w:tcW w:w="467" w:type="pct"/>
                  <w:vAlign w:val="center"/>
                </w:tcPr>
                <w:p>
                  <w:pPr>
                    <w:pStyle w:val="37"/>
                  </w:pPr>
                  <w:r>
                    <w:rPr>
                      <w:rFonts w:hint="eastAsia"/>
                    </w:rPr>
                    <w:t>4.3</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氮氧化物浓度(mg/</w:t>
                  </w:r>
                  <w:r>
                    <w:t>m</w:t>
                  </w:r>
                  <w:r>
                    <w:rPr>
                      <w:vertAlign w:val="superscript"/>
                    </w:rPr>
                    <w:t>3</w:t>
                  </w:r>
                  <w:r>
                    <w:rPr>
                      <w:rFonts w:hint="eastAsia"/>
                    </w:rPr>
                    <w:t>)</w:t>
                  </w:r>
                </w:p>
              </w:tc>
              <w:tc>
                <w:tcPr>
                  <w:tcW w:w="464" w:type="pct"/>
                  <w:vAlign w:val="center"/>
                </w:tcPr>
                <w:p>
                  <w:pPr>
                    <w:pStyle w:val="37"/>
                  </w:pPr>
                  <w:r>
                    <w:rPr>
                      <w:rFonts w:hint="eastAsia"/>
                    </w:rPr>
                    <w:t>92</w:t>
                  </w:r>
                </w:p>
              </w:tc>
              <w:tc>
                <w:tcPr>
                  <w:tcW w:w="487" w:type="pct"/>
                  <w:vAlign w:val="center"/>
                </w:tcPr>
                <w:p>
                  <w:pPr>
                    <w:pStyle w:val="37"/>
                  </w:pPr>
                  <w:r>
                    <w:rPr>
                      <w:rFonts w:hint="eastAsia"/>
                    </w:rPr>
                    <w:t>92</w:t>
                  </w:r>
                </w:p>
              </w:tc>
              <w:tc>
                <w:tcPr>
                  <w:tcW w:w="463" w:type="pct"/>
                  <w:vAlign w:val="center"/>
                </w:tcPr>
                <w:p>
                  <w:pPr>
                    <w:pStyle w:val="37"/>
                  </w:pPr>
                  <w:r>
                    <w:rPr>
                      <w:rFonts w:hint="eastAsia"/>
                    </w:rPr>
                    <w:t>87</w:t>
                  </w:r>
                </w:p>
              </w:tc>
              <w:tc>
                <w:tcPr>
                  <w:tcW w:w="467" w:type="pct"/>
                  <w:vAlign w:val="center"/>
                </w:tcPr>
                <w:p>
                  <w:pPr>
                    <w:pStyle w:val="37"/>
                  </w:pPr>
                  <w:r>
                    <w:rPr>
                      <w:rFonts w:hint="eastAsia"/>
                    </w:rPr>
                    <w:t>92</w:t>
                  </w:r>
                </w:p>
              </w:tc>
              <w:tc>
                <w:tcPr>
                  <w:tcW w:w="467" w:type="pct"/>
                  <w:vAlign w:val="center"/>
                </w:tcPr>
                <w:p>
                  <w:pPr>
                    <w:pStyle w:val="37"/>
                  </w:pPr>
                  <w:r>
                    <w:rPr>
                      <w:rFonts w:hint="eastAsia"/>
                    </w:rPr>
                    <w:t>240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氮氧化物排放速率（kg/h）</w:t>
                  </w:r>
                </w:p>
              </w:tc>
              <w:tc>
                <w:tcPr>
                  <w:tcW w:w="464" w:type="pct"/>
                  <w:vAlign w:val="center"/>
                </w:tcPr>
                <w:p>
                  <w:pPr>
                    <w:pStyle w:val="37"/>
                  </w:pPr>
                  <w:r>
                    <w:rPr>
                      <w:rFonts w:hint="eastAsia"/>
                    </w:rPr>
                    <w:t>0.64</w:t>
                  </w:r>
                </w:p>
              </w:tc>
              <w:tc>
                <w:tcPr>
                  <w:tcW w:w="487" w:type="pct"/>
                  <w:vAlign w:val="center"/>
                </w:tcPr>
                <w:p>
                  <w:pPr>
                    <w:pStyle w:val="37"/>
                  </w:pPr>
                  <w:r>
                    <w:rPr>
                      <w:rFonts w:hint="eastAsia"/>
                    </w:rPr>
                    <w:t>0.63</w:t>
                  </w:r>
                </w:p>
              </w:tc>
              <w:tc>
                <w:tcPr>
                  <w:tcW w:w="463" w:type="pct"/>
                  <w:vAlign w:val="center"/>
                </w:tcPr>
                <w:p>
                  <w:pPr>
                    <w:pStyle w:val="37"/>
                  </w:pPr>
                  <w:r>
                    <w:rPr>
                      <w:rFonts w:hint="eastAsia"/>
                    </w:rPr>
                    <w:t>0.60</w:t>
                  </w:r>
                </w:p>
              </w:tc>
              <w:tc>
                <w:tcPr>
                  <w:tcW w:w="467" w:type="pct"/>
                  <w:vAlign w:val="center"/>
                </w:tcPr>
                <w:p>
                  <w:pPr>
                    <w:pStyle w:val="37"/>
                  </w:pPr>
                  <w:r>
                    <w:rPr>
                      <w:rFonts w:hint="eastAsia"/>
                    </w:rPr>
                    <w:t>0.64</w:t>
                  </w:r>
                </w:p>
              </w:tc>
              <w:tc>
                <w:tcPr>
                  <w:tcW w:w="467" w:type="pct"/>
                  <w:vAlign w:val="center"/>
                </w:tcPr>
                <w:p>
                  <w:pPr>
                    <w:pStyle w:val="37"/>
                  </w:pPr>
                  <w:r>
                    <w:rPr>
                      <w:rFonts w:hint="eastAsia"/>
                    </w:rPr>
                    <w:t>1.3</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TVOC浓度(mg/</w:t>
                  </w:r>
                  <w:r>
                    <w:t>m</w:t>
                  </w:r>
                  <w:r>
                    <w:rPr>
                      <w:vertAlign w:val="superscript"/>
                    </w:rPr>
                    <w:t>3</w:t>
                  </w:r>
                  <w:r>
                    <w:rPr>
                      <w:rFonts w:hint="eastAsia"/>
                    </w:rPr>
                    <w:t>)</w:t>
                  </w:r>
                </w:p>
              </w:tc>
              <w:tc>
                <w:tcPr>
                  <w:tcW w:w="464" w:type="pct"/>
                  <w:vAlign w:val="center"/>
                </w:tcPr>
                <w:p>
                  <w:pPr>
                    <w:pStyle w:val="37"/>
                  </w:pPr>
                  <w:r>
                    <w:rPr>
                      <w:rFonts w:hint="eastAsia"/>
                    </w:rPr>
                    <w:t>1.48</w:t>
                  </w:r>
                </w:p>
              </w:tc>
              <w:tc>
                <w:tcPr>
                  <w:tcW w:w="487" w:type="pct"/>
                  <w:vAlign w:val="center"/>
                </w:tcPr>
                <w:p>
                  <w:pPr>
                    <w:pStyle w:val="37"/>
                  </w:pPr>
                  <w:r>
                    <w:rPr>
                      <w:rFonts w:hint="eastAsia"/>
                    </w:rPr>
                    <w:t>1.23</w:t>
                  </w:r>
                </w:p>
              </w:tc>
              <w:tc>
                <w:tcPr>
                  <w:tcW w:w="463" w:type="pct"/>
                  <w:vAlign w:val="center"/>
                </w:tcPr>
                <w:p>
                  <w:pPr>
                    <w:pStyle w:val="37"/>
                  </w:pPr>
                  <w:r>
                    <w:rPr>
                      <w:rFonts w:hint="eastAsia"/>
                    </w:rPr>
                    <w:t>1.58</w:t>
                  </w:r>
                </w:p>
              </w:tc>
              <w:tc>
                <w:tcPr>
                  <w:tcW w:w="467" w:type="pct"/>
                  <w:vAlign w:val="center"/>
                </w:tcPr>
                <w:p>
                  <w:pPr>
                    <w:pStyle w:val="37"/>
                  </w:pPr>
                  <w:r>
                    <w:rPr>
                      <w:rFonts w:hint="eastAsia"/>
                    </w:rPr>
                    <w:t>1.58</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2021年9月5日</w:t>
                  </w:r>
                </w:p>
              </w:tc>
              <w:tc>
                <w:tcPr>
                  <w:tcW w:w="486" w:type="pct"/>
                  <w:vMerge w:val="restart"/>
                  <w:vAlign w:val="center"/>
                </w:tcPr>
                <w:p>
                  <w:pPr>
                    <w:pStyle w:val="37"/>
                  </w:pPr>
                  <w:r>
                    <w:rPr>
                      <w:rFonts w:hint="eastAsia"/>
                    </w:rPr>
                    <w:t>烘干废气排口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6897</w:t>
                  </w:r>
                </w:p>
              </w:tc>
              <w:tc>
                <w:tcPr>
                  <w:tcW w:w="487" w:type="pct"/>
                  <w:vAlign w:val="center"/>
                </w:tcPr>
                <w:p>
                  <w:pPr>
                    <w:pStyle w:val="37"/>
                  </w:pPr>
                  <w:r>
                    <w:rPr>
                      <w:rFonts w:hint="eastAsia"/>
                    </w:rPr>
                    <w:t>6863</w:t>
                  </w:r>
                </w:p>
              </w:tc>
              <w:tc>
                <w:tcPr>
                  <w:tcW w:w="463" w:type="pct"/>
                  <w:vAlign w:val="center"/>
                </w:tcPr>
                <w:p>
                  <w:pPr>
                    <w:pStyle w:val="37"/>
                  </w:pPr>
                  <w:r>
                    <w:rPr>
                      <w:rFonts w:hint="eastAsia"/>
                    </w:rPr>
                    <w:t>7049</w:t>
                  </w:r>
                </w:p>
              </w:tc>
              <w:tc>
                <w:tcPr>
                  <w:tcW w:w="467" w:type="pct"/>
                  <w:vAlign w:val="center"/>
                </w:tcPr>
                <w:p>
                  <w:pPr>
                    <w:pStyle w:val="37"/>
                  </w:pPr>
                  <w:r>
                    <w:rPr>
                      <w:rFonts w:hint="eastAsia"/>
                    </w:rPr>
                    <w:t>7049</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颗粒物浓度(mg/</w:t>
                  </w:r>
                  <w:r>
                    <w:t>m</w:t>
                  </w:r>
                  <w:r>
                    <w:rPr>
                      <w:vertAlign w:val="superscript"/>
                    </w:rPr>
                    <w:t>3</w:t>
                  </w:r>
                  <w:r>
                    <w:rPr>
                      <w:rFonts w:hint="eastAsia"/>
                    </w:rPr>
                    <w:t>)</w:t>
                  </w:r>
                </w:p>
              </w:tc>
              <w:tc>
                <w:tcPr>
                  <w:tcW w:w="464" w:type="pct"/>
                  <w:vAlign w:val="center"/>
                </w:tcPr>
                <w:p>
                  <w:pPr>
                    <w:pStyle w:val="37"/>
                  </w:pPr>
                  <w:r>
                    <w:rPr>
                      <w:rFonts w:hint="eastAsia"/>
                    </w:rPr>
                    <w:t>＜20</w:t>
                  </w:r>
                </w:p>
              </w:tc>
              <w:tc>
                <w:tcPr>
                  <w:tcW w:w="487" w:type="pct"/>
                  <w:vAlign w:val="center"/>
                </w:tcPr>
                <w:p>
                  <w:pPr>
                    <w:pStyle w:val="37"/>
                  </w:pPr>
                  <w:r>
                    <w:rPr>
                      <w:rFonts w:hint="eastAsia"/>
                    </w:rPr>
                    <w:t>＜20</w:t>
                  </w:r>
                </w:p>
              </w:tc>
              <w:tc>
                <w:tcPr>
                  <w:tcW w:w="463" w:type="pct"/>
                  <w:vAlign w:val="center"/>
                </w:tcPr>
                <w:p>
                  <w:pPr>
                    <w:pStyle w:val="37"/>
                  </w:pPr>
                  <w:r>
                    <w:rPr>
                      <w:rFonts w:hint="eastAsia"/>
                    </w:rPr>
                    <w:t>＜20</w:t>
                  </w:r>
                </w:p>
              </w:tc>
              <w:tc>
                <w:tcPr>
                  <w:tcW w:w="467" w:type="pct"/>
                  <w:vAlign w:val="center"/>
                </w:tcPr>
                <w:p>
                  <w:pPr>
                    <w:pStyle w:val="37"/>
                  </w:pPr>
                  <w:r>
                    <w:rPr>
                      <w:rFonts w:hint="eastAsia"/>
                    </w:rPr>
                    <w:t>＜20</w:t>
                  </w:r>
                </w:p>
              </w:tc>
              <w:tc>
                <w:tcPr>
                  <w:tcW w:w="467" w:type="pct"/>
                  <w:vAlign w:val="center"/>
                </w:tcPr>
                <w:p>
                  <w:pPr>
                    <w:pStyle w:val="37"/>
                  </w:pPr>
                  <w:r>
                    <w:rPr>
                      <w:rFonts w:hint="eastAsia"/>
                    </w:rPr>
                    <w:t>120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颗粒物排放速率（kg/h）</w:t>
                  </w:r>
                </w:p>
              </w:tc>
              <w:tc>
                <w:tcPr>
                  <w:tcW w:w="464" w:type="pct"/>
                  <w:vAlign w:val="center"/>
                </w:tcPr>
                <w:p>
                  <w:pPr>
                    <w:pStyle w:val="37"/>
                  </w:pPr>
                  <w:r>
                    <w:rPr>
                      <w:rFonts w:hint="eastAsia"/>
                    </w:rPr>
                    <w:t>＜0.138</w:t>
                  </w:r>
                </w:p>
              </w:tc>
              <w:tc>
                <w:tcPr>
                  <w:tcW w:w="487" w:type="pct"/>
                  <w:vAlign w:val="center"/>
                </w:tcPr>
                <w:p>
                  <w:pPr>
                    <w:pStyle w:val="37"/>
                  </w:pPr>
                  <w:r>
                    <w:rPr>
                      <w:rFonts w:hint="eastAsia"/>
                    </w:rPr>
                    <w:t>＜0.137</w:t>
                  </w:r>
                </w:p>
              </w:tc>
              <w:tc>
                <w:tcPr>
                  <w:tcW w:w="463" w:type="pct"/>
                  <w:vAlign w:val="center"/>
                </w:tcPr>
                <w:p>
                  <w:pPr>
                    <w:pStyle w:val="37"/>
                  </w:pPr>
                  <w:r>
                    <w:rPr>
                      <w:rFonts w:hint="eastAsia"/>
                    </w:rPr>
                    <w:t>＜0.141</w:t>
                  </w:r>
                </w:p>
              </w:tc>
              <w:tc>
                <w:tcPr>
                  <w:tcW w:w="467" w:type="pct"/>
                  <w:vAlign w:val="center"/>
                </w:tcPr>
                <w:p>
                  <w:pPr>
                    <w:pStyle w:val="37"/>
                  </w:pPr>
                  <w:r>
                    <w:rPr>
                      <w:rFonts w:hint="eastAsia"/>
                    </w:rPr>
                    <w:t>＜0.141</w:t>
                  </w:r>
                </w:p>
              </w:tc>
              <w:tc>
                <w:tcPr>
                  <w:tcW w:w="467" w:type="pct"/>
                  <w:vAlign w:val="center"/>
                </w:tcPr>
                <w:p>
                  <w:pPr>
                    <w:pStyle w:val="37"/>
                  </w:pPr>
                  <w:r>
                    <w:rPr>
                      <w:rFonts w:hint="eastAsia"/>
                    </w:rPr>
                    <w:t>5.9</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二氧化硫浓度(mg/</w:t>
                  </w:r>
                  <w:r>
                    <w:t>m</w:t>
                  </w:r>
                  <w:r>
                    <w:rPr>
                      <w:vertAlign w:val="superscript"/>
                    </w:rPr>
                    <w:t>3</w:t>
                  </w:r>
                  <w:r>
                    <w:rPr>
                      <w:rFonts w:hint="eastAsia"/>
                    </w:rPr>
                    <w:t>)</w:t>
                  </w:r>
                </w:p>
              </w:tc>
              <w:tc>
                <w:tcPr>
                  <w:tcW w:w="464" w:type="pct"/>
                  <w:vAlign w:val="center"/>
                </w:tcPr>
                <w:p>
                  <w:pPr>
                    <w:pStyle w:val="37"/>
                  </w:pPr>
                  <w:r>
                    <w:rPr>
                      <w:rFonts w:hint="eastAsia"/>
                    </w:rPr>
                    <w:t>15</w:t>
                  </w:r>
                </w:p>
              </w:tc>
              <w:tc>
                <w:tcPr>
                  <w:tcW w:w="487" w:type="pct"/>
                  <w:vAlign w:val="center"/>
                </w:tcPr>
                <w:p>
                  <w:pPr>
                    <w:pStyle w:val="37"/>
                  </w:pPr>
                  <w:r>
                    <w:rPr>
                      <w:rFonts w:hint="eastAsia"/>
                    </w:rPr>
                    <w:t>14</w:t>
                  </w:r>
                </w:p>
              </w:tc>
              <w:tc>
                <w:tcPr>
                  <w:tcW w:w="463" w:type="pct"/>
                  <w:vAlign w:val="center"/>
                </w:tcPr>
                <w:p>
                  <w:pPr>
                    <w:pStyle w:val="37"/>
                  </w:pPr>
                  <w:r>
                    <w:rPr>
                      <w:rFonts w:hint="eastAsia"/>
                    </w:rPr>
                    <w:t>15</w:t>
                  </w:r>
                </w:p>
              </w:tc>
              <w:tc>
                <w:tcPr>
                  <w:tcW w:w="467" w:type="pct"/>
                  <w:vAlign w:val="center"/>
                </w:tcPr>
                <w:p>
                  <w:pPr>
                    <w:pStyle w:val="37"/>
                  </w:pPr>
                  <w:r>
                    <w:rPr>
                      <w:rFonts w:hint="eastAsia"/>
                    </w:rPr>
                    <w:t>15</w:t>
                  </w:r>
                </w:p>
              </w:tc>
              <w:tc>
                <w:tcPr>
                  <w:tcW w:w="467" w:type="pct"/>
                  <w:vAlign w:val="center"/>
                </w:tcPr>
                <w:p>
                  <w:pPr>
                    <w:pStyle w:val="37"/>
                  </w:pPr>
                  <w:r>
                    <w:rPr>
                      <w:rFonts w:hint="eastAsia"/>
                    </w:rPr>
                    <w:t>550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二氧化硫排放速率（kg/h）</w:t>
                  </w:r>
                </w:p>
              </w:tc>
              <w:tc>
                <w:tcPr>
                  <w:tcW w:w="464" w:type="pct"/>
                  <w:vAlign w:val="center"/>
                </w:tcPr>
                <w:p>
                  <w:pPr>
                    <w:pStyle w:val="37"/>
                  </w:pPr>
                  <w:r>
                    <w:rPr>
                      <w:rFonts w:hint="eastAsia"/>
                    </w:rPr>
                    <w:t>0.10</w:t>
                  </w:r>
                </w:p>
              </w:tc>
              <w:tc>
                <w:tcPr>
                  <w:tcW w:w="487" w:type="pct"/>
                  <w:vAlign w:val="center"/>
                </w:tcPr>
                <w:p>
                  <w:pPr>
                    <w:pStyle w:val="37"/>
                  </w:pPr>
                  <w:r>
                    <w:rPr>
                      <w:rFonts w:hint="eastAsia"/>
                    </w:rPr>
                    <w:t>0.096</w:t>
                  </w:r>
                </w:p>
              </w:tc>
              <w:tc>
                <w:tcPr>
                  <w:tcW w:w="463" w:type="pct"/>
                  <w:vAlign w:val="center"/>
                </w:tcPr>
                <w:p>
                  <w:pPr>
                    <w:pStyle w:val="37"/>
                  </w:pPr>
                  <w:r>
                    <w:rPr>
                      <w:rFonts w:hint="eastAsia"/>
                    </w:rPr>
                    <w:t>0.11</w:t>
                  </w:r>
                </w:p>
              </w:tc>
              <w:tc>
                <w:tcPr>
                  <w:tcW w:w="467" w:type="pct"/>
                  <w:vAlign w:val="center"/>
                </w:tcPr>
                <w:p>
                  <w:pPr>
                    <w:pStyle w:val="37"/>
                  </w:pPr>
                  <w:r>
                    <w:rPr>
                      <w:rFonts w:hint="eastAsia"/>
                    </w:rPr>
                    <w:t>0.11</w:t>
                  </w:r>
                </w:p>
              </w:tc>
              <w:tc>
                <w:tcPr>
                  <w:tcW w:w="467" w:type="pct"/>
                  <w:vAlign w:val="center"/>
                </w:tcPr>
                <w:p>
                  <w:pPr>
                    <w:pStyle w:val="37"/>
                  </w:pPr>
                  <w:r>
                    <w:rPr>
                      <w:rFonts w:hint="eastAsia"/>
                    </w:rPr>
                    <w:t>4.3</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氮氧化物浓度(mg/</w:t>
                  </w:r>
                  <w:r>
                    <w:t>m</w:t>
                  </w:r>
                  <w:r>
                    <w:rPr>
                      <w:vertAlign w:val="superscript"/>
                    </w:rPr>
                    <w:t>3</w:t>
                  </w:r>
                  <w:r>
                    <w:rPr>
                      <w:rFonts w:hint="eastAsia"/>
                    </w:rPr>
                    <w:t>)</w:t>
                  </w:r>
                </w:p>
              </w:tc>
              <w:tc>
                <w:tcPr>
                  <w:tcW w:w="464" w:type="pct"/>
                  <w:vAlign w:val="center"/>
                </w:tcPr>
                <w:p>
                  <w:pPr>
                    <w:pStyle w:val="37"/>
                  </w:pPr>
                  <w:r>
                    <w:rPr>
                      <w:rFonts w:hint="eastAsia"/>
                    </w:rPr>
                    <w:t>82</w:t>
                  </w:r>
                </w:p>
              </w:tc>
              <w:tc>
                <w:tcPr>
                  <w:tcW w:w="487" w:type="pct"/>
                  <w:vAlign w:val="center"/>
                </w:tcPr>
                <w:p>
                  <w:pPr>
                    <w:pStyle w:val="37"/>
                  </w:pPr>
                  <w:r>
                    <w:rPr>
                      <w:rFonts w:hint="eastAsia"/>
                    </w:rPr>
                    <w:t>79</w:t>
                  </w:r>
                </w:p>
              </w:tc>
              <w:tc>
                <w:tcPr>
                  <w:tcW w:w="463" w:type="pct"/>
                  <w:vAlign w:val="center"/>
                </w:tcPr>
                <w:p>
                  <w:pPr>
                    <w:pStyle w:val="37"/>
                  </w:pPr>
                  <w:r>
                    <w:rPr>
                      <w:rFonts w:hint="eastAsia"/>
                    </w:rPr>
                    <w:t>76</w:t>
                  </w:r>
                </w:p>
              </w:tc>
              <w:tc>
                <w:tcPr>
                  <w:tcW w:w="467" w:type="pct"/>
                  <w:vAlign w:val="center"/>
                </w:tcPr>
                <w:p>
                  <w:pPr>
                    <w:pStyle w:val="37"/>
                  </w:pPr>
                  <w:r>
                    <w:rPr>
                      <w:rFonts w:hint="eastAsia"/>
                    </w:rPr>
                    <w:t>82</w:t>
                  </w:r>
                </w:p>
              </w:tc>
              <w:tc>
                <w:tcPr>
                  <w:tcW w:w="467" w:type="pct"/>
                  <w:vAlign w:val="center"/>
                </w:tcPr>
                <w:p>
                  <w:pPr>
                    <w:pStyle w:val="37"/>
                  </w:pPr>
                  <w:r>
                    <w:rPr>
                      <w:rFonts w:hint="eastAsia"/>
                    </w:rPr>
                    <w:t>240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氮氧化物排放速率（kg/h）</w:t>
                  </w:r>
                </w:p>
              </w:tc>
              <w:tc>
                <w:tcPr>
                  <w:tcW w:w="464" w:type="pct"/>
                  <w:vAlign w:val="center"/>
                </w:tcPr>
                <w:p>
                  <w:pPr>
                    <w:pStyle w:val="37"/>
                  </w:pPr>
                  <w:r>
                    <w:rPr>
                      <w:rFonts w:hint="eastAsia"/>
                    </w:rPr>
                    <w:t>0.56</w:t>
                  </w:r>
                </w:p>
              </w:tc>
              <w:tc>
                <w:tcPr>
                  <w:tcW w:w="487" w:type="pct"/>
                  <w:vAlign w:val="center"/>
                </w:tcPr>
                <w:p>
                  <w:pPr>
                    <w:pStyle w:val="37"/>
                  </w:pPr>
                  <w:r>
                    <w:rPr>
                      <w:rFonts w:hint="eastAsia"/>
                    </w:rPr>
                    <w:t>0.54</w:t>
                  </w:r>
                </w:p>
              </w:tc>
              <w:tc>
                <w:tcPr>
                  <w:tcW w:w="463" w:type="pct"/>
                  <w:vAlign w:val="center"/>
                </w:tcPr>
                <w:p>
                  <w:pPr>
                    <w:pStyle w:val="37"/>
                  </w:pPr>
                  <w:r>
                    <w:rPr>
                      <w:rFonts w:hint="eastAsia"/>
                    </w:rPr>
                    <w:t>0.55</w:t>
                  </w:r>
                </w:p>
              </w:tc>
              <w:tc>
                <w:tcPr>
                  <w:tcW w:w="467" w:type="pct"/>
                  <w:vAlign w:val="center"/>
                </w:tcPr>
                <w:p>
                  <w:pPr>
                    <w:pStyle w:val="37"/>
                  </w:pPr>
                  <w:r>
                    <w:rPr>
                      <w:rFonts w:hint="eastAsia"/>
                    </w:rPr>
                    <w:t>0.56</w:t>
                  </w:r>
                </w:p>
              </w:tc>
              <w:tc>
                <w:tcPr>
                  <w:tcW w:w="467" w:type="pct"/>
                  <w:vAlign w:val="center"/>
                </w:tcPr>
                <w:p>
                  <w:pPr>
                    <w:pStyle w:val="37"/>
                  </w:pPr>
                  <w:r>
                    <w:rPr>
                      <w:rFonts w:hint="eastAsia"/>
                    </w:rPr>
                    <w:t>1.3</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TVOC浓度(mg/</w:t>
                  </w:r>
                  <w:r>
                    <w:t>m</w:t>
                  </w:r>
                  <w:r>
                    <w:rPr>
                      <w:vertAlign w:val="superscript"/>
                    </w:rPr>
                    <w:t>3</w:t>
                  </w:r>
                  <w:r>
                    <w:rPr>
                      <w:rFonts w:hint="eastAsia"/>
                    </w:rPr>
                    <w:t>)</w:t>
                  </w:r>
                </w:p>
              </w:tc>
              <w:tc>
                <w:tcPr>
                  <w:tcW w:w="464" w:type="pct"/>
                  <w:vAlign w:val="center"/>
                </w:tcPr>
                <w:p>
                  <w:pPr>
                    <w:pStyle w:val="37"/>
                  </w:pPr>
                  <w:r>
                    <w:rPr>
                      <w:rFonts w:hint="eastAsia"/>
                    </w:rPr>
                    <w:t>1.27</w:t>
                  </w:r>
                </w:p>
              </w:tc>
              <w:tc>
                <w:tcPr>
                  <w:tcW w:w="487" w:type="pct"/>
                  <w:vAlign w:val="center"/>
                </w:tcPr>
                <w:p>
                  <w:pPr>
                    <w:pStyle w:val="37"/>
                  </w:pPr>
                  <w:r>
                    <w:rPr>
                      <w:rFonts w:hint="eastAsia"/>
                    </w:rPr>
                    <w:t>1.12</w:t>
                  </w:r>
                </w:p>
              </w:tc>
              <w:tc>
                <w:tcPr>
                  <w:tcW w:w="463" w:type="pct"/>
                  <w:vAlign w:val="center"/>
                </w:tcPr>
                <w:p>
                  <w:pPr>
                    <w:pStyle w:val="37"/>
                  </w:pPr>
                  <w:r>
                    <w:rPr>
                      <w:rFonts w:hint="eastAsia"/>
                    </w:rPr>
                    <w:t>1.21</w:t>
                  </w:r>
                </w:p>
              </w:tc>
              <w:tc>
                <w:tcPr>
                  <w:tcW w:w="467" w:type="pct"/>
                  <w:vAlign w:val="center"/>
                </w:tcPr>
                <w:p>
                  <w:pPr>
                    <w:pStyle w:val="37"/>
                  </w:pPr>
                  <w:r>
                    <w:rPr>
                      <w:rFonts w:hint="eastAsia"/>
                    </w:rPr>
                    <w:t>1.27</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2021年9月4日</w:t>
                  </w:r>
                </w:p>
              </w:tc>
              <w:tc>
                <w:tcPr>
                  <w:tcW w:w="486" w:type="pct"/>
                  <w:vMerge w:val="restart"/>
                  <w:vAlign w:val="center"/>
                </w:tcPr>
                <w:p>
                  <w:pPr>
                    <w:pStyle w:val="37"/>
                  </w:pPr>
                  <w:r>
                    <w:rPr>
                      <w:rFonts w:hint="eastAsia"/>
                    </w:rPr>
                    <w:t>天然气废气排口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2465</w:t>
                  </w:r>
                </w:p>
              </w:tc>
              <w:tc>
                <w:tcPr>
                  <w:tcW w:w="487" w:type="pct"/>
                  <w:vAlign w:val="center"/>
                </w:tcPr>
                <w:p>
                  <w:pPr>
                    <w:pStyle w:val="37"/>
                  </w:pPr>
                  <w:r>
                    <w:rPr>
                      <w:rFonts w:hint="eastAsia"/>
                    </w:rPr>
                    <w:t>2465</w:t>
                  </w:r>
                </w:p>
              </w:tc>
              <w:tc>
                <w:tcPr>
                  <w:tcW w:w="463" w:type="pct"/>
                  <w:vAlign w:val="center"/>
                </w:tcPr>
                <w:p>
                  <w:pPr>
                    <w:pStyle w:val="37"/>
                  </w:pPr>
                  <w:r>
                    <w:rPr>
                      <w:rFonts w:hint="eastAsia"/>
                    </w:rPr>
                    <w:t>2454</w:t>
                  </w:r>
                </w:p>
              </w:tc>
              <w:tc>
                <w:tcPr>
                  <w:tcW w:w="467" w:type="pct"/>
                  <w:vAlign w:val="center"/>
                </w:tcPr>
                <w:p>
                  <w:pPr>
                    <w:pStyle w:val="37"/>
                  </w:pPr>
                  <w:r>
                    <w:rPr>
                      <w:rFonts w:hint="eastAsia"/>
                    </w:rPr>
                    <w:t>2465</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颗粒物浓度(mg/</w:t>
                  </w:r>
                  <w:r>
                    <w:t>m</w:t>
                  </w:r>
                  <w:r>
                    <w:rPr>
                      <w:vertAlign w:val="superscript"/>
                    </w:rPr>
                    <w:t>3</w:t>
                  </w:r>
                  <w:r>
                    <w:rPr>
                      <w:rFonts w:hint="eastAsia"/>
                    </w:rPr>
                    <w:t>)</w:t>
                  </w:r>
                </w:p>
              </w:tc>
              <w:tc>
                <w:tcPr>
                  <w:tcW w:w="464" w:type="pct"/>
                  <w:vAlign w:val="center"/>
                </w:tcPr>
                <w:p>
                  <w:pPr>
                    <w:pStyle w:val="37"/>
                  </w:pPr>
                  <w:r>
                    <w:rPr>
                      <w:rFonts w:hint="eastAsia"/>
                    </w:rPr>
                    <w:t>18</w:t>
                  </w:r>
                </w:p>
              </w:tc>
              <w:tc>
                <w:tcPr>
                  <w:tcW w:w="487" w:type="pct"/>
                  <w:vAlign w:val="center"/>
                </w:tcPr>
                <w:p>
                  <w:pPr>
                    <w:pStyle w:val="37"/>
                  </w:pPr>
                  <w:r>
                    <w:rPr>
                      <w:rFonts w:hint="eastAsia"/>
                    </w:rPr>
                    <w:t>15</w:t>
                  </w:r>
                </w:p>
              </w:tc>
              <w:tc>
                <w:tcPr>
                  <w:tcW w:w="463" w:type="pct"/>
                  <w:vAlign w:val="center"/>
                </w:tcPr>
                <w:p>
                  <w:pPr>
                    <w:pStyle w:val="37"/>
                  </w:pPr>
                  <w:r>
                    <w:rPr>
                      <w:rFonts w:hint="eastAsia"/>
                    </w:rPr>
                    <w:t>14</w:t>
                  </w:r>
                </w:p>
              </w:tc>
              <w:tc>
                <w:tcPr>
                  <w:tcW w:w="467" w:type="pct"/>
                  <w:vAlign w:val="center"/>
                </w:tcPr>
                <w:p>
                  <w:pPr>
                    <w:pStyle w:val="37"/>
                  </w:pPr>
                  <w:r>
                    <w:rPr>
                      <w:rFonts w:hint="eastAsia"/>
                    </w:rPr>
                    <w:t>18</w:t>
                  </w:r>
                </w:p>
              </w:tc>
              <w:tc>
                <w:tcPr>
                  <w:tcW w:w="467" w:type="pct"/>
                  <w:vAlign w:val="center"/>
                </w:tcPr>
                <w:p>
                  <w:pPr>
                    <w:pStyle w:val="37"/>
                  </w:pPr>
                  <w:r>
                    <w:rPr>
                      <w:rFonts w:hint="eastAsia"/>
                    </w:rPr>
                    <w:t>20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颗粒物排放速率（kg/h）</w:t>
                  </w:r>
                </w:p>
              </w:tc>
              <w:tc>
                <w:tcPr>
                  <w:tcW w:w="464" w:type="pct"/>
                  <w:vAlign w:val="center"/>
                </w:tcPr>
                <w:p>
                  <w:pPr>
                    <w:pStyle w:val="37"/>
                  </w:pPr>
                  <w:r>
                    <w:rPr>
                      <w:rFonts w:hint="eastAsia"/>
                    </w:rPr>
                    <w:t>0.037</w:t>
                  </w:r>
                </w:p>
              </w:tc>
              <w:tc>
                <w:tcPr>
                  <w:tcW w:w="487" w:type="pct"/>
                  <w:vAlign w:val="center"/>
                </w:tcPr>
                <w:p>
                  <w:pPr>
                    <w:pStyle w:val="37"/>
                  </w:pPr>
                  <w:r>
                    <w:rPr>
                      <w:rFonts w:hint="eastAsia"/>
                    </w:rPr>
                    <w:t>0.032</w:t>
                  </w:r>
                </w:p>
              </w:tc>
              <w:tc>
                <w:tcPr>
                  <w:tcW w:w="463" w:type="pct"/>
                  <w:vAlign w:val="center"/>
                </w:tcPr>
                <w:p>
                  <w:pPr>
                    <w:pStyle w:val="37"/>
                  </w:pPr>
                  <w:r>
                    <w:rPr>
                      <w:rFonts w:hint="eastAsia"/>
                    </w:rPr>
                    <w:t>0.029</w:t>
                  </w:r>
                </w:p>
              </w:tc>
              <w:tc>
                <w:tcPr>
                  <w:tcW w:w="467" w:type="pct"/>
                  <w:vAlign w:val="center"/>
                </w:tcPr>
                <w:p>
                  <w:pPr>
                    <w:pStyle w:val="37"/>
                  </w:pPr>
                  <w:r>
                    <w:rPr>
                      <w:rFonts w:hint="eastAsia"/>
                    </w:rPr>
                    <w:t>0.037</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二氧化硫浓度(mg/</w:t>
                  </w:r>
                  <w:r>
                    <w:t>m</w:t>
                  </w:r>
                  <w:r>
                    <w:rPr>
                      <w:vertAlign w:val="superscript"/>
                    </w:rPr>
                    <w:t>3</w:t>
                  </w:r>
                  <w:r>
                    <w:rPr>
                      <w:rFonts w:hint="eastAsia"/>
                    </w:rPr>
                    <w:t>)</w:t>
                  </w:r>
                </w:p>
              </w:tc>
              <w:tc>
                <w:tcPr>
                  <w:tcW w:w="464" w:type="pct"/>
                  <w:vAlign w:val="center"/>
                </w:tcPr>
                <w:p>
                  <w:pPr>
                    <w:pStyle w:val="37"/>
                  </w:pPr>
                  <w:r>
                    <w:rPr>
                      <w:rFonts w:hint="eastAsia"/>
                    </w:rPr>
                    <w:t>＜3</w:t>
                  </w:r>
                </w:p>
              </w:tc>
              <w:tc>
                <w:tcPr>
                  <w:tcW w:w="487" w:type="pct"/>
                  <w:vAlign w:val="center"/>
                </w:tcPr>
                <w:p>
                  <w:pPr>
                    <w:pStyle w:val="37"/>
                  </w:pPr>
                  <w:r>
                    <w:rPr>
                      <w:rFonts w:hint="eastAsia"/>
                    </w:rPr>
                    <w:t>＜3</w:t>
                  </w:r>
                </w:p>
              </w:tc>
              <w:tc>
                <w:tcPr>
                  <w:tcW w:w="463" w:type="pct"/>
                  <w:vAlign w:val="center"/>
                </w:tcPr>
                <w:p>
                  <w:pPr>
                    <w:pStyle w:val="37"/>
                  </w:pPr>
                  <w:r>
                    <w:rPr>
                      <w:rFonts w:hint="eastAsia"/>
                    </w:rPr>
                    <w:t>＜3</w:t>
                  </w:r>
                </w:p>
              </w:tc>
              <w:tc>
                <w:tcPr>
                  <w:tcW w:w="467" w:type="pct"/>
                  <w:vAlign w:val="center"/>
                </w:tcPr>
                <w:p>
                  <w:pPr>
                    <w:pStyle w:val="37"/>
                  </w:pPr>
                  <w:r>
                    <w:rPr>
                      <w:rFonts w:hint="eastAsia"/>
                    </w:rPr>
                    <w:t>＜3</w:t>
                  </w:r>
                </w:p>
              </w:tc>
              <w:tc>
                <w:tcPr>
                  <w:tcW w:w="467" w:type="pct"/>
                  <w:vAlign w:val="center"/>
                </w:tcPr>
                <w:p>
                  <w:pPr>
                    <w:pStyle w:val="37"/>
                  </w:pPr>
                  <w:r>
                    <w:rPr>
                      <w:rFonts w:hint="eastAsia"/>
                    </w:rPr>
                    <w:t>50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二氧化硫排放速率（kg/h）</w:t>
                  </w:r>
                </w:p>
              </w:tc>
              <w:tc>
                <w:tcPr>
                  <w:tcW w:w="464" w:type="pct"/>
                  <w:vAlign w:val="center"/>
                </w:tcPr>
                <w:p>
                  <w:pPr>
                    <w:pStyle w:val="37"/>
                  </w:pPr>
                  <w:r>
                    <w:rPr>
                      <w:rFonts w:hint="eastAsia"/>
                    </w:rPr>
                    <w:t>＜0.007</w:t>
                  </w:r>
                </w:p>
              </w:tc>
              <w:tc>
                <w:tcPr>
                  <w:tcW w:w="487" w:type="pct"/>
                  <w:vAlign w:val="center"/>
                </w:tcPr>
                <w:p>
                  <w:pPr>
                    <w:pStyle w:val="37"/>
                  </w:pPr>
                  <w:r>
                    <w:rPr>
                      <w:rFonts w:hint="eastAsia"/>
                    </w:rPr>
                    <w:t>＜0.007</w:t>
                  </w:r>
                </w:p>
              </w:tc>
              <w:tc>
                <w:tcPr>
                  <w:tcW w:w="463" w:type="pct"/>
                  <w:vAlign w:val="center"/>
                </w:tcPr>
                <w:p>
                  <w:pPr>
                    <w:pStyle w:val="37"/>
                  </w:pPr>
                  <w:r>
                    <w:rPr>
                      <w:rFonts w:hint="eastAsia"/>
                    </w:rPr>
                    <w:t>＜0.007</w:t>
                  </w:r>
                </w:p>
              </w:tc>
              <w:tc>
                <w:tcPr>
                  <w:tcW w:w="467" w:type="pct"/>
                  <w:vAlign w:val="center"/>
                </w:tcPr>
                <w:p>
                  <w:pPr>
                    <w:pStyle w:val="37"/>
                  </w:pPr>
                  <w:r>
                    <w:rPr>
                      <w:rFonts w:hint="eastAsia"/>
                    </w:rPr>
                    <w:t>＜0.007</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氮氧化物浓度(mg/</w:t>
                  </w:r>
                  <w:r>
                    <w:t>m</w:t>
                  </w:r>
                  <w:r>
                    <w:rPr>
                      <w:vertAlign w:val="superscript"/>
                    </w:rPr>
                    <w:t>3</w:t>
                  </w:r>
                  <w:r>
                    <w:rPr>
                      <w:rFonts w:hint="eastAsia"/>
                    </w:rPr>
                    <w:t>)</w:t>
                  </w:r>
                </w:p>
              </w:tc>
              <w:tc>
                <w:tcPr>
                  <w:tcW w:w="464" w:type="pct"/>
                  <w:vAlign w:val="center"/>
                </w:tcPr>
                <w:p>
                  <w:pPr>
                    <w:pStyle w:val="37"/>
                  </w:pPr>
                  <w:r>
                    <w:rPr>
                      <w:rFonts w:hint="eastAsia"/>
                    </w:rPr>
                    <w:t>96</w:t>
                  </w:r>
                </w:p>
              </w:tc>
              <w:tc>
                <w:tcPr>
                  <w:tcW w:w="487" w:type="pct"/>
                  <w:vAlign w:val="center"/>
                </w:tcPr>
                <w:p>
                  <w:pPr>
                    <w:pStyle w:val="37"/>
                  </w:pPr>
                  <w:r>
                    <w:rPr>
                      <w:rFonts w:hint="eastAsia"/>
                    </w:rPr>
                    <w:t>93</w:t>
                  </w:r>
                </w:p>
              </w:tc>
              <w:tc>
                <w:tcPr>
                  <w:tcW w:w="463" w:type="pct"/>
                  <w:vAlign w:val="center"/>
                </w:tcPr>
                <w:p>
                  <w:pPr>
                    <w:pStyle w:val="37"/>
                  </w:pPr>
                  <w:r>
                    <w:rPr>
                      <w:rFonts w:hint="eastAsia"/>
                    </w:rPr>
                    <w:t>99</w:t>
                  </w:r>
                </w:p>
              </w:tc>
              <w:tc>
                <w:tcPr>
                  <w:tcW w:w="467" w:type="pct"/>
                  <w:vAlign w:val="center"/>
                </w:tcPr>
                <w:p>
                  <w:pPr>
                    <w:pStyle w:val="37"/>
                  </w:pPr>
                  <w:r>
                    <w:rPr>
                      <w:rFonts w:hint="eastAsia"/>
                    </w:rPr>
                    <w:t>99</w:t>
                  </w:r>
                </w:p>
              </w:tc>
              <w:tc>
                <w:tcPr>
                  <w:tcW w:w="467" w:type="pct"/>
                  <w:vAlign w:val="center"/>
                </w:tcPr>
                <w:p>
                  <w:pPr>
                    <w:pStyle w:val="37"/>
                  </w:pPr>
                  <w:r>
                    <w:rPr>
                      <w:rFonts w:hint="eastAsia"/>
                    </w:rPr>
                    <w:t>200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氮氧化物排放速率（kg/h）</w:t>
                  </w:r>
                </w:p>
              </w:tc>
              <w:tc>
                <w:tcPr>
                  <w:tcW w:w="464" w:type="pct"/>
                  <w:vAlign w:val="center"/>
                </w:tcPr>
                <w:p>
                  <w:pPr>
                    <w:pStyle w:val="37"/>
                  </w:pPr>
                  <w:r>
                    <w:rPr>
                      <w:rFonts w:hint="eastAsia"/>
                    </w:rPr>
                    <w:t>0.20</w:t>
                  </w:r>
                </w:p>
              </w:tc>
              <w:tc>
                <w:tcPr>
                  <w:tcW w:w="487" w:type="pct"/>
                  <w:vAlign w:val="center"/>
                </w:tcPr>
                <w:p>
                  <w:pPr>
                    <w:pStyle w:val="37"/>
                  </w:pPr>
                  <w:r>
                    <w:rPr>
                      <w:rFonts w:hint="eastAsia"/>
                    </w:rPr>
                    <w:t>0.19</w:t>
                  </w:r>
                </w:p>
              </w:tc>
              <w:tc>
                <w:tcPr>
                  <w:tcW w:w="463" w:type="pct"/>
                  <w:vAlign w:val="center"/>
                </w:tcPr>
                <w:p>
                  <w:pPr>
                    <w:pStyle w:val="37"/>
                  </w:pPr>
                  <w:r>
                    <w:rPr>
                      <w:rFonts w:hint="eastAsia"/>
                    </w:rPr>
                    <w:t>0.21</w:t>
                  </w:r>
                </w:p>
              </w:tc>
              <w:tc>
                <w:tcPr>
                  <w:tcW w:w="467" w:type="pct"/>
                  <w:vAlign w:val="center"/>
                </w:tcPr>
                <w:p>
                  <w:pPr>
                    <w:pStyle w:val="37"/>
                  </w:pPr>
                  <w:r>
                    <w:rPr>
                      <w:rFonts w:hint="eastAsia"/>
                    </w:rPr>
                    <w:t>0.21</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2021年9月5日</w:t>
                  </w:r>
                </w:p>
              </w:tc>
              <w:tc>
                <w:tcPr>
                  <w:tcW w:w="486" w:type="pct"/>
                  <w:vMerge w:val="restart"/>
                  <w:vAlign w:val="center"/>
                </w:tcPr>
                <w:p>
                  <w:pPr>
                    <w:pStyle w:val="37"/>
                  </w:pPr>
                  <w:r>
                    <w:rPr>
                      <w:rFonts w:hint="eastAsia"/>
                    </w:rPr>
                    <w:t>天然气废气排口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2643</w:t>
                  </w:r>
                </w:p>
              </w:tc>
              <w:tc>
                <w:tcPr>
                  <w:tcW w:w="487" w:type="pct"/>
                  <w:vAlign w:val="center"/>
                </w:tcPr>
                <w:p>
                  <w:pPr>
                    <w:pStyle w:val="37"/>
                  </w:pPr>
                  <w:r>
                    <w:rPr>
                      <w:rFonts w:hint="eastAsia"/>
                    </w:rPr>
                    <w:t>2463</w:t>
                  </w:r>
                </w:p>
              </w:tc>
              <w:tc>
                <w:tcPr>
                  <w:tcW w:w="463" w:type="pct"/>
                  <w:vAlign w:val="center"/>
                </w:tcPr>
                <w:p>
                  <w:pPr>
                    <w:pStyle w:val="37"/>
                  </w:pPr>
                  <w:r>
                    <w:rPr>
                      <w:rFonts w:hint="eastAsia"/>
                    </w:rPr>
                    <w:t>2011</w:t>
                  </w:r>
                </w:p>
              </w:tc>
              <w:tc>
                <w:tcPr>
                  <w:tcW w:w="467" w:type="pct"/>
                  <w:vAlign w:val="center"/>
                </w:tcPr>
                <w:p>
                  <w:pPr>
                    <w:pStyle w:val="37"/>
                  </w:pPr>
                  <w:r>
                    <w:rPr>
                      <w:rFonts w:hint="eastAsia"/>
                    </w:rPr>
                    <w:t>2643</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颗粒物浓度(mg/</w:t>
                  </w:r>
                  <w:r>
                    <w:t>m</w:t>
                  </w:r>
                  <w:r>
                    <w:rPr>
                      <w:vertAlign w:val="superscript"/>
                    </w:rPr>
                    <w:t>3</w:t>
                  </w:r>
                  <w:r>
                    <w:rPr>
                      <w:rFonts w:hint="eastAsia"/>
                    </w:rPr>
                    <w:t>)</w:t>
                  </w:r>
                </w:p>
              </w:tc>
              <w:tc>
                <w:tcPr>
                  <w:tcW w:w="464" w:type="pct"/>
                  <w:vAlign w:val="center"/>
                </w:tcPr>
                <w:p>
                  <w:pPr>
                    <w:pStyle w:val="37"/>
                  </w:pPr>
                  <w:r>
                    <w:rPr>
                      <w:rFonts w:hint="eastAsia"/>
                    </w:rPr>
                    <w:t>17</w:t>
                  </w:r>
                </w:p>
              </w:tc>
              <w:tc>
                <w:tcPr>
                  <w:tcW w:w="487" w:type="pct"/>
                  <w:vAlign w:val="center"/>
                </w:tcPr>
                <w:p>
                  <w:pPr>
                    <w:pStyle w:val="37"/>
                  </w:pPr>
                  <w:r>
                    <w:rPr>
                      <w:rFonts w:hint="eastAsia"/>
                    </w:rPr>
                    <w:t>19</w:t>
                  </w:r>
                </w:p>
              </w:tc>
              <w:tc>
                <w:tcPr>
                  <w:tcW w:w="463" w:type="pct"/>
                  <w:vAlign w:val="center"/>
                </w:tcPr>
                <w:p>
                  <w:pPr>
                    <w:pStyle w:val="37"/>
                  </w:pPr>
                  <w:r>
                    <w:rPr>
                      <w:rFonts w:hint="eastAsia"/>
                    </w:rPr>
                    <w:t>19</w:t>
                  </w:r>
                </w:p>
              </w:tc>
              <w:tc>
                <w:tcPr>
                  <w:tcW w:w="467" w:type="pct"/>
                </w:tcPr>
                <w:p>
                  <w:pPr>
                    <w:pStyle w:val="37"/>
                  </w:pPr>
                  <w:r>
                    <w:rPr>
                      <w:rFonts w:hint="eastAsia"/>
                    </w:rPr>
                    <w:t>19</w:t>
                  </w:r>
                </w:p>
              </w:tc>
              <w:tc>
                <w:tcPr>
                  <w:tcW w:w="467" w:type="pct"/>
                  <w:vAlign w:val="center"/>
                </w:tcPr>
                <w:p>
                  <w:pPr>
                    <w:pStyle w:val="37"/>
                  </w:pPr>
                  <w:r>
                    <w:rPr>
                      <w:rFonts w:hint="eastAsia"/>
                    </w:rPr>
                    <w:t>20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颗粒物排放速率（kg/h）</w:t>
                  </w:r>
                </w:p>
              </w:tc>
              <w:tc>
                <w:tcPr>
                  <w:tcW w:w="464" w:type="pct"/>
                  <w:vAlign w:val="center"/>
                </w:tcPr>
                <w:p>
                  <w:pPr>
                    <w:pStyle w:val="37"/>
                  </w:pPr>
                  <w:r>
                    <w:rPr>
                      <w:rFonts w:hint="eastAsia"/>
                    </w:rPr>
                    <w:t>0.034</w:t>
                  </w:r>
                </w:p>
              </w:tc>
              <w:tc>
                <w:tcPr>
                  <w:tcW w:w="487" w:type="pct"/>
                  <w:vAlign w:val="center"/>
                </w:tcPr>
                <w:p>
                  <w:pPr>
                    <w:pStyle w:val="37"/>
                  </w:pPr>
                  <w:r>
                    <w:rPr>
                      <w:rFonts w:hint="eastAsia"/>
                    </w:rPr>
                    <w:t>0.039</w:t>
                  </w:r>
                </w:p>
              </w:tc>
              <w:tc>
                <w:tcPr>
                  <w:tcW w:w="463" w:type="pct"/>
                  <w:vAlign w:val="center"/>
                </w:tcPr>
                <w:p>
                  <w:pPr>
                    <w:pStyle w:val="37"/>
                  </w:pPr>
                  <w:r>
                    <w:rPr>
                      <w:rFonts w:hint="eastAsia"/>
                    </w:rPr>
                    <w:t>0.032</w:t>
                  </w:r>
                </w:p>
              </w:tc>
              <w:tc>
                <w:tcPr>
                  <w:tcW w:w="467" w:type="pct"/>
                </w:tcPr>
                <w:p>
                  <w:pPr>
                    <w:pStyle w:val="37"/>
                  </w:pPr>
                  <w:r>
                    <w:rPr>
                      <w:rFonts w:hint="eastAsia"/>
                    </w:rPr>
                    <w:t>0.039</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二氧化硫浓度(mg/</w:t>
                  </w:r>
                  <w:r>
                    <w:t>m</w:t>
                  </w:r>
                  <w:r>
                    <w:rPr>
                      <w:vertAlign w:val="superscript"/>
                    </w:rPr>
                    <w:t>3</w:t>
                  </w:r>
                  <w:r>
                    <w:rPr>
                      <w:rFonts w:hint="eastAsia"/>
                    </w:rPr>
                    <w:t>)</w:t>
                  </w:r>
                </w:p>
              </w:tc>
              <w:tc>
                <w:tcPr>
                  <w:tcW w:w="464" w:type="pct"/>
                  <w:vAlign w:val="center"/>
                </w:tcPr>
                <w:p>
                  <w:pPr>
                    <w:pStyle w:val="37"/>
                  </w:pPr>
                  <w:r>
                    <w:rPr>
                      <w:rFonts w:hint="eastAsia"/>
                    </w:rPr>
                    <w:t>＜3</w:t>
                  </w:r>
                </w:p>
              </w:tc>
              <w:tc>
                <w:tcPr>
                  <w:tcW w:w="487" w:type="pct"/>
                  <w:vAlign w:val="center"/>
                </w:tcPr>
                <w:p>
                  <w:pPr>
                    <w:pStyle w:val="37"/>
                  </w:pPr>
                  <w:r>
                    <w:rPr>
                      <w:rFonts w:hint="eastAsia"/>
                    </w:rPr>
                    <w:t>＜3</w:t>
                  </w:r>
                </w:p>
              </w:tc>
              <w:tc>
                <w:tcPr>
                  <w:tcW w:w="463" w:type="pct"/>
                  <w:vAlign w:val="center"/>
                </w:tcPr>
                <w:p>
                  <w:pPr>
                    <w:pStyle w:val="37"/>
                  </w:pPr>
                  <w:r>
                    <w:rPr>
                      <w:rFonts w:hint="eastAsia"/>
                    </w:rPr>
                    <w:t>＜3</w:t>
                  </w:r>
                </w:p>
              </w:tc>
              <w:tc>
                <w:tcPr>
                  <w:tcW w:w="467" w:type="pct"/>
                  <w:vAlign w:val="center"/>
                </w:tcPr>
                <w:p>
                  <w:pPr>
                    <w:pStyle w:val="37"/>
                  </w:pPr>
                  <w:r>
                    <w:rPr>
                      <w:rFonts w:hint="eastAsia"/>
                    </w:rPr>
                    <w:t>＜3</w:t>
                  </w:r>
                </w:p>
              </w:tc>
              <w:tc>
                <w:tcPr>
                  <w:tcW w:w="467" w:type="pct"/>
                  <w:vAlign w:val="center"/>
                </w:tcPr>
                <w:p>
                  <w:pPr>
                    <w:pStyle w:val="37"/>
                  </w:pPr>
                  <w:r>
                    <w:rPr>
                      <w:rFonts w:hint="eastAsia"/>
                    </w:rPr>
                    <w:t>50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二氧化硫排放速率（kg/h）</w:t>
                  </w:r>
                </w:p>
              </w:tc>
              <w:tc>
                <w:tcPr>
                  <w:tcW w:w="464" w:type="pct"/>
                  <w:vAlign w:val="center"/>
                </w:tcPr>
                <w:p>
                  <w:pPr>
                    <w:pStyle w:val="37"/>
                  </w:pPr>
                  <w:r>
                    <w:rPr>
                      <w:rFonts w:hint="eastAsia"/>
                    </w:rPr>
                    <w:t>＜0.07</w:t>
                  </w:r>
                </w:p>
              </w:tc>
              <w:tc>
                <w:tcPr>
                  <w:tcW w:w="487" w:type="pct"/>
                  <w:vAlign w:val="center"/>
                </w:tcPr>
                <w:p>
                  <w:pPr>
                    <w:pStyle w:val="37"/>
                  </w:pPr>
                  <w:r>
                    <w:rPr>
                      <w:rFonts w:hint="eastAsia"/>
                    </w:rPr>
                    <w:t>＜0.07</w:t>
                  </w:r>
                </w:p>
              </w:tc>
              <w:tc>
                <w:tcPr>
                  <w:tcW w:w="463" w:type="pct"/>
                  <w:vAlign w:val="center"/>
                </w:tcPr>
                <w:p>
                  <w:pPr>
                    <w:pStyle w:val="37"/>
                  </w:pPr>
                  <w:r>
                    <w:rPr>
                      <w:rFonts w:hint="eastAsia"/>
                    </w:rPr>
                    <w:t>＜0.07</w:t>
                  </w:r>
                </w:p>
              </w:tc>
              <w:tc>
                <w:tcPr>
                  <w:tcW w:w="467" w:type="pct"/>
                  <w:vAlign w:val="center"/>
                </w:tcPr>
                <w:p>
                  <w:pPr>
                    <w:pStyle w:val="37"/>
                  </w:pPr>
                  <w:r>
                    <w:rPr>
                      <w:rFonts w:hint="eastAsia"/>
                    </w:rPr>
                    <w:t>＜0.07</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氮氧化物浓度(mg/</w:t>
                  </w:r>
                  <w:r>
                    <w:t>m</w:t>
                  </w:r>
                  <w:r>
                    <w:rPr>
                      <w:vertAlign w:val="superscript"/>
                    </w:rPr>
                    <w:t>3</w:t>
                  </w:r>
                  <w:r>
                    <w:rPr>
                      <w:rFonts w:hint="eastAsia"/>
                    </w:rPr>
                    <w:t>)</w:t>
                  </w:r>
                </w:p>
              </w:tc>
              <w:tc>
                <w:tcPr>
                  <w:tcW w:w="464" w:type="pct"/>
                  <w:vAlign w:val="center"/>
                </w:tcPr>
                <w:p>
                  <w:pPr>
                    <w:pStyle w:val="37"/>
                  </w:pPr>
                  <w:r>
                    <w:rPr>
                      <w:rFonts w:hint="eastAsia"/>
                    </w:rPr>
                    <w:t>89</w:t>
                  </w:r>
                </w:p>
              </w:tc>
              <w:tc>
                <w:tcPr>
                  <w:tcW w:w="487" w:type="pct"/>
                  <w:vAlign w:val="center"/>
                </w:tcPr>
                <w:p>
                  <w:pPr>
                    <w:pStyle w:val="37"/>
                  </w:pPr>
                  <w:r>
                    <w:rPr>
                      <w:rFonts w:hint="eastAsia"/>
                    </w:rPr>
                    <w:t>91</w:t>
                  </w:r>
                </w:p>
              </w:tc>
              <w:tc>
                <w:tcPr>
                  <w:tcW w:w="463" w:type="pct"/>
                  <w:vAlign w:val="center"/>
                </w:tcPr>
                <w:p>
                  <w:pPr>
                    <w:pStyle w:val="37"/>
                  </w:pPr>
                  <w:r>
                    <w:rPr>
                      <w:rFonts w:hint="eastAsia"/>
                    </w:rPr>
                    <w:t>89</w:t>
                  </w:r>
                </w:p>
              </w:tc>
              <w:tc>
                <w:tcPr>
                  <w:tcW w:w="467" w:type="pct"/>
                </w:tcPr>
                <w:p>
                  <w:pPr>
                    <w:pStyle w:val="37"/>
                  </w:pPr>
                  <w:r>
                    <w:rPr>
                      <w:rFonts w:hint="eastAsia"/>
                    </w:rPr>
                    <w:t>91</w:t>
                  </w:r>
                </w:p>
              </w:tc>
              <w:tc>
                <w:tcPr>
                  <w:tcW w:w="467" w:type="pct"/>
                  <w:vAlign w:val="center"/>
                </w:tcPr>
                <w:p>
                  <w:pPr>
                    <w:pStyle w:val="37"/>
                  </w:pPr>
                  <w:r>
                    <w:rPr>
                      <w:rFonts w:hint="eastAsia"/>
                    </w:rPr>
                    <w:t>200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氮氧化物排放速率（kg/h）</w:t>
                  </w:r>
                </w:p>
              </w:tc>
              <w:tc>
                <w:tcPr>
                  <w:tcW w:w="464" w:type="pct"/>
                  <w:vAlign w:val="center"/>
                </w:tcPr>
                <w:p>
                  <w:pPr>
                    <w:pStyle w:val="37"/>
                  </w:pPr>
                  <w:r>
                    <w:rPr>
                      <w:rFonts w:hint="eastAsia"/>
                    </w:rPr>
                    <w:t>0.18</w:t>
                  </w:r>
                </w:p>
              </w:tc>
              <w:tc>
                <w:tcPr>
                  <w:tcW w:w="487" w:type="pct"/>
                  <w:vAlign w:val="center"/>
                </w:tcPr>
                <w:p>
                  <w:pPr>
                    <w:pStyle w:val="37"/>
                  </w:pPr>
                  <w:r>
                    <w:rPr>
                      <w:rFonts w:hint="eastAsia"/>
                    </w:rPr>
                    <w:t>0.19</w:t>
                  </w:r>
                </w:p>
              </w:tc>
              <w:tc>
                <w:tcPr>
                  <w:tcW w:w="463" w:type="pct"/>
                  <w:vAlign w:val="center"/>
                </w:tcPr>
                <w:p>
                  <w:pPr>
                    <w:pStyle w:val="37"/>
                  </w:pPr>
                  <w:r>
                    <w:rPr>
                      <w:rFonts w:hint="eastAsia"/>
                    </w:rPr>
                    <w:t>0.15</w:t>
                  </w:r>
                </w:p>
              </w:tc>
              <w:tc>
                <w:tcPr>
                  <w:tcW w:w="467" w:type="pct"/>
                </w:tcPr>
                <w:p>
                  <w:pPr>
                    <w:pStyle w:val="37"/>
                  </w:pPr>
                  <w:r>
                    <w:rPr>
                      <w:rFonts w:hint="eastAsia"/>
                    </w:rPr>
                    <w:t>0.19</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2021年9月4日</w:t>
                  </w:r>
                </w:p>
              </w:tc>
              <w:tc>
                <w:tcPr>
                  <w:tcW w:w="486" w:type="pct"/>
                  <w:vMerge w:val="restart"/>
                  <w:vAlign w:val="center"/>
                </w:tcPr>
                <w:p>
                  <w:pPr>
                    <w:pStyle w:val="37"/>
                  </w:pPr>
                  <w:r>
                    <w:rPr>
                      <w:rFonts w:hint="eastAsia"/>
                    </w:rPr>
                    <w:t>加料间废气排口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3125</w:t>
                  </w:r>
                </w:p>
              </w:tc>
              <w:tc>
                <w:tcPr>
                  <w:tcW w:w="487" w:type="pct"/>
                  <w:vAlign w:val="center"/>
                </w:tcPr>
                <w:p>
                  <w:pPr>
                    <w:pStyle w:val="37"/>
                  </w:pPr>
                  <w:r>
                    <w:rPr>
                      <w:rFonts w:hint="eastAsia"/>
                    </w:rPr>
                    <w:t>3126</w:t>
                  </w:r>
                </w:p>
              </w:tc>
              <w:tc>
                <w:tcPr>
                  <w:tcW w:w="463" w:type="pct"/>
                  <w:vAlign w:val="center"/>
                </w:tcPr>
                <w:p>
                  <w:pPr>
                    <w:pStyle w:val="37"/>
                  </w:pPr>
                  <w:r>
                    <w:rPr>
                      <w:rFonts w:hint="eastAsia"/>
                    </w:rPr>
                    <w:t>3124</w:t>
                  </w:r>
                </w:p>
              </w:tc>
              <w:tc>
                <w:tcPr>
                  <w:tcW w:w="467" w:type="pct"/>
                  <w:vAlign w:val="center"/>
                </w:tcPr>
                <w:p>
                  <w:pPr>
                    <w:pStyle w:val="37"/>
                  </w:pPr>
                  <w:r>
                    <w:rPr>
                      <w:rFonts w:hint="eastAsia"/>
                    </w:rPr>
                    <w:t>3126</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TVOC浓度(mg/</w:t>
                  </w:r>
                  <w:r>
                    <w:t>m</w:t>
                  </w:r>
                  <w:r>
                    <w:rPr>
                      <w:vertAlign w:val="superscript"/>
                    </w:rPr>
                    <w:t>3</w:t>
                  </w:r>
                  <w:r>
                    <w:rPr>
                      <w:rFonts w:hint="eastAsia"/>
                    </w:rPr>
                    <w:t>)</w:t>
                  </w:r>
                </w:p>
              </w:tc>
              <w:tc>
                <w:tcPr>
                  <w:tcW w:w="464" w:type="pct"/>
                  <w:vAlign w:val="center"/>
                </w:tcPr>
                <w:p>
                  <w:pPr>
                    <w:pStyle w:val="37"/>
                  </w:pPr>
                  <w:r>
                    <w:rPr>
                      <w:rFonts w:hint="eastAsia"/>
                    </w:rPr>
                    <w:t>1.19</w:t>
                  </w:r>
                </w:p>
              </w:tc>
              <w:tc>
                <w:tcPr>
                  <w:tcW w:w="487" w:type="pct"/>
                  <w:vAlign w:val="center"/>
                </w:tcPr>
                <w:p>
                  <w:pPr>
                    <w:pStyle w:val="37"/>
                  </w:pPr>
                  <w:r>
                    <w:rPr>
                      <w:rFonts w:hint="eastAsia"/>
                    </w:rPr>
                    <w:t>1.22</w:t>
                  </w:r>
                </w:p>
              </w:tc>
              <w:tc>
                <w:tcPr>
                  <w:tcW w:w="463" w:type="pct"/>
                  <w:vAlign w:val="center"/>
                </w:tcPr>
                <w:p>
                  <w:pPr>
                    <w:pStyle w:val="37"/>
                  </w:pPr>
                  <w:r>
                    <w:rPr>
                      <w:rFonts w:hint="eastAsia"/>
                    </w:rPr>
                    <w:t>0.993</w:t>
                  </w:r>
                </w:p>
              </w:tc>
              <w:tc>
                <w:tcPr>
                  <w:tcW w:w="467" w:type="pct"/>
                  <w:vAlign w:val="center"/>
                </w:tcPr>
                <w:p>
                  <w:pPr>
                    <w:pStyle w:val="37"/>
                  </w:pPr>
                  <w:r>
                    <w:rPr>
                      <w:rFonts w:hint="eastAsia"/>
                    </w:rPr>
                    <w:t>1.22</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非甲烷总烃浓度(mg/</w:t>
                  </w:r>
                  <w:r>
                    <w:t>m</w:t>
                  </w:r>
                  <w:r>
                    <w:rPr>
                      <w:vertAlign w:val="superscript"/>
                    </w:rPr>
                    <w:t>3</w:t>
                  </w:r>
                  <w:r>
                    <w:rPr>
                      <w:rFonts w:hint="eastAsia"/>
                    </w:rPr>
                    <w:t>)</w:t>
                  </w:r>
                </w:p>
              </w:tc>
              <w:tc>
                <w:tcPr>
                  <w:tcW w:w="464" w:type="pct"/>
                  <w:vAlign w:val="center"/>
                </w:tcPr>
                <w:p>
                  <w:pPr>
                    <w:pStyle w:val="37"/>
                  </w:pPr>
                  <w:r>
                    <w:rPr>
                      <w:rFonts w:hint="eastAsia"/>
                    </w:rPr>
                    <w:t>2.39</w:t>
                  </w:r>
                </w:p>
              </w:tc>
              <w:tc>
                <w:tcPr>
                  <w:tcW w:w="487" w:type="pct"/>
                  <w:vAlign w:val="center"/>
                </w:tcPr>
                <w:p>
                  <w:pPr>
                    <w:pStyle w:val="37"/>
                  </w:pPr>
                  <w:r>
                    <w:rPr>
                      <w:rFonts w:hint="eastAsia"/>
                    </w:rPr>
                    <w:t>2.39</w:t>
                  </w:r>
                </w:p>
              </w:tc>
              <w:tc>
                <w:tcPr>
                  <w:tcW w:w="463" w:type="pct"/>
                  <w:vAlign w:val="center"/>
                </w:tcPr>
                <w:p>
                  <w:pPr>
                    <w:pStyle w:val="37"/>
                  </w:pPr>
                  <w:r>
                    <w:rPr>
                      <w:rFonts w:hint="eastAsia"/>
                    </w:rPr>
                    <w:t>2.39</w:t>
                  </w:r>
                </w:p>
              </w:tc>
              <w:tc>
                <w:tcPr>
                  <w:tcW w:w="467" w:type="pct"/>
                  <w:vAlign w:val="center"/>
                </w:tcPr>
                <w:p>
                  <w:pPr>
                    <w:pStyle w:val="37"/>
                  </w:pPr>
                  <w:r>
                    <w:rPr>
                      <w:rFonts w:hint="eastAsia"/>
                    </w:rPr>
                    <w:t>2.39</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2021年9月5日</w:t>
                  </w:r>
                </w:p>
              </w:tc>
              <w:tc>
                <w:tcPr>
                  <w:tcW w:w="486" w:type="pct"/>
                  <w:vMerge w:val="restart"/>
                  <w:vAlign w:val="center"/>
                </w:tcPr>
                <w:p>
                  <w:pPr>
                    <w:pStyle w:val="37"/>
                  </w:pPr>
                  <w:r>
                    <w:rPr>
                      <w:rFonts w:hint="eastAsia"/>
                    </w:rPr>
                    <w:t>加料间废气排口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3099</w:t>
                  </w:r>
                </w:p>
              </w:tc>
              <w:tc>
                <w:tcPr>
                  <w:tcW w:w="487" w:type="pct"/>
                  <w:vAlign w:val="center"/>
                </w:tcPr>
                <w:p>
                  <w:pPr>
                    <w:pStyle w:val="37"/>
                  </w:pPr>
                  <w:r>
                    <w:rPr>
                      <w:rFonts w:hint="eastAsia"/>
                    </w:rPr>
                    <w:t>3104</w:t>
                  </w:r>
                </w:p>
              </w:tc>
              <w:tc>
                <w:tcPr>
                  <w:tcW w:w="463" w:type="pct"/>
                  <w:vAlign w:val="center"/>
                </w:tcPr>
                <w:p>
                  <w:pPr>
                    <w:pStyle w:val="37"/>
                  </w:pPr>
                  <w:r>
                    <w:rPr>
                      <w:rFonts w:hint="eastAsia"/>
                    </w:rPr>
                    <w:t>3144</w:t>
                  </w:r>
                </w:p>
              </w:tc>
              <w:tc>
                <w:tcPr>
                  <w:tcW w:w="467" w:type="pct"/>
                  <w:vAlign w:val="center"/>
                </w:tcPr>
                <w:p>
                  <w:pPr>
                    <w:pStyle w:val="37"/>
                  </w:pPr>
                  <w:r>
                    <w:rPr>
                      <w:rFonts w:hint="eastAsia"/>
                    </w:rPr>
                    <w:t>3144</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TVOC浓度(mg/</w:t>
                  </w:r>
                  <w:r>
                    <w:t>m</w:t>
                  </w:r>
                  <w:r>
                    <w:rPr>
                      <w:vertAlign w:val="superscript"/>
                    </w:rPr>
                    <w:t>3</w:t>
                  </w:r>
                  <w:r>
                    <w:rPr>
                      <w:rFonts w:hint="eastAsia"/>
                    </w:rPr>
                    <w:t>)</w:t>
                  </w:r>
                </w:p>
              </w:tc>
              <w:tc>
                <w:tcPr>
                  <w:tcW w:w="464" w:type="pct"/>
                  <w:vAlign w:val="center"/>
                </w:tcPr>
                <w:p>
                  <w:pPr>
                    <w:pStyle w:val="37"/>
                  </w:pPr>
                  <w:r>
                    <w:rPr>
                      <w:rFonts w:hint="eastAsia"/>
                    </w:rPr>
                    <w:t>0.991</w:t>
                  </w:r>
                </w:p>
              </w:tc>
              <w:tc>
                <w:tcPr>
                  <w:tcW w:w="487" w:type="pct"/>
                  <w:vAlign w:val="center"/>
                </w:tcPr>
                <w:p>
                  <w:pPr>
                    <w:pStyle w:val="37"/>
                  </w:pPr>
                  <w:r>
                    <w:rPr>
                      <w:rFonts w:hint="eastAsia"/>
                    </w:rPr>
                    <w:t>0.460</w:t>
                  </w:r>
                </w:p>
              </w:tc>
              <w:tc>
                <w:tcPr>
                  <w:tcW w:w="463" w:type="pct"/>
                  <w:vAlign w:val="center"/>
                </w:tcPr>
                <w:p>
                  <w:pPr>
                    <w:pStyle w:val="37"/>
                  </w:pPr>
                  <w:r>
                    <w:rPr>
                      <w:rFonts w:hint="eastAsia"/>
                    </w:rPr>
                    <w:t>0.577</w:t>
                  </w:r>
                </w:p>
              </w:tc>
              <w:tc>
                <w:tcPr>
                  <w:tcW w:w="467" w:type="pct"/>
                  <w:vAlign w:val="center"/>
                </w:tcPr>
                <w:p>
                  <w:pPr>
                    <w:pStyle w:val="37"/>
                  </w:pPr>
                  <w:r>
                    <w:rPr>
                      <w:rFonts w:hint="eastAsia"/>
                    </w:rPr>
                    <w:t>0.991</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vAlign w:val="center"/>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非甲烷总烃浓度(mg/</w:t>
                  </w:r>
                  <w:r>
                    <w:t>m</w:t>
                  </w:r>
                  <w:r>
                    <w:rPr>
                      <w:vertAlign w:val="superscript"/>
                    </w:rPr>
                    <w:t>3</w:t>
                  </w:r>
                  <w:r>
                    <w:rPr>
                      <w:rFonts w:hint="eastAsia"/>
                    </w:rPr>
                    <w:t>)</w:t>
                  </w:r>
                </w:p>
              </w:tc>
              <w:tc>
                <w:tcPr>
                  <w:tcW w:w="464" w:type="pct"/>
                  <w:vAlign w:val="center"/>
                </w:tcPr>
                <w:p>
                  <w:pPr>
                    <w:pStyle w:val="37"/>
                  </w:pPr>
                  <w:r>
                    <w:rPr>
                      <w:rFonts w:hint="eastAsia"/>
                    </w:rPr>
                    <w:t>2.40</w:t>
                  </w:r>
                </w:p>
              </w:tc>
              <w:tc>
                <w:tcPr>
                  <w:tcW w:w="487" w:type="pct"/>
                  <w:vAlign w:val="center"/>
                </w:tcPr>
                <w:p>
                  <w:pPr>
                    <w:pStyle w:val="37"/>
                  </w:pPr>
                  <w:r>
                    <w:rPr>
                      <w:rFonts w:hint="eastAsia"/>
                    </w:rPr>
                    <w:t>2.39</w:t>
                  </w:r>
                </w:p>
              </w:tc>
              <w:tc>
                <w:tcPr>
                  <w:tcW w:w="463" w:type="pct"/>
                  <w:vAlign w:val="center"/>
                </w:tcPr>
                <w:p>
                  <w:pPr>
                    <w:pStyle w:val="37"/>
                  </w:pPr>
                  <w:r>
                    <w:rPr>
                      <w:rFonts w:hint="eastAsia"/>
                    </w:rPr>
                    <w:t>2.39</w:t>
                  </w:r>
                </w:p>
              </w:tc>
              <w:tc>
                <w:tcPr>
                  <w:tcW w:w="467" w:type="pct"/>
                  <w:vAlign w:val="center"/>
                </w:tcPr>
                <w:p>
                  <w:pPr>
                    <w:pStyle w:val="37"/>
                  </w:pPr>
                  <w:r>
                    <w:rPr>
                      <w:rFonts w:hint="eastAsia"/>
                    </w:rPr>
                    <w:t>2.40</w:t>
                  </w:r>
                </w:p>
              </w:tc>
              <w:tc>
                <w:tcPr>
                  <w:tcW w:w="467" w:type="pct"/>
                  <w:vAlign w:val="center"/>
                </w:tcPr>
                <w:p>
                  <w:pPr>
                    <w:pStyle w:val="37"/>
                  </w:pPr>
                  <w:r>
                    <w:rPr>
                      <w:rFonts w:hint="eastAsia"/>
                    </w:rPr>
                    <w:t>30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2021年9月4日</w:t>
                  </w:r>
                </w:p>
              </w:tc>
              <w:tc>
                <w:tcPr>
                  <w:tcW w:w="486" w:type="pct"/>
                  <w:vMerge w:val="restart"/>
                  <w:vAlign w:val="center"/>
                </w:tcPr>
                <w:p>
                  <w:pPr>
                    <w:pStyle w:val="37"/>
                  </w:pPr>
                  <w:r>
                    <w:rPr>
                      <w:rFonts w:hint="eastAsia"/>
                    </w:rPr>
                    <w:t>直燃机废气排口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556</w:t>
                  </w:r>
                </w:p>
              </w:tc>
              <w:tc>
                <w:tcPr>
                  <w:tcW w:w="487" w:type="pct"/>
                  <w:vAlign w:val="center"/>
                </w:tcPr>
                <w:p>
                  <w:pPr>
                    <w:pStyle w:val="37"/>
                  </w:pPr>
                  <w:r>
                    <w:rPr>
                      <w:rFonts w:hint="eastAsia"/>
                    </w:rPr>
                    <w:t>554</w:t>
                  </w:r>
                </w:p>
              </w:tc>
              <w:tc>
                <w:tcPr>
                  <w:tcW w:w="463" w:type="pct"/>
                  <w:vAlign w:val="center"/>
                </w:tcPr>
                <w:p>
                  <w:pPr>
                    <w:pStyle w:val="37"/>
                  </w:pPr>
                  <w:r>
                    <w:rPr>
                      <w:rFonts w:hint="eastAsia"/>
                    </w:rPr>
                    <w:t>555</w:t>
                  </w:r>
                </w:p>
              </w:tc>
              <w:tc>
                <w:tcPr>
                  <w:tcW w:w="467" w:type="pct"/>
                </w:tcPr>
                <w:p>
                  <w:pPr>
                    <w:pStyle w:val="37"/>
                  </w:pPr>
                  <w:r>
                    <w:rPr>
                      <w:rFonts w:hint="eastAsia"/>
                    </w:rPr>
                    <w:t>556</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颗粒物浓度(mg/</w:t>
                  </w:r>
                  <w:r>
                    <w:t>m</w:t>
                  </w:r>
                  <w:r>
                    <w:rPr>
                      <w:vertAlign w:val="superscript"/>
                    </w:rPr>
                    <w:t>3</w:t>
                  </w:r>
                  <w:r>
                    <w:rPr>
                      <w:rFonts w:hint="eastAsia"/>
                    </w:rPr>
                    <w:t>)</w:t>
                  </w:r>
                </w:p>
              </w:tc>
              <w:tc>
                <w:tcPr>
                  <w:tcW w:w="464" w:type="pct"/>
                  <w:vAlign w:val="center"/>
                </w:tcPr>
                <w:p>
                  <w:pPr>
                    <w:pStyle w:val="37"/>
                  </w:pPr>
                  <w:r>
                    <w:rPr>
                      <w:rFonts w:hint="eastAsia"/>
                    </w:rPr>
                    <w:t>15</w:t>
                  </w:r>
                </w:p>
              </w:tc>
              <w:tc>
                <w:tcPr>
                  <w:tcW w:w="487" w:type="pct"/>
                  <w:vAlign w:val="center"/>
                </w:tcPr>
                <w:p>
                  <w:pPr>
                    <w:pStyle w:val="37"/>
                  </w:pPr>
                  <w:r>
                    <w:rPr>
                      <w:rFonts w:hint="eastAsia"/>
                    </w:rPr>
                    <w:t>12</w:t>
                  </w:r>
                </w:p>
              </w:tc>
              <w:tc>
                <w:tcPr>
                  <w:tcW w:w="463" w:type="pct"/>
                  <w:vAlign w:val="center"/>
                </w:tcPr>
                <w:p>
                  <w:pPr>
                    <w:pStyle w:val="37"/>
                  </w:pPr>
                  <w:r>
                    <w:rPr>
                      <w:rFonts w:hint="eastAsia"/>
                    </w:rPr>
                    <w:t>11</w:t>
                  </w:r>
                </w:p>
              </w:tc>
              <w:tc>
                <w:tcPr>
                  <w:tcW w:w="467" w:type="pct"/>
                </w:tcPr>
                <w:p>
                  <w:pPr>
                    <w:pStyle w:val="37"/>
                  </w:pPr>
                  <w:r>
                    <w:rPr>
                      <w:rFonts w:hint="eastAsia"/>
                    </w:rPr>
                    <w:t>15</w:t>
                  </w:r>
                </w:p>
              </w:tc>
              <w:tc>
                <w:tcPr>
                  <w:tcW w:w="467" w:type="pct"/>
                  <w:vAlign w:val="center"/>
                </w:tcPr>
                <w:p>
                  <w:pPr>
                    <w:pStyle w:val="37"/>
                  </w:pPr>
                  <w:r>
                    <w:rPr>
                      <w:rFonts w:hint="eastAsia"/>
                    </w:rPr>
                    <w:t>20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颗粒物排放速率（kg/h）</w:t>
                  </w:r>
                </w:p>
              </w:tc>
              <w:tc>
                <w:tcPr>
                  <w:tcW w:w="464" w:type="pct"/>
                  <w:vAlign w:val="center"/>
                </w:tcPr>
                <w:p>
                  <w:pPr>
                    <w:pStyle w:val="37"/>
                  </w:pPr>
                  <w:r>
                    <w:rPr>
                      <w:rFonts w:hint="eastAsia"/>
                    </w:rPr>
                    <w:t>0.0072</w:t>
                  </w:r>
                </w:p>
              </w:tc>
              <w:tc>
                <w:tcPr>
                  <w:tcW w:w="487" w:type="pct"/>
                  <w:vAlign w:val="center"/>
                </w:tcPr>
                <w:p>
                  <w:pPr>
                    <w:pStyle w:val="37"/>
                  </w:pPr>
                  <w:r>
                    <w:rPr>
                      <w:rFonts w:hint="eastAsia"/>
                    </w:rPr>
                    <w:t>0.0061</w:t>
                  </w:r>
                </w:p>
              </w:tc>
              <w:tc>
                <w:tcPr>
                  <w:tcW w:w="463" w:type="pct"/>
                  <w:vAlign w:val="center"/>
                </w:tcPr>
                <w:p>
                  <w:pPr>
                    <w:pStyle w:val="37"/>
                  </w:pPr>
                  <w:r>
                    <w:rPr>
                      <w:rFonts w:hint="eastAsia"/>
                    </w:rPr>
                    <w:t>0.0056</w:t>
                  </w:r>
                </w:p>
              </w:tc>
              <w:tc>
                <w:tcPr>
                  <w:tcW w:w="467" w:type="pct"/>
                </w:tcPr>
                <w:p>
                  <w:pPr>
                    <w:pStyle w:val="37"/>
                  </w:pPr>
                  <w:r>
                    <w:rPr>
                      <w:rFonts w:hint="eastAsia"/>
                    </w:rPr>
                    <w:t>0.0072</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二氧化硫浓度(mg/</w:t>
                  </w:r>
                  <w:r>
                    <w:t>m</w:t>
                  </w:r>
                  <w:r>
                    <w:rPr>
                      <w:vertAlign w:val="superscript"/>
                    </w:rPr>
                    <w:t>3</w:t>
                  </w:r>
                  <w:r>
                    <w:rPr>
                      <w:rFonts w:hint="eastAsia"/>
                    </w:rPr>
                    <w:t>)</w:t>
                  </w:r>
                </w:p>
              </w:tc>
              <w:tc>
                <w:tcPr>
                  <w:tcW w:w="464" w:type="pct"/>
                  <w:vAlign w:val="center"/>
                </w:tcPr>
                <w:p>
                  <w:pPr>
                    <w:pStyle w:val="37"/>
                  </w:pPr>
                  <w:r>
                    <w:rPr>
                      <w:rFonts w:hint="eastAsia"/>
                    </w:rPr>
                    <w:t>＜3</w:t>
                  </w:r>
                </w:p>
              </w:tc>
              <w:tc>
                <w:tcPr>
                  <w:tcW w:w="487" w:type="pct"/>
                  <w:vAlign w:val="center"/>
                </w:tcPr>
                <w:p>
                  <w:pPr>
                    <w:pStyle w:val="37"/>
                  </w:pPr>
                  <w:r>
                    <w:rPr>
                      <w:rFonts w:hint="eastAsia"/>
                    </w:rPr>
                    <w:t>＜3</w:t>
                  </w:r>
                </w:p>
              </w:tc>
              <w:tc>
                <w:tcPr>
                  <w:tcW w:w="463" w:type="pct"/>
                  <w:vAlign w:val="center"/>
                </w:tcPr>
                <w:p>
                  <w:pPr>
                    <w:pStyle w:val="37"/>
                  </w:pPr>
                  <w:r>
                    <w:rPr>
                      <w:rFonts w:hint="eastAsia"/>
                    </w:rPr>
                    <w:t>＜3</w:t>
                  </w:r>
                </w:p>
              </w:tc>
              <w:tc>
                <w:tcPr>
                  <w:tcW w:w="467" w:type="pct"/>
                  <w:vAlign w:val="center"/>
                </w:tcPr>
                <w:p>
                  <w:pPr>
                    <w:pStyle w:val="37"/>
                  </w:pPr>
                  <w:r>
                    <w:rPr>
                      <w:rFonts w:hint="eastAsia"/>
                    </w:rPr>
                    <w:t>＜3</w:t>
                  </w:r>
                </w:p>
              </w:tc>
              <w:tc>
                <w:tcPr>
                  <w:tcW w:w="467" w:type="pct"/>
                  <w:vAlign w:val="center"/>
                </w:tcPr>
                <w:p>
                  <w:pPr>
                    <w:pStyle w:val="37"/>
                  </w:pPr>
                  <w:r>
                    <w:rPr>
                      <w:rFonts w:hint="eastAsia"/>
                    </w:rPr>
                    <w:t>50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二氧化硫排放速率（kg/h）</w:t>
                  </w:r>
                </w:p>
              </w:tc>
              <w:tc>
                <w:tcPr>
                  <w:tcW w:w="464" w:type="pct"/>
                  <w:vAlign w:val="center"/>
                </w:tcPr>
                <w:p>
                  <w:pPr>
                    <w:pStyle w:val="37"/>
                  </w:pPr>
                  <w:r>
                    <w:rPr>
                      <w:rFonts w:hint="eastAsia"/>
                    </w:rPr>
                    <w:t>＜0.002</w:t>
                  </w:r>
                </w:p>
              </w:tc>
              <w:tc>
                <w:tcPr>
                  <w:tcW w:w="487" w:type="pct"/>
                  <w:vAlign w:val="center"/>
                </w:tcPr>
                <w:p>
                  <w:pPr>
                    <w:pStyle w:val="37"/>
                  </w:pPr>
                  <w:r>
                    <w:rPr>
                      <w:rFonts w:hint="eastAsia"/>
                    </w:rPr>
                    <w:t>＜0.002</w:t>
                  </w:r>
                </w:p>
              </w:tc>
              <w:tc>
                <w:tcPr>
                  <w:tcW w:w="463" w:type="pct"/>
                  <w:vAlign w:val="center"/>
                </w:tcPr>
                <w:p>
                  <w:pPr>
                    <w:pStyle w:val="37"/>
                  </w:pPr>
                  <w:r>
                    <w:rPr>
                      <w:rFonts w:hint="eastAsia"/>
                    </w:rPr>
                    <w:t>＜0.002</w:t>
                  </w:r>
                </w:p>
              </w:tc>
              <w:tc>
                <w:tcPr>
                  <w:tcW w:w="467" w:type="pct"/>
                  <w:vAlign w:val="center"/>
                </w:tcPr>
                <w:p>
                  <w:pPr>
                    <w:pStyle w:val="37"/>
                  </w:pPr>
                  <w:r>
                    <w:rPr>
                      <w:rFonts w:hint="eastAsia"/>
                    </w:rPr>
                    <w:t>＜0.002</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氮氧化物浓度(mg/</w:t>
                  </w:r>
                  <w:r>
                    <w:t>m</w:t>
                  </w:r>
                  <w:r>
                    <w:rPr>
                      <w:vertAlign w:val="superscript"/>
                    </w:rPr>
                    <w:t>3</w:t>
                  </w:r>
                  <w:r>
                    <w:rPr>
                      <w:rFonts w:hint="eastAsia"/>
                    </w:rPr>
                    <w:t>)</w:t>
                  </w:r>
                </w:p>
              </w:tc>
              <w:tc>
                <w:tcPr>
                  <w:tcW w:w="464" w:type="pct"/>
                  <w:vAlign w:val="center"/>
                </w:tcPr>
                <w:p>
                  <w:pPr>
                    <w:pStyle w:val="37"/>
                  </w:pPr>
                  <w:r>
                    <w:rPr>
                      <w:rFonts w:hint="eastAsia"/>
                    </w:rPr>
                    <w:t>86</w:t>
                  </w:r>
                </w:p>
              </w:tc>
              <w:tc>
                <w:tcPr>
                  <w:tcW w:w="487" w:type="pct"/>
                  <w:vAlign w:val="center"/>
                </w:tcPr>
                <w:p>
                  <w:pPr>
                    <w:pStyle w:val="37"/>
                  </w:pPr>
                  <w:r>
                    <w:rPr>
                      <w:rFonts w:hint="eastAsia"/>
                    </w:rPr>
                    <w:t>75</w:t>
                  </w:r>
                </w:p>
              </w:tc>
              <w:tc>
                <w:tcPr>
                  <w:tcW w:w="463" w:type="pct"/>
                  <w:vAlign w:val="center"/>
                </w:tcPr>
                <w:p>
                  <w:pPr>
                    <w:pStyle w:val="37"/>
                  </w:pPr>
                  <w:r>
                    <w:rPr>
                      <w:rFonts w:hint="eastAsia"/>
                    </w:rPr>
                    <w:t>79</w:t>
                  </w:r>
                </w:p>
              </w:tc>
              <w:tc>
                <w:tcPr>
                  <w:tcW w:w="467" w:type="pct"/>
                </w:tcPr>
                <w:p>
                  <w:pPr>
                    <w:pStyle w:val="37"/>
                  </w:pPr>
                  <w:r>
                    <w:rPr>
                      <w:rFonts w:hint="eastAsia"/>
                    </w:rPr>
                    <w:t>86</w:t>
                  </w:r>
                </w:p>
              </w:tc>
              <w:tc>
                <w:tcPr>
                  <w:tcW w:w="467" w:type="pct"/>
                  <w:vAlign w:val="center"/>
                </w:tcPr>
                <w:p>
                  <w:pPr>
                    <w:pStyle w:val="37"/>
                  </w:pPr>
                  <w:r>
                    <w:rPr>
                      <w:rFonts w:hint="eastAsia"/>
                    </w:rPr>
                    <w:t>200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vAlign w:val="center"/>
                </w:tcPr>
                <w:p>
                  <w:pPr>
                    <w:pStyle w:val="37"/>
                  </w:pPr>
                </w:p>
              </w:tc>
              <w:tc>
                <w:tcPr>
                  <w:tcW w:w="1291" w:type="pct"/>
                  <w:gridSpan w:val="3"/>
                  <w:vAlign w:val="center"/>
                </w:tcPr>
                <w:p>
                  <w:pPr>
                    <w:pStyle w:val="37"/>
                  </w:pPr>
                  <w:r>
                    <w:rPr>
                      <w:rFonts w:hint="eastAsia"/>
                    </w:rPr>
                    <w:t>氮氧化物排放速率（kg/h）</w:t>
                  </w:r>
                </w:p>
              </w:tc>
              <w:tc>
                <w:tcPr>
                  <w:tcW w:w="464" w:type="pct"/>
                  <w:vAlign w:val="center"/>
                </w:tcPr>
                <w:p>
                  <w:pPr>
                    <w:pStyle w:val="37"/>
                  </w:pPr>
                  <w:r>
                    <w:rPr>
                      <w:rFonts w:hint="eastAsia"/>
                    </w:rPr>
                    <w:t>0.043</w:t>
                  </w:r>
                </w:p>
              </w:tc>
              <w:tc>
                <w:tcPr>
                  <w:tcW w:w="487" w:type="pct"/>
                  <w:vAlign w:val="center"/>
                </w:tcPr>
                <w:p>
                  <w:pPr>
                    <w:pStyle w:val="37"/>
                  </w:pPr>
                  <w:r>
                    <w:rPr>
                      <w:rFonts w:hint="eastAsia"/>
                    </w:rPr>
                    <w:t>0.037</w:t>
                  </w:r>
                </w:p>
              </w:tc>
              <w:tc>
                <w:tcPr>
                  <w:tcW w:w="463" w:type="pct"/>
                  <w:vAlign w:val="center"/>
                </w:tcPr>
                <w:p>
                  <w:pPr>
                    <w:pStyle w:val="37"/>
                  </w:pPr>
                  <w:r>
                    <w:rPr>
                      <w:rFonts w:hint="eastAsia"/>
                    </w:rPr>
                    <w:t>0.039</w:t>
                  </w:r>
                </w:p>
              </w:tc>
              <w:tc>
                <w:tcPr>
                  <w:tcW w:w="467" w:type="pct"/>
                </w:tcPr>
                <w:p>
                  <w:pPr>
                    <w:pStyle w:val="37"/>
                  </w:pPr>
                  <w:r>
                    <w:rPr>
                      <w:rFonts w:hint="eastAsia"/>
                    </w:rPr>
                    <w:t>0.043</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restart"/>
                  <w:vAlign w:val="center"/>
                </w:tcPr>
                <w:p>
                  <w:pPr>
                    <w:pStyle w:val="37"/>
                  </w:pPr>
                  <w:r>
                    <w:rPr>
                      <w:rFonts w:hint="eastAsia"/>
                    </w:rPr>
                    <w:t>2021年9月5日</w:t>
                  </w:r>
                </w:p>
              </w:tc>
              <w:tc>
                <w:tcPr>
                  <w:tcW w:w="486" w:type="pct"/>
                  <w:vMerge w:val="restart"/>
                  <w:vAlign w:val="center"/>
                </w:tcPr>
                <w:p>
                  <w:pPr>
                    <w:pStyle w:val="37"/>
                  </w:pPr>
                  <w:r>
                    <w:rPr>
                      <w:rFonts w:hint="eastAsia"/>
                    </w:rPr>
                    <w:t>直燃机废气排口</w:t>
                  </w:r>
                </w:p>
              </w:tc>
              <w:tc>
                <w:tcPr>
                  <w:tcW w:w="1291" w:type="pct"/>
                  <w:gridSpan w:val="3"/>
                  <w:vAlign w:val="center"/>
                </w:tcPr>
                <w:p>
                  <w:pPr>
                    <w:pStyle w:val="37"/>
                  </w:pPr>
                  <w:r>
                    <w:rPr>
                      <w:rFonts w:hint="eastAsia"/>
                    </w:rPr>
                    <w:t>标干流量（</w:t>
                  </w:r>
                  <w:r>
                    <w:t>m</w:t>
                  </w:r>
                  <w:r>
                    <w:rPr>
                      <w:vertAlign w:val="superscript"/>
                    </w:rPr>
                    <w:t>3</w:t>
                  </w:r>
                  <w:r>
                    <w:rPr>
                      <w:rFonts w:hint="eastAsia"/>
                    </w:rPr>
                    <w:t>/h）</w:t>
                  </w:r>
                </w:p>
              </w:tc>
              <w:tc>
                <w:tcPr>
                  <w:tcW w:w="464" w:type="pct"/>
                  <w:vAlign w:val="center"/>
                </w:tcPr>
                <w:p>
                  <w:pPr>
                    <w:pStyle w:val="37"/>
                  </w:pPr>
                  <w:r>
                    <w:rPr>
                      <w:rFonts w:hint="eastAsia"/>
                    </w:rPr>
                    <w:t>558</w:t>
                  </w:r>
                </w:p>
              </w:tc>
              <w:tc>
                <w:tcPr>
                  <w:tcW w:w="487" w:type="pct"/>
                  <w:vAlign w:val="center"/>
                </w:tcPr>
                <w:p>
                  <w:pPr>
                    <w:pStyle w:val="37"/>
                  </w:pPr>
                  <w:r>
                    <w:rPr>
                      <w:rFonts w:hint="eastAsia"/>
                    </w:rPr>
                    <w:t>560</w:t>
                  </w:r>
                </w:p>
              </w:tc>
              <w:tc>
                <w:tcPr>
                  <w:tcW w:w="463" w:type="pct"/>
                  <w:vAlign w:val="center"/>
                </w:tcPr>
                <w:p>
                  <w:pPr>
                    <w:pStyle w:val="37"/>
                  </w:pPr>
                  <w:r>
                    <w:rPr>
                      <w:rFonts w:hint="eastAsia"/>
                    </w:rPr>
                    <w:t>558</w:t>
                  </w:r>
                </w:p>
              </w:tc>
              <w:tc>
                <w:tcPr>
                  <w:tcW w:w="467" w:type="pct"/>
                </w:tcPr>
                <w:p>
                  <w:pPr>
                    <w:pStyle w:val="37"/>
                  </w:pPr>
                  <w:r>
                    <w:rPr>
                      <w:rFonts w:hint="eastAsia"/>
                    </w:rPr>
                    <w:t>560</w:t>
                  </w:r>
                </w:p>
              </w:tc>
              <w:tc>
                <w:tcPr>
                  <w:tcW w:w="467" w:type="pct"/>
                  <w:vAlign w:val="center"/>
                </w:tcPr>
                <w:p>
                  <w:pPr>
                    <w:pStyle w:val="37"/>
                  </w:pPr>
                  <w:r>
                    <w:t>/</w:t>
                  </w:r>
                </w:p>
              </w:tc>
              <w:tc>
                <w:tcPr>
                  <w:tcW w:w="469"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颗粒物浓度(mg/</w:t>
                  </w:r>
                  <w:r>
                    <w:t>m</w:t>
                  </w:r>
                  <w:r>
                    <w:rPr>
                      <w:vertAlign w:val="superscript"/>
                    </w:rPr>
                    <w:t>3</w:t>
                  </w:r>
                  <w:r>
                    <w:rPr>
                      <w:rFonts w:hint="eastAsia"/>
                    </w:rPr>
                    <w:t>)</w:t>
                  </w:r>
                </w:p>
              </w:tc>
              <w:tc>
                <w:tcPr>
                  <w:tcW w:w="464" w:type="pct"/>
                  <w:vAlign w:val="center"/>
                </w:tcPr>
                <w:p>
                  <w:pPr>
                    <w:pStyle w:val="37"/>
                  </w:pPr>
                  <w:r>
                    <w:rPr>
                      <w:rFonts w:hint="eastAsia"/>
                    </w:rPr>
                    <w:t>17</w:t>
                  </w:r>
                </w:p>
              </w:tc>
              <w:tc>
                <w:tcPr>
                  <w:tcW w:w="487" w:type="pct"/>
                  <w:vAlign w:val="center"/>
                </w:tcPr>
                <w:p>
                  <w:pPr>
                    <w:pStyle w:val="37"/>
                  </w:pPr>
                  <w:r>
                    <w:rPr>
                      <w:rFonts w:hint="eastAsia"/>
                    </w:rPr>
                    <w:t>15</w:t>
                  </w:r>
                </w:p>
              </w:tc>
              <w:tc>
                <w:tcPr>
                  <w:tcW w:w="463" w:type="pct"/>
                  <w:vAlign w:val="center"/>
                </w:tcPr>
                <w:p>
                  <w:pPr>
                    <w:pStyle w:val="37"/>
                  </w:pPr>
                  <w:r>
                    <w:rPr>
                      <w:rFonts w:hint="eastAsia"/>
                    </w:rPr>
                    <w:t>18</w:t>
                  </w:r>
                </w:p>
              </w:tc>
              <w:tc>
                <w:tcPr>
                  <w:tcW w:w="467" w:type="pct"/>
                </w:tcPr>
                <w:p>
                  <w:pPr>
                    <w:pStyle w:val="37"/>
                  </w:pPr>
                  <w:r>
                    <w:rPr>
                      <w:rFonts w:hint="eastAsia"/>
                    </w:rPr>
                    <w:t>18</w:t>
                  </w:r>
                </w:p>
              </w:tc>
              <w:tc>
                <w:tcPr>
                  <w:tcW w:w="467" w:type="pct"/>
                  <w:vAlign w:val="center"/>
                </w:tcPr>
                <w:p>
                  <w:pPr>
                    <w:pStyle w:val="37"/>
                  </w:pPr>
                  <w:r>
                    <w:rPr>
                      <w:rFonts w:hint="eastAsia"/>
                    </w:rPr>
                    <w:t>20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颗粒物排放速率（kg/h）</w:t>
                  </w:r>
                </w:p>
              </w:tc>
              <w:tc>
                <w:tcPr>
                  <w:tcW w:w="464" w:type="pct"/>
                  <w:vAlign w:val="center"/>
                </w:tcPr>
                <w:p>
                  <w:pPr>
                    <w:pStyle w:val="37"/>
                  </w:pPr>
                  <w:r>
                    <w:rPr>
                      <w:rFonts w:hint="eastAsia"/>
                    </w:rPr>
                    <w:t>0.0084</w:t>
                  </w:r>
                </w:p>
              </w:tc>
              <w:tc>
                <w:tcPr>
                  <w:tcW w:w="487" w:type="pct"/>
                  <w:vAlign w:val="center"/>
                </w:tcPr>
                <w:p>
                  <w:pPr>
                    <w:pStyle w:val="37"/>
                  </w:pPr>
                  <w:r>
                    <w:rPr>
                      <w:rFonts w:hint="eastAsia"/>
                    </w:rPr>
                    <w:t>0.0073</w:t>
                  </w:r>
                </w:p>
              </w:tc>
              <w:tc>
                <w:tcPr>
                  <w:tcW w:w="463" w:type="pct"/>
                  <w:vAlign w:val="center"/>
                </w:tcPr>
                <w:p>
                  <w:pPr>
                    <w:pStyle w:val="37"/>
                  </w:pPr>
                  <w:r>
                    <w:rPr>
                      <w:rFonts w:hint="eastAsia"/>
                    </w:rPr>
                    <w:t>0.0089</w:t>
                  </w:r>
                </w:p>
              </w:tc>
              <w:tc>
                <w:tcPr>
                  <w:tcW w:w="467" w:type="pct"/>
                </w:tcPr>
                <w:p>
                  <w:pPr>
                    <w:pStyle w:val="37"/>
                  </w:pPr>
                  <w:r>
                    <w:rPr>
                      <w:rFonts w:hint="eastAsia"/>
                    </w:rPr>
                    <w:t>0.0089</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二氧化硫浓度(mg/</w:t>
                  </w:r>
                  <w:r>
                    <w:t>m</w:t>
                  </w:r>
                  <w:r>
                    <w:rPr>
                      <w:vertAlign w:val="superscript"/>
                    </w:rPr>
                    <w:t>3</w:t>
                  </w:r>
                  <w:r>
                    <w:rPr>
                      <w:rFonts w:hint="eastAsia"/>
                    </w:rPr>
                    <w:t>)</w:t>
                  </w:r>
                </w:p>
              </w:tc>
              <w:tc>
                <w:tcPr>
                  <w:tcW w:w="464" w:type="pct"/>
                  <w:vAlign w:val="center"/>
                </w:tcPr>
                <w:p>
                  <w:pPr>
                    <w:pStyle w:val="37"/>
                  </w:pPr>
                  <w:r>
                    <w:rPr>
                      <w:rFonts w:hint="eastAsia"/>
                    </w:rPr>
                    <w:t>＜3</w:t>
                  </w:r>
                </w:p>
              </w:tc>
              <w:tc>
                <w:tcPr>
                  <w:tcW w:w="487" w:type="pct"/>
                  <w:vAlign w:val="center"/>
                </w:tcPr>
                <w:p>
                  <w:pPr>
                    <w:pStyle w:val="37"/>
                  </w:pPr>
                  <w:r>
                    <w:rPr>
                      <w:rFonts w:hint="eastAsia"/>
                    </w:rPr>
                    <w:t>＜3</w:t>
                  </w:r>
                </w:p>
              </w:tc>
              <w:tc>
                <w:tcPr>
                  <w:tcW w:w="463" w:type="pct"/>
                  <w:vAlign w:val="center"/>
                </w:tcPr>
                <w:p>
                  <w:pPr>
                    <w:pStyle w:val="37"/>
                  </w:pPr>
                  <w:r>
                    <w:rPr>
                      <w:rFonts w:hint="eastAsia"/>
                    </w:rPr>
                    <w:t>＜3</w:t>
                  </w:r>
                </w:p>
              </w:tc>
              <w:tc>
                <w:tcPr>
                  <w:tcW w:w="467" w:type="pct"/>
                  <w:vAlign w:val="center"/>
                </w:tcPr>
                <w:p>
                  <w:pPr>
                    <w:pStyle w:val="37"/>
                  </w:pPr>
                  <w:r>
                    <w:rPr>
                      <w:rFonts w:hint="eastAsia"/>
                    </w:rPr>
                    <w:t>＜3</w:t>
                  </w:r>
                </w:p>
              </w:tc>
              <w:tc>
                <w:tcPr>
                  <w:tcW w:w="467" w:type="pct"/>
                  <w:vAlign w:val="center"/>
                </w:tcPr>
                <w:p>
                  <w:pPr>
                    <w:pStyle w:val="37"/>
                  </w:pPr>
                  <w:r>
                    <w:rPr>
                      <w:rFonts w:hint="eastAsia"/>
                    </w:rPr>
                    <w:t>50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二氧化硫排放速率（kg/h）</w:t>
                  </w:r>
                </w:p>
              </w:tc>
              <w:tc>
                <w:tcPr>
                  <w:tcW w:w="464" w:type="pct"/>
                  <w:vAlign w:val="center"/>
                </w:tcPr>
                <w:p>
                  <w:pPr>
                    <w:pStyle w:val="37"/>
                  </w:pPr>
                  <w:r>
                    <w:rPr>
                      <w:rFonts w:hint="eastAsia"/>
                    </w:rPr>
                    <w:t>＜0.0017</w:t>
                  </w:r>
                </w:p>
              </w:tc>
              <w:tc>
                <w:tcPr>
                  <w:tcW w:w="487" w:type="pct"/>
                  <w:vAlign w:val="center"/>
                </w:tcPr>
                <w:p>
                  <w:pPr>
                    <w:pStyle w:val="37"/>
                  </w:pPr>
                  <w:r>
                    <w:rPr>
                      <w:rFonts w:hint="eastAsia"/>
                    </w:rPr>
                    <w:t>＜0.0017</w:t>
                  </w:r>
                </w:p>
              </w:tc>
              <w:tc>
                <w:tcPr>
                  <w:tcW w:w="463" w:type="pct"/>
                  <w:vAlign w:val="center"/>
                </w:tcPr>
                <w:p>
                  <w:pPr>
                    <w:pStyle w:val="37"/>
                  </w:pPr>
                  <w:r>
                    <w:rPr>
                      <w:rFonts w:hint="eastAsia"/>
                    </w:rPr>
                    <w:t>＜0.0017</w:t>
                  </w:r>
                </w:p>
              </w:tc>
              <w:tc>
                <w:tcPr>
                  <w:tcW w:w="467" w:type="pct"/>
                  <w:vAlign w:val="center"/>
                </w:tcPr>
                <w:p>
                  <w:pPr>
                    <w:pStyle w:val="37"/>
                  </w:pPr>
                  <w:r>
                    <w:rPr>
                      <w:rFonts w:hint="eastAsia"/>
                    </w:rPr>
                    <w:t>＜0.0017</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氮氧化物浓度(mg/</w:t>
                  </w:r>
                  <w:r>
                    <w:t>m</w:t>
                  </w:r>
                  <w:r>
                    <w:rPr>
                      <w:vertAlign w:val="superscript"/>
                    </w:rPr>
                    <w:t>3</w:t>
                  </w:r>
                  <w:r>
                    <w:rPr>
                      <w:rFonts w:hint="eastAsia"/>
                    </w:rPr>
                    <w:t>)</w:t>
                  </w:r>
                </w:p>
              </w:tc>
              <w:tc>
                <w:tcPr>
                  <w:tcW w:w="464" w:type="pct"/>
                  <w:vAlign w:val="center"/>
                </w:tcPr>
                <w:p>
                  <w:pPr>
                    <w:pStyle w:val="37"/>
                  </w:pPr>
                  <w:r>
                    <w:rPr>
                      <w:rFonts w:hint="eastAsia"/>
                    </w:rPr>
                    <w:t>81</w:t>
                  </w:r>
                </w:p>
              </w:tc>
              <w:tc>
                <w:tcPr>
                  <w:tcW w:w="487" w:type="pct"/>
                  <w:vAlign w:val="center"/>
                </w:tcPr>
                <w:p>
                  <w:pPr>
                    <w:pStyle w:val="37"/>
                  </w:pPr>
                  <w:r>
                    <w:rPr>
                      <w:rFonts w:hint="eastAsia"/>
                    </w:rPr>
                    <w:t>84</w:t>
                  </w:r>
                </w:p>
              </w:tc>
              <w:tc>
                <w:tcPr>
                  <w:tcW w:w="463" w:type="pct"/>
                  <w:vAlign w:val="center"/>
                </w:tcPr>
                <w:p>
                  <w:pPr>
                    <w:pStyle w:val="37"/>
                  </w:pPr>
                  <w:r>
                    <w:rPr>
                      <w:rFonts w:hint="eastAsia"/>
                    </w:rPr>
                    <w:t>80</w:t>
                  </w:r>
                </w:p>
              </w:tc>
              <w:tc>
                <w:tcPr>
                  <w:tcW w:w="467" w:type="pct"/>
                </w:tcPr>
                <w:p>
                  <w:pPr>
                    <w:pStyle w:val="37"/>
                  </w:pPr>
                  <w:r>
                    <w:rPr>
                      <w:rFonts w:hint="eastAsia"/>
                    </w:rPr>
                    <w:t>84</w:t>
                  </w:r>
                </w:p>
              </w:tc>
              <w:tc>
                <w:tcPr>
                  <w:tcW w:w="467" w:type="pct"/>
                  <w:vAlign w:val="center"/>
                </w:tcPr>
                <w:p>
                  <w:pPr>
                    <w:pStyle w:val="37"/>
                  </w:pPr>
                  <w:r>
                    <w:rPr>
                      <w:rFonts w:hint="eastAsia"/>
                    </w:rPr>
                    <w:t>200</w:t>
                  </w:r>
                </w:p>
              </w:tc>
              <w:tc>
                <w:tcPr>
                  <w:tcW w:w="469" w:type="pct"/>
                  <w:vAlign w:val="center"/>
                </w:tcPr>
                <w:p>
                  <w:pPr>
                    <w:pStyle w:val="37"/>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4" w:type="pct"/>
                  <w:vMerge w:val="continue"/>
                </w:tcPr>
                <w:p>
                  <w:pPr>
                    <w:pStyle w:val="37"/>
                  </w:pPr>
                </w:p>
              </w:tc>
              <w:tc>
                <w:tcPr>
                  <w:tcW w:w="486" w:type="pct"/>
                  <w:vMerge w:val="continue"/>
                </w:tcPr>
                <w:p>
                  <w:pPr>
                    <w:pStyle w:val="37"/>
                  </w:pPr>
                </w:p>
              </w:tc>
              <w:tc>
                <w:tcPr>
                  <w:tcW w:w="1291" w:type="pct"/>
                  <w:gridSpan w:val="3"/>
                  <w:vAlign w:val="center"/>
                </w:tcPr>
                <w:p>
                  <w:pPr>
                    <w:pStyle w:val="37"/>
                  </w:pPr>
                  <w:r>
                    <w:rPr>
                      <w:rFonts w:hint="eastAsia"/>
                    </w:rPr>
                    <w:t>氮氧化物排放速率（kg/h）</w:t>
                  </w:r>
                </w:p>
              </w:tc>
              <w:tc>
                <w:tcPr>
                  <w:tcW w:w="464" w:type="pct"/>
                  <w:vAlign w:val="center"/>
                </w:tcPr>
                <w:p>
                  <w:pPr>
                    <w:pStyle w:val="37"/>
                  </w:pPr>
                  <w:r>
                    <w:rPr>
                      <w:rFonts w:hint="eastAsia"/>
                    </w:rPr>
                    <w:t>0.040</w:t>
                  </w:r>
                </w:p>
              </w:tc>
              <w:tc>
                <w:tcPr>
                  <w:tcW w:w="487" w:type="pct"/>
                  <w:vAlign w:val="center"/>
                </w:tcPr>
                <w:p>
                  <w:pPr>
                    <w:pStyle w:val="37"/>
                  </w:pPr>
                  <w:r>
                    <w:rPr>
                      <w:rFonts w:hint="eastAsia"/>
                    </w:rPr>
                    <w:t>0.042</w:t>
                  </w:r>
                </w:p>
              </w:tc>
              <w:tc>
                <w:tcPr>
                  <w:tcW w:w="463" w:type="pct"/>
                  <w:vAlign w:val="center"/>
                </w:tcPr>
                <w:p>
                  <w:pPr>
                    <w:pStyle w:val="37"/>
                  </w:pPr>
                  <w:r>
                    <w:rPr>
                      <w:rFonts w:hint="eastAsia"/>
                    </w:rPr>
                    <w:t>0.040</w:t>
                  </w:r>
                </w:p>
              </w:tc>
              <w:tc>
                <w:tcPr>
                  <w:tcW w:w="467" w:type="pct"/>
                </w:tcPr>
                <w:p>
                  <w:pPr>
                    <w:pStyle w:val="37"/>
                  </w:pPr>
                  <w:r>
                    <w:rPr>
                      <w:rFonts w:hint="eastAsia"/>
                    </w:rPr>
                    <w:t>0.042</w:t>
                  </w:r>
                </w:p>
              </w:tc>
              <w:tc>
                <w:tcPr>
                  <w:tcW w:w="467" w:type="pct"/>
                  <w:vAlign w:val="center"/>
                </w:tcPr>
                <w:p>
                  <w:pPr>
                    <w:pStyle w:val="37"/>
                  </w:pPr>
                  <w:r>
                    <w:rPr>
                      <w:rFonts w:hint="eastAsia"/>
                    </w:rPr>
                    <w:t>/</w:t>
                  </w:r>
                </w:p>
              </w:tc>
              <w:tc>
                <w:tcPr>
                  <w:tcW w:w="469" w:type="pct"/>
                  <w:vAlign w:val="center"/>
                </w:tcPr>
                <w:p>
                  <w:pPr>
                    <w:pStyle w:val="37"/>
                  </w:pPr>
                  <w:r>
                    <w:rPr>
                      <w:rFonts w:hint="eastAsia"/>
                    </w:rPr>
                    <w:t>/</w:t>
                  </w:r>
                </w:p>
              </w:tc>
            </w:tr>
          </w:tbl>
          <w:p>
            <w:pPr>
              <w:ind w:firstLine="480"/>
            </w:pPr>
            <w:r>
              <w:rPr>
                <w:rFonts w:hint="eastAsia"/>
              </w:rPr>
              <w:t>由上表可知，现有项目有组织焊接废气主要污染物颗粒物排放满足《大气污染物综合排放标准》（GB16297-1996）表2中二级标准；电泳废气排放满足《挥发性有机物排放标准 第5部分：汽车制造业》（DB36/1101.5-2019）；烘干废气排放满足《大气污染物综合排放标准》（GB16297-1996）二级标准和《挥发性有机物排放标准 第5部分：汽车制造业》（DB36/1101.5-2019）；天然气锅炉废气排放满足《</w:t>
            </w:r>
            <w:r>
              <w:t>锅炉大气污染排放标准》（GB13271-2014）表2中燃气锅炉标准</w:t>
            </w:r>
            <w:r>
              <w:rPr>
                <w:rFonts w:hint="eastAsia"/>
              </w:rPr>
              <w:t>；加料间废气排放满足《挥发性有机物排放标准 第5部分：汽车制造业》（DB36/1101.5-2019）；直燃机组废气排放满足《</w:t>
            </w:r>
            <w:r>
              <w:t>锅炉大气污染排放标准》（GB13271-2014）表2中燃气锅炉标准</w:t>
            </w:r>
            <w:r>
              <w:rPr>
                <w:rFonts w:hint="eastAsia"/>
              </w:rPr>
              <w:t>。</w:t>
            </w:r>
          </w:p>
          <w:p>
            <w:pPr>
              <w:ind w:firstLine="480"/>
            </w:pPr>
            <w:r>
              <w:rPr>
                <w:rFonts w:hint="eastAsia"/>
              </w:rPr>
              <w:t>2）无组织废气</w:t>
            </w:r>
          </w:p>
          <w:p>
            <w:pPr>
              <w:pStyle w:val="38"/>
            </w:pPr>
            <w:r>
              <w:rPr>
                <w:rFonts w:hint="eastAsia"/>
              </w:rPr>
              <w:t>表2-14  现有项目</w:t>
            </w:r>
            <w:r>
              <w:t>无组织废气检测结果</w:t>
            </w:r>
            <w:r>
              <w:rPr>
                <w:rFonts w:hint="eastAsia"/>
              </w:rPr>
              <w:t>一览表</w:t>
            </w:r>
            <w:r>
              <w:t xml:space="preserve">  单位：mg/m</w:t>
            </w:r>
            <w:r>
              <w:rPr>
                <w:vertAlign w:val="superscript"/>
              </w:rPr>
              <w:t>3</w:t>
            </w:r>
            <w:r>
              <w:t>（标注除外）</w:t>
            </w:r>
          </w:p>
          <w:p>
            <w:pPr>
              <w:spacing w:line="31" w:lineRule="auto"/>
              <w:ind w:firstLine="40"/>
              <w:rPr>
                <w:rFonts w:ascii="Arial"/>
                <w:sz w:val="2"/>
              </w:rPr>
            </w:pPr>
          </w:p>
          <w:tbl>
            <w:tblPr>
              <w:tblStyle w:val="1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0"/>
              <w:gridCol w:w="1256"/>
              <w:gridCol w:w="568"/>
              <w:gridCol w:w="566"/>
              <w:gridCol w:w="379"/>
              <w:gridCol w:w="566"/>
              <w:gridCol w:w="1686"/>
              <w:gridCol w:w="1375"/>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464" w:type="pct"/>
                  <w:vMerge w:val="restart"/>
                  <w:vAlign w:val="center"/>
                </w:tcPr>
                <w:p>
                  <w:pPr>
                    <w:pStyle w:val="37"/>
                    <w:rPr>
                      <w:b/>
                      <w:bCs/>
                    </w:rPr>
                  </w:pPr>
                  <w:r>
                    <w:rPr>
                      <w:b/>
                      <w:bCs/>
                    </w:rPr>
                    <w:t>采样</w:t>
                  </w:r>
                  <w:r>
                    <w:rPr>
                      <w:rFonts w:hint="eastAsia"/>
                      <w:b/>
                      <w:bCs/>
                    </w:rPr>
                    <w:t>时间</w:t>
                  </w:r>
                </w:p>
              </w:tc>
              <w:tc>
                <w:tcPr>
                  <w:tcW w:w="1127" w:type="pct"/>
                  <w:gridSpan w:val="2"/>
                  <w:vMerge w:val="restart"/>
                  <w:vAlign w:val="center"/>
                </w:tcPr>
                <w:p>
                  <w:pPr>
                    <w:pStyle w:val="37"/>
                    <w:rPr>
                      <w:b/>
                      <w:bCs/>
                    </w:rPr>
                  </w:pPr>
                  <w:r>
                    <w:rPr>
                      <w:b/>
                      <w:bCs/>
                    </w:rPr>
                    <w:t>监测点位</w:t>
                  </w:r>
                </w:p>
              </w:tc>
              <w:tc>
                <w:tcPr>
                  <w:tcW w:w="3407" w:type="pct"/>
                  <w:gridSpan w:val="6"/>
                  <w:vAlign w:val="center"/>
                </w:tcPr>
                <w:p>
                  <w:pPr>
                    <w:pStyle w:val="37"/>
                    <w:rPr>
                      <w:b/>
                      <w:bCs/>
                    </w:rPr>
                  </w:pPr>
                  <w:r>
                    <w:rPr>
                      <w:b/>
                      <w:bCs/>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464" w:type="pct"/>
                  <w:vMerge w:val="continue"/>
                  <w:vAlign w:val="center"/>
                </w:tcPr>
                <w:p>
                  <w:pPr>
                    <w:pStyle w:val="37"/>
                    <w:rPr>
                      <w:b/>
                      <w:bCs/>
                    </w:rPr>
                  </w:pPr>
                </w:p>
              </w:tc>
              <w:tc>
                <w:tcPr>
                  <w:tcW w:w="1127" w:type="pct"/>
                  <w:gridSpan w:val="2"/>
                  <w:vMerge w:val="continue"/>
                  <w:vAlign w:val="center"/>
                </w:tcPr>
                <w:p>
                  <w:pPr>
                    <w:pStyle w:val="37"/>
                    <w:rPr>
                      <w:b/>
                      <w:bCs/>
                    </w:rPr>
                  </w:pPr>
                </w:p>
              </w:tc>
              <w:tc>
                <w:tcPr>
                  <w:tcW w:w="1976" w:type="pct"/>
                  <w:gridSpan w:val="4"/>
                  <w:vAlign w:val="center"/>
                </w:tcPr>
                <w:p>
                  <w:pPr>
                    <w:pStyle w:val="37"/>
                    <w:rPr>
                      <w:b/>
                      <w:bCs/>
                    </w:rPr>
                  </w:pPr>
                  <w:r>
                    <w:rPr>
                      <w:rFonts w:hint="eastAsia"/>
                      <w:b/>
                      <w:bCs/>
                    </w:rPr>
                    <w:t>2021年8月11-12日</w:t>
                  </w:r>
                </w:p>
              </w:tc>
              <w:tc>
                <w:tcPr>
                  <w:tcW w:w="1431" w:type="pct"/>
                  <w:gridSpan w:val="2"/>
                  <w:vAlign w:val="center"/>
                </w:tcPr>
                <w:p>
                  <w:pPr>
                    <w:pStyle w:val="37"/>
                    <w:rPr>
                      <w:b/>
                      <w:bCs/>
                    </w:rPr>
                  </w:pPr>
                  <w:r>
                    <w:rPr>
                      <w:rFonts w:hint="eastAsia"/>
                      <w:b/>
                      <w:bCs/>
                    </w:rPr>
                    <w:t>2021年9月4-5日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464" w:type="pct"/>
                  <w:vMerge w:val="continue"/>
                  <w:vAlign w:val="center"/>
                </w:tcPr>
                <w:p>
                  <w:pPr>
                    <w:pStyle w:val="37"/>
                    <w:rPr>
                      <w:b/>
                      <w:bCs/>
                    </w:rPr>
                  </w:pPr>
                </w:p>
              </w:tc>
              <w:tc>
                <w:tcPr>
                  <w:tcW w:w="1127" w:type="pct"/>
                  <w:gridSpan w:val="2"/>
                  <w:vMerge w:val="continue"/>
                  <w:vAlign w:val="center"/>
                </w:tcPr>
                <w:p>
                  <w:pPr>
                    <w:pStyle w:val="37"/>
                    <w:rPr>
                      <w:b/>
                      <w:bCs/>
                    </w:rPr>
                  </w:pPr>
                </w:p>
              </w:tc>
              <w:tc>
                <w:tcPr>
                  <w:tcW w:w="350" w:type="pct"/>
                  <w:vAlign w:val="center"/>
                </w:tcPr>
                <w:p>
                  <w:pPr>
                    <w:pStyle w:val="37"/>
                    <w:rPr>
                      <w:b/>
                      <w:bCs/>
                    </w:rPr>
                  </w:pPr>
                  <w:r>
                    <w:rPr>
                      <w:b/>
                      <w:bCs/>
                    </w:rPr>
                    <w:t>颗粒物</w:t>
                  </w:r>
                </w:p>
              </w:tc>
              <w:tc>
                <w:tcPr>
                  <w:tcW w:w="234" w:type="pct"/>
                  <w:vAlign w:val="center"/>
                </w:tcPr>
                <w:p>
                  <w:pPr>
                    <w:pStyle w:val="37"/>
                    <w:rPr>
                      <w:b/>
                      <w:bCs/>
                    </w:rPr>
                  </w:pPr>
                  <w:r>
                    <w:rPr>
                      <w:b/>
                      <w:bCs/>
                    </w:rPr>
                    <w:t>氨</w:t>
                  </w:r>
                </w:p>
              </w:tc>
              <w:tc>
                <w:tcPr>
                  <w:tcW w:w="350" w:type="pct"/>
                  <w:vAlign w:val="center"/>
                </w:tcPr>
                <w:p>
                  <w:pPr>
                    <w:pStyle w:val="37"/>
                    <w:rPr>
                      <w:b/>
                      <w:bCs/>
                    </w:rPr>
                  </w:pPr>
                  <w:r>
                    <w:rPr>
                      <w:b/>
                      <w:bCs/>
                    </w:rPr>
                    <w:t>硫化氢</w:t>
                  </w:r>
                </w:p>
              </w:tc>
              <w:tc>
                <w:tcPr>
                  <w:tcW w:w="1040" w:type="pct"/>
                  <w:vAlign w:val="center"/>
                </w:tcPr>
                <w:p>
                  <w:pPr>
                    <w:pStyle w:val="37"/>
                    <w:rPr>
                      <w:b/>
                      <w:bCs/>
                    </w:rPr>
                  </w:pPr>
                  <w:r>
                    <w:rPr>
                      <w:b/>
                      <w:bCs/>
                    </w:rPr>
                    <w:t>臭气浓度（无量纲）</w:t>
                  </w:r>
                </w:p>
              </w:tc>
              <w:tc>
                <w:tcPr>
                  <w:tcW w:w="850" w:type="pct"/>
                  <w:vAlign w:val="center"/>
                </w:tcPr>
                <w:p>
                  <w:pPr>
                    <w:pStyle w:val="37"/>
                    <w:rPr>
                      <w:b/>
                      <w:bCs/>
                    </w:rPr>
                  </w:pPr>
                  <w:r>
                    <w:rPr>
                      <w:rFonts w:hint="eastAsia"/>
                      <w:b/>
                      <w:bCs/>
                    </w:rPr>
                    <w:t>TVOC（ug/m</w:t>
                  </w:r>
                  <w:r>
                    <w:rPr>
                      <w:rFonts w:hint="eastAsia"/>
                      <w:b/>
                      <w:bCs/>
                      <w:vertAlign w:val="superscript"/>
                    </w:rPr>
                    <w:t>3</w:t>
                  </w:r>
                  <w:r>
                    <w:rPr>
                      <w:rFonts w:hint="eastAsia"/>
                      <w:b/>
                      <w:bCs/>
                    </w:rPr>
                    <w:t>）</w:t>
                  </w:r>
                </w:p>
              </w:tc>
              <w:tc>
                <w:tcPr>
                  <w:tcW w:w="580" w:type="pct"/>
                  <w:vAlign w:val="center"/>
                </w:tcPr>
                <w:p>
                  <w:pPr>
                    <w:pStyle w:val="37"/>
                    <w:ind w:firstLine="0" w:firstLineChars="0"/>
                    <w:rPr>
                      <w:b/>
                      <w:bCs/>
                    </w:rPr>
                  </w:pPr>
                  <w:r>
                    <w:rPr>
                      <w:rFonts w:hint="eastAsia"/>
                      <w:b/>
                      <w:bCs/>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restart"/>
                  <w:vAlign w:val="center"/>
                </w:tcPr>
                <w:p>
                  <w:pPr>
                    <w:pStyle w:val="37"/>
                  </w:pPr>
                  <w:r>
                    <w:rPr>
                      <w:rFonts w:hint="eastAsia"/>
                    </w:rPr>
                    <w:t>第一天</w:t>
                  </w:r>
                </w:p>
              </w:tc>
              <w:tc>
                <w:tcPr>
                  <w:tcW w:w="777" w:type="pct"/>
                  <w:vMerge w:val="restart"/>
                  <w:vAlign w:val="center"/>
                </w:tcPr>
                <w:p>
                  <w:pPr>
                    <w:pStyle w:val="37"/>
                  </w:pPr>
                  <w:r>
                    <w:t>厂界外上风向</w:t>
                  </w:r>
                </w:p>
              </w:tc>
              <w:tc>
                <w:tcPr>
                  <w:tcW w:w="349" w:type="pct"/>
                  <w:vAlign w:val="center"/>
                </w:tcPr>
                <w:p>
                  <w:pPr>
                    <w:pStyle w:val="37"/>
                  </w:pPr>
                  <w:r>
                    <w:t>第一次</w:t>
                  </w:r>
                </w:p>
              </w:tc>
              <w:tc>
                <w:tcPr>
                  <w:tcW w:w="350" w:type="pct"/>
                  <w:vAlign w:val="center"/>
                </w:tcPr>
                <w:p>
                  <w:pPr>
                    <w:pStyle w:val="37"/>
                  </w:pPr>
                  <w:r>
                    <w:t>0.119</w:t>
                  </w:r>
                </w:p>
              </w:tc>
              <w:tc>
                <w:tcPr>
                  <w:tcW w:w="234" w:type="pct"/>
                  <w:vAlign w:val="center"/>
                </w:tcPr>
                <w:p>
                  <w:pPr>
                    <w:pStyle w:val="37"/>
                  </w:pPr>
                  <w:r>
                    <w:t>0.08</w:t>
                  </w:r>
                </w:p>
              </w:tc>
              <w:tc>
                <w:tcPr>
                  <w:tcW w:w="350" w:type="pct"/>
                  <w:vAlign w:val="center"/>
                </w:tcPr>
                <w:p>
                  <w:pPr>
                    <w:pStyle w:val="37"/>
                  </w:pPr>
                  <w:r>
                    <w:t>&lt;0.005</w:t>
                  </w:r>
                </w:p>
              </w:tc>
              <w:tc>
                <w:tcPr>
                  <w:tcW w:w="1040" w:type="pct"/>
                  <w:vAlign w:val="center"/>
                </w:tcPr>
                <w:p>
                  <w:pPr>
                    <w:pStyle w:val="37"/>
                  </w:pPr>
                  <w:r>
                    <w:t>11</w:t>
                  </w:r>
                </w:p>
              </w:tc>
              <w:tc>
                <w:tcPr>
                  <w:tcW w:w="850" w:type="pct"/>
                  <w:vAlign w:val="center"/>
                </w:tcPr>
                <w:p>
                  <w:pPr>
                    <w:pStyle w:val="37"/>
                  </w:pPr>
                  <w:r>
                    <w:rPr>
                      <w:rFonts w:hint="eastAsia"/>
                    </w:rPr>
                    <w:t>26.8</w:t>
                  </w:r>
                </w:p>
              </w:tc>
              <w:tc>
                <w:tcPr>
                  <w:tcW w:w="580" w:type="pct"/>
                  <w:vAlign w:val="center"/>
                </w:tcPr>
                <w:p>
                  <w:pPr>
                    <w:pStyle w:val="37"/>
                    <w:ind w:firstLine="0" w:firstLineChars="0"/>
                  </w:pPr>
                  <w:r>
                    <w:rPr>
                      <w:rFonts w:hint="eastAsi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第二次</w:t>
                  </w:r>
                </w:p>
              </w:tc>
              <w:tc>
                <w:tcPr>
                  <w:tcW w:w="350" w:type="pct"/>
                  <w:vAlign w:val="center"/>
                </w:tcPr>
                <w:p>
                  <w:pPr>
                    <w:pStyle w:val="37"/>
                  </w:pPr>
                  <w:r>
                    <w:t>0.136</w:t>
                  </w:r>
                </w:p>
              </w:tc>
              <w:tc>
                <w:tcPr>
                  <w:tcW w:w="234" w:type="pct"/>
                  <w:vAlign w:val="center"/>
                </w:tcPr>
                <w:p>
                  <w:pPr>
                    <w:pStyle w:val="37"/>
                  </w:pPr>
                  <w:r>
                    <w:t>0.09</w:t>
                  </w:r>
                </w:p>
              </w:tc>
              <w:tc>
                <w:tcPr>
                  <w:tcW w:w="350" w:type="pct"/>
                  <w:vAlign w:val="center"/>
                </w:tcPr>
                <w:p>
                  <w:pPr>
                    <w:pStyle w:val="37"/>
                  </w:pPr>
                  <w:r>
                    <w:t>&lt;0.005</w:t>
                  </w:r>
                </w:p>
              </w:tc>
              <w:tc>
                <w:tcPr>
                  <w:tcW w:w="1040" w:type="pct"/>
                  <w:vAlign w:val="center"/>
                </w:tcPr>
                <w:p>
                  <w:pPr>
                    <w:pStyle w:val="37"/>
                  </w:pPr>
                  <w:r>
                    <w:t>11</w:t>
                  </w:r>
                </w:p>
              </w:tc>
              <w:tc>
                <w:tcPr>
                  <w:tcW w:w="850" w:type="pct"/>
                  <w:vAlign w:val="center"/>
                </w:tcPr>
                <w:p>
                  <w:pPr>
                    <w:pStyle w:val="37"/>
                  </w:pPr>
                  <w:r>
                    <w:rPr>
                      <w:rFonts w:hint="eastAsia"/>
                    </w:rPr>
                    <w:t>25.4</w:t>
                  </w:r>
                </w:p>
              </w:tc>
              <w:tc>
                <w:tcPr>
                  <w:tcW w:w="580" w:type="pct"/>
                  <w:vAlign w:val="center"/>
                </w:tcPr>
                <w:p>
                  <w:pPr>
                    <w:pStyle w:val="37"/>
                    <w:ind w:firstLine="0" w:firstLineChars="0"/>
                  </w:pPr>
                  <w:r>
                    <w:rPr>
                      <w:rFonts w:hint="eastAsi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第三次</w:t>
                  </w:r>
                </w:p>
              </w:tc>
              <w:tc>
                <w:tcPr>
                  <w:tcW w:w="350" w:type="pct"/>
                  <w:vAlign w:val="center"/>
                </w:tcPr>
                <w:p>
                  <w:pPr>
                    <w:pStyle w:val="37"/>
                  </w:pPr>
                  <w:r>
                    <w:t>0.119</w:t>
                  </w:r>
                </w:p>
              </w:tc>
              <w:tc>
                <w:tcPr>
                  <w:tcW w:w="234" w:type="pct"/>
                  <w:vAlign w:val="center"/>
                </w:tcPr>
                <w:p>
                  <w:pPr>
                    <w:pStyle w:val="37"/>
                  </w:pPr>
                  <w:r>
                    <w:t>0.07</w:t>
                  </w:r>
                </w:p>
              </w:tc>
              <w:tc>
                <w:tcPr>
                  <w:tcW w:w="350" w:type="pct"/>
                  <w:vAlign w:val="center"/>
                </w:tcPr>
                <w:p>
                  <w:pPr>
                    <w:pStyle w:val="37"/>
                  </w:pPr>
                  <w:r>
                    <w:t>&lt;0.005</w:t>
                  </w:r>
                </w:p>
              </w:tc>
              <w:tc>
                <w:tcPr>
                  <w:tcW w:w="1040" w:type="pct"/>
                  <w:vAlign w:val="center"/>
                </w:tcPr>
                <w:p>
                  <w:pPr>
                    <w:pStyle w:val="37"/>
                  </w:pPr>
                  <w:r>
                    <w:t>10</w:t>
                  </w:r>
                </w:p>
              </w:tc>
              <w:tc>
                <w:tcPr>
                  <w:tcW w:w="850" w:type="pct"/>
                  <w:vAlign w:val="center"/>
                </w:tcPr>
                <w:p>
                  <w:pPr>
                    <w:pStyle w:val="37"/>
                  </w:pPr>
                  <w:r>
                    <w:rPr>
                      <w:rFonts w:hint="eastAsia"/>
                    </w:rPr>
                    <w:t>25.5</w:t>
                  </w:r>
                </w:p>
              </w:tc>
              <w:tc>
                <w:tcPr>
                  <w:tcW w:w="580" w:type="pct"/>
                  <w:vAlign w:val="center"/>
                </w:tcPr>
                <w:p>
                  <w:pPr>
                    <w:pStyle w:val="37"/>
                    <w:ind w:firstLine="0" w:firstLineChars="0"/>
                  </w:pPr>
                  <w:r>
                    <w:rPr>
                      <w:rFonts w:hint="eastAsi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rPr>
                      <w:rFonts w:hint="eastAsia"/>
                    </w:rPr>
                    <w:t>最大值</w:t>
                  </w:r>
                </w:p>
              </w:tc>
              <w:tc>
                <w:tcPr>
                  <w:tcW w:w="350" w:type="pct"/>
                  <w:vAlign w:val="center"/>
                </w:tcPr>
                <w:p>
                  <w:pPr>
                    <w:pStyle w:val="37"/>
                  </w:pPr>
                  <w:r>
                    <w:rPr>
                      <w:rFonts w:hint="eastAsia"/>
                    </w:rPr>
                    <w:t>0.136</w:t>
                  </w:r>
                </w:p>
              </w:tc>
              <w:tc>
                <w:tcPr>
                  <w:tcW w:w="234" w:type="pct"/>
                  <w:vAlign w:val="center"/>
                </w:tcPr>
                <w:p>
                  <w:pPr>
                    <w:pStyle w:val="37"/>
                  </w:pPr>
                  <w:r>
                    <w:rPr>
                      <w:rFonts w:hint="eastAsia"/>
                    </w:rPr>
                    <w:t>0.09</w:t>
                  </w:r>
                </w:p>
              </w:tc>
              <w:tc>
                <w:tcPr>
                  <w:tcW w:w="350" w:type="pct"/>
                  <w:vAlign w:val="center"/>
                </w:tcPr>
                <w:p>
                  <w:pPr>
                    <w:pStyle w:val="37"/>
                  </w:pPr>
                  <w:r>
                    <w:t>&lt;0.005</w:t>
                  </w:r>
                </w:p>
              </w:tc>
              <w:tc>
                <w:tcPr>
                  <w:tcW w:w="1040" w:type="pct"/>
                  <w:vAlign w:val="center"/>
                </w:tcPr>
                <w:p>
                  <w:pPr>
                    <w:pStyle w:val="37"/>
                  </w:pPr>
                  <w:r>
                    <w:rPr>
                      <w:rFonts w:hint="eastAsia"/>
                    </w:rPr>
                    <w:t>11</w:t>
                  </w:r>
                </w:p>
              </w:tc>
              <w:tc>
                <w:tcPr>
                  <w:tcW w:w="850" w:type="pct"/>
                  <w:vAlign w:val="center"/>
                </w:tcPr>
                <w:p>
                  <w:pPr>
                    <w:pStyle w:val="37"/>
                  </w:pPr>
                  <w:r>
                    <w:rPr>
                      <w:rFonts w:hint="eastAsia"/>
                    </w:rPr>
                    <w:t>26.8</w:t>
                  </w:r>
                </w:p>
              </w:tc>
              <w:tc>
                <w:tcPr>
                  <w:tcW w:w="580" w:type="pct"/>
                  <w:vAlign w:val="center"/>
                </w:tcPr>
                <w:p>
                  <w:pPr>
                    <w:pStyle w:val="37"/>
                    <w:ind w:firstLine="0" w:firstLineChars="0"/>
                  </w:pPr>
                  <w:r>
                    <w:rPr>
                      <w:rFonts w:hint="eastAsi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restart"/>
                  <w:vAlign w:val="center"/>
                </w:tcPr>
                <w:p>
                  <w:pPr>
                    <w:pStyle w:val="37"/>
                  </w:pPr>
                  <w:r>
                    <w:t>厂界外下风向</w:t>
                  </w:r>
                  <w:r>
                    <w:rPr>
                      <w:rFonts w:hint="eastAsia"/>
                    </w:rPr>
                    <w:t>1</w:t>
                  </w:r>
                </w:p>
              </w:tc>
              <w:tc>
                <w:tcPr>
                  <w:tcW w:w="349" w:type="pct"/>
                  <w:vAlign w:val="center"/>
                </w:tcPr>
                <w:p>
                  <w:pPr>
                    <w:pStyle w:val="37"/>
                  </w:pPr>
                  <w:r>
                    <w:t>第一次</w:t>
                  </w:r>
                </w:p>
              </w:tc>
              <w:tc>
                <w:tcPr>
                  <w:tcW w:w="350" w:type="pct"/>
                  <w:vAlign w:val="center"/>
                </w:tcPr>
                <w:p>
                  <w:pPr>
                    <w:pStyle w:val="37"/>
                  </w:pPr>
                  <w:r>
                    <w:t>0.187</w:t>
                  </w:r>
                </w:p>
              </w:tc>
              <w:tc>
                <w:tcPr>
                  <w:tcW w:w="234" w:type="pct"/>
                  <w:vAlign w:val="center"/>
                </w:tcPr>
                <w:p>
                  <w:pPr>
                    <w:pStyle w:val="37"/>
                  </w:pPr>
                  <w:r>
                    <w:t>0.12</w:t>
                  </w:r>
                </w:p>
              </w:tc>
              <w:tc>
                <w:tcPr>
                  <w:tcW w:w="350" w:type="pct"/>
                  <w:vAlign w:val="center"/>
                </w:tcPr>
                <w:p>
                  <w:pPr>
                    <w:pStyle w:val="37"/>
                  </w:pPr>
                  <w:r>
                    <w:t>&lt;0.005</w:t>
                  </w:r>
                </w:p>
              </w:tc>
              <w:tc>
                <w:tcPr>
                  <w:tcW w:w="1040" w:type="pct"/>
                  <w:vAlign w:val="center"/>
                </w:tcPr>
                <w:p>
                  <w:pPr>
                    <w:pStyle w:val="37"/>
                  </w:pPr>
                  <w:r>
                    <w:t>13</w:t>
                  </w:r>
                </w:p>
              </w:tc>
              <w:tc>
                <w:tcPr>
                  <w:tcW w:w="850" w:type="pct"/>
                  <w:vAlign w:val="center"/>
                </w:tcPr>
                <w:p>
                  <w:pPr>
                    <w:pStyle w:val="37"/>
                  </w:pPr>
                  <w:r>
                    <w:rPr>
                      <w:rFonts w:hint="eastAsia"/>
                    </w:rPr>
                    <w:t>24.5</w:t>
                  </w:r>
                </w:p>
              </w:tc>
              <w:tc>
                <w:tcPr>
                  <w:tcW w:w="580" w:type="pct"/>
                  <w:vAlign w:val="center"/>
                </w:tcPr>
                <w:p>
                  <w:pPr>
                    <w:pStyle w:val="37"/>
                    <w:ind w:firstLine="0" w:firstLineChars="0"/>
                  </w:pPr>
                  <w:r>
                    <w:rPr>
                      <w:rFonts w:hint="eastAsia"/>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第二次</w:t>
                  </w:r>
                </w:p>
              </w:tc>
              <w:tc>
                <w:tcPr>
                  <w:tcW w:w="350" w:type="pct"/>
                  <w:vAlign w:val="center"/>
                </w:tcPr>
                <w:p>
                  <w:pPr>
                    <w:pStyle w:val="37"/>
                  </w:pPr>
                  <w:r>
                    <w:t>0.238</w:t>
                  </w:r>
                </w:p>
              </w:tc>
              <w:tc>
                <w:tcPr>
                  <w:tcW w:w="234" w:type="pct"/>
                  <w:vAlign w:val="center"/>
                </w:tcPr>
                <w:p>
                  <w:pPr>
                    <w:pStyle w:val="37"/>
                  </w:pPr>
                  <w:r>
                    <w:t>0.14</w:t>
                  </w:r>
                </w:p>
              </w:tc>
              <w:tc>
                <w:tcPr>
                  <w:tcW w:w="350" w:type="pct"/>
                  <w:vAlign w:val="center"/>
                </w:tcPr>
                <w:p>
                  <w:pPr>
                    <w:pStyle w:val="37"/>
                  </w:pPr>
                  <w:r>
                    <w:t>&lt;0.005</w:t>
                  </w:r>
                </w:p>
              </w:tc>
              <w:tc>
                <w:tcPr>
                  <w:tcW w:w="1040" w:type="pct"/>
                  <w:vAlign w:val="center"/>
                </w:tcPr>
                <w:p>
                  <w:pPr>
                    <w:pStyle w:val="37"/>
                  </w:pPr>
                  <w:r>
                    <w:t>12</w:t>
                  </w:r>
                </w:p>
              </w:tc>
              <w:tc>
                <w:tcPr>
                  <w:tcW w:w="850" w:type="pct"/>
                  <w:vAlign w:val="center"/>
                </w:tcPr>
                <w:p>
                  <w:pPr>
                    <w:pStyle w:val="37"/>
                  </w:pPr>
                  <w:r>
                    <w:rPr>
                      <w:rFonts w:hint="eastAsia"/>
                    </w:rPr>
                    <w:t>28.8</w:t>
                  </w:r>
                </w:p>
              </w:tc>
              <w:tc>
                <w:tcPr>
                  <w:tcW w:w="580" w:type="pct"/>
                  <w:vAlign w:val="center"/>
                </w:tcPr>
                <w:p>
                  <w:pPr>
                    <w:pStyle w:val="37"/>
                    <w:ind w:firstLine="0" w:firstLineChars="0"/>
                  </w:pPr>
                  <w:r>
                    <w:rPr>
                      <w:rFonts w:hint="eastAsia"/>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第三次</w:t>
                  </w:r>
                </w:p>
              </w:tc>
              <w:tc>
                <w:tcPr>
                  <w:tcW w:w="350" w:type="pct"/>
                  <w:vAlign w:val="center"/>
                </w:tcPr>
                <w:p>
                  <w:pPr>
                    <w:pStyle w:val="37"/>
                  </w:pPr>
                  <w:r>
                    <w:t>0.220</w:t>
                  </w:r>
                </w:p>
              </w:tc>
              <w:tc>
                <w:tcPr>
                  <w:tcW w:w="234" w:type="pct"/>
                  <w:vAlign w:val="center"/>
                </w:tcPr>
                <w:p>
                  <w:pPr>
                    <w:pStyle w:val="37"/>
                  </w:pPr>
                  <w:r>
                    <w:t>0.12</w:t>
                  </w:r>
                </w:p>
              </w:tc>
              <w:tc>
                <w:tcPr>
                  <w:tcW w:w="350" w:type="pct"/>
                  <w:vAlign w:val="center"/>
                </w:tcPr>
                <w:p>
                  <w:pPr>
                    <w:pStyle w:val="37"/>
                  </w:pPr>
                  <w:r>
                    <w:t>&lt;0.005</w:t>
                  </w:r>
                </w:p>
              </w:tc>
              <w:tc>
                <w:tcPr>
                  <w:tcW w:w="1040" w:type="pct"/>
                  <w:vAlign w:val="center"/>
                </w:tcPr>
                <w:p>
                  <w:pPr>
                    <w:pStyle w:val="37"/>
                  </w:pPr>
                  <w:r>
                    <w:t>11</w:t>
                  </w:r>
                </w:p>
              </w:tc>
              <w:tc>
                <w:tcPr>
                  <w:tcW w:w="850" w:type="pct"/>
                  <w:vAlign w:val="center"/>
                </w:tcPr>
                <w:p>
                  <w:pPr>
                    <w:pStyle w:val="37"/>
                  </w:pPr>
                  <w:r>
                    <w:rPr>
                      <w:rFonts w:hint="eastAsia"/>
                    </w:rPr>
                    <w:t>38.3</w:t>
                  </w:r>
                </w:p>
              </w:tc>
              <w:tc>
                <w:tcPr>
                  <w:tcW w:w="580" w:type="pct"/>
                  <w:vAlign w:val="center"/>
                </w:tcPr>
                <w:p>
                  <w:pPr>
                    <w:pStyle w:val="37"/>
                    <w:ind w:firstLine="0" w:firstLineChars="0"/>
                  </w:pPr>
                  <w:r>
                    <w:rPr>
                      <w:rFonts w:hint="eastAsia"/>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rPr>
                      <w:rFonts w:hint="eastAsia"/>
                    </w:rPr>
                    <w:t>最大值</w:t>
                  </w:r>
                </w:p>
              </w:tc>
              <w:tc>
                <w:tcPr>
                  <w:tcW w:w="350" w:type="pct"/>
                  <w:vAlign w:val="center"/>
                </w:tcPr>
                <w:p>
                  <w:pPr>
                    <w:pStyle w:val="37"/>
                  </w:pPr>
                  <w:r>
                    <w:rPr>
                      <w:rFonts w:hint="eastAsia"/>
                    </w:rPr>
                    <w:t>0.238</w:t>
                  </w:r>
                </w:p>
              </w:tc>
              <w:tc>
                <w:tcPr>
                  <w:tcW w:w="234" w:type="pct"/>
                  <w:vAlign w:val="center"/>
                </w:tcPr>
                <w:p>
                  <w:pPr>
                    <w:pStyle w:val="37"/>
                  </w:pPr>
                  <w:r>
                    <w:rPr>
                      <w:rFonts w:hint="eastAsia"/>
                    </w:rPr>
                    <w:t>0.14</w:t>
                  </w:r>
                </w:p>
              </w:tc>
              <w:tc>
                <w:tcPr>
                  <w:tcW w:w="350" w:type="pct"/>
                  <w:vAlign w:val="center"/>
                </w:tcPr>
                <w:p>
                  <w:pPr>
                    <w:pStyle w:val="37"/>
                  </w:pPr>
                  <w:r>
                    <w:t>&lt;0.005</w:t>
                  </w:r>
                </w:p>
              </w:tc>
              <w:tc>
                <w:tcPr>
                  <w:tcW w:w="1040" w:type="pct"/>
                  <w:vAlign w:val="center"/>
                </w:tcPr>
                <w:p>
                  <w:pPr>
                    <w:pStyle w:val="37"/>
                  </w:pPr>
                  <w:r>
                    <w:rPr>
                      <w:rFonts w:hint="eastAsia"/>
                    </w:rPr>
                    <w:t>13</w:t>
                  </w:r>
                </w:p>
              </w:tc>
              <w:tc>
                <w:tcPr>
                  <w:tcW w:w="850" w:type="pct"/>
                  <w:vAlign w:val="center"/>
                </w:tcPr>
                <w:p>
                  <w:pPr>
                    <w:pStyle w:val="37"/>
                  </w:pPr>
                  <w:r>
                    <w:rPr>
                      <w:rFonts w:hint="eastAsia"/>
                    </w:rPr>
                    <w:t>38.3</w:t>
                  </w:r>
                </w:p>
              </w:tc>
              <w:tc>
                <w:tcPr>
                  <w:tcW w:w="580" w:type="pct"/>
                  <w:vAlign w:val="center"/>
                </w:tcPr>
                <w:p>
                  <w:pPr>
                    <w:pStyle w:val="37"/>
                    <w:ind w:firstLine="0" w:firstLineChars="0"/>
                  </w:pPr>
                  <w:r>
                    <w:rPr>
                      <w:rFonts w:hint="eastAsia"/>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restart"/>
                  <w:vAlign w:val="center"/>
                </w:tcPr>
                <w:p>
                  <w:pPr>
                    <w:pStyle w:val="37"/>
                  </w:pPr>
                  <w:r>
                    <w:t>厂界外下风向</w:t>
                  </w:r>
                  <w:r>
                    <w:rPr>
                      <w:rFonts w:hint="eastAsia"/>
                    </w:rPr>
                    <w:t>2</w:t>
                  </w:r>
                </w:p>
              </w:tc>
              <w:tc>
                <w:tcPr>
                  <w:tcW w:w="349" w:type="pct"/>
                  <w:vAlign w:val="center"/>
                </w:tcPr>
                <w:p>
                  <w:pPr>
                    <w:pStyle w:val="37"/>
                  </w:pPr>
                  <w:r>
                    <w:t>第一次</w:t>
                  </w:r>
                </w:p>
              </w:tc>
              <w:tc>
                <w:tcPr>
                  <w:tcW w:w="350" w:type="pct"/>
                  <w:vAlign w:val="center"/>
                </w:tcPr>
                <w:p>
                  <w:pPr>
                    <w:pStyle w:val="37"/>
                  </w:pPr>
                  <w:r>
                    <w:t>0.204</w:t>
                  </w:r>
                </w:p>
              </w:tc>
              <w:tc>
                <w:tcPr>
                  <w:tcW w:w="234" w:type="pct"/>
                  <w:vAlign w:val="center"/>
                </w:tcPr>
                <w:p>
                  <w:pPr>
                    <w:pStyle w:val="37"/>
                  </w:pPr>
                  <w:r>
                    <w:t>0.11</w:t>
                  </w:r>
                </w:p>
              </w:tc>
              <w:tc>
                <w:tcPr>
                  <w:tcW w:w="350" w:type="pct"/>
                  <w:vAlign w:val="center"/>
                </w:tcPr>
                <w:p>
                  <w:pPr>
                    <w:pStyle w:val="37"/>
                  </w:pPr>
                  <w:r>
                    <w:t>&lt;0.005</w:t>
                  </w:r>
                </w:p>
              </w:tc>
              <w:tc>
                <w:tcPr>
                  <w:tcW w:w="1040" w:type="pct"/>
                  <w:vAlign w:val="center"/>
                </w:tcPr>
                <w:p>
                  <w:pPr>
                    <w:pStyle w:val="37"/>
                  </w:pPr>
                  <w:r>
                    <w:t>10</w:t>
                  </w:r>
                </w:p>
              </w:tc>
              <w:tc>
                <w:tcPr>
                  <w:tcW w:w="850" w:type="pct"/>
                  <w:vAlign w:val="center"/>
                </w:tcPr>
                <w:p>
                  <w:pPr>
                    <w:pStyle w:val="37"/>
                  </w:pPr>
                  <w:r>
                    <w:rPr>
                      <w:rFonts w:hint="eastAsia"/>
                    </w:rPr>
                    <w:t>119</w:t>
                  </w:r>
                </w:p>
              </w:tc>
              <w:tc>
                <w:tcPr>
                  <w:tcW w:w="580" w:type="pct"/>
                  <w:vAlign w:val="center"/>
                </w:tcPr>
                <w:p>
                  <w:pPr>
                    <w:pStyle w:val="37"/>
                    <w:ind w:firstLine="0" w:firstLineChars="0"/>
                  </w:pPr>
                  <w:r>
                    <w:rPr>
                      <w:rFonts w:hint="eastAsia"/>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第二次</w:t>
                  </w:r>
                </w:p>
              </w:tc>
              <w:tc>
                <w:tcPr>
                  <w:tcW w:w="350" w:type="pct"/>
                  <w:vAlign w:val="center"/>
                </w:tcPr>
                <w:p>
                  <w:pPr>
                    <w:pStyle w:val="37"/>
                  </w:pPr>
                  <w:r>
                    <w:t>0.255</w:t>
                  </w:r>
                </w:p>
              </w:tc>
              <w:tc>
                <w:tcPr>
                  <w:tcW w:w="234" w:type="pct"/>
                  <w:vAlign w:val="center"/>
                </w:tcPr>
                <w:p>
                  <w:pPr>
                    <w:pStyle w:val="37"/>
                  </w:pPr>
                  <w:r>
                    <w:t>0.11</w:t>
                  </w:r>
                </w:p>
              </w:tc>
              <w:tc>
                <w:tcPr>
                  <w:tcW w:w="350" w:type="pct"/>
                  <w:vAlign w:val="center"/>
                </w:tcPr>
                <w:p>
                  <w:pPr>
                    <w:pStyle w:val="37"/>
                  </w:pPr>
                  <w:r>
                    <w:t>&lt;0.005</w:t>
                  </w:r>
                </w:p>
              </w:tc>
              <w:tc>
                <w:tcPr>
                  <w:tcW w:w="1040" w:type="pct"/>
                  <w:vAlign w:val="center"/>
                </w:tcPr>
                <w:p>
                  <w:pPr>
                    <w:pStyle w:val="37"/>
                  </w:pPr>
                  <w:r>
                    <w:t>12</w:t>
                  </w:r>
                </w:p>
              </w:tc>
              <w:tc>
                <w:tcPr>
                  <w:tcW w:w="850" w:type="pct"/>
                  <w:vAlign w:val="center"/>
                </w:tcPr>
                <w:p>
                  <w:pPr>
                    <w:pStyle w:val="37"/>
                  </w:pPr>
                  <w:r>
                    <w:rPr>
                      <w:rFonts w:hint="eastAsia"/>
                    </w:rPr>
                    <w:t>75.9</w:t>
                  </w:r>
                </w:p>
              </w:tc>
              <w:tc>
                <w:tcPr>
                  <w:tcW w:w="580" w:type="pct"/>
                  <w:vAlign w:val="center"/>
                </w:tcPr>
                <w:p>
                  <w:pPr>
                    <w:pStyle w:val="37"/>
                    <w:ind w:firstLine="0" w:firstLineChars="0"/>
                  </w:pPr>
                  <w:r>
                    <w:rPr>
                      <w:rFonts w:hint="eastAsia"/>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第三次</w:t>
                  </w:r>
                </w:p>
              </w:tc>
              <w:tc>
                <w:tcPr>
                  <w:tcW w:w="350" w:type="pct"/>
                  <w:vAlign w:val="center"/>
                </w:tcPr>
                <w:p>
                  <w:pPr>
                    <w:pStyle w:val="37"/>
                  </w:pPr>
                  <w:r>
                    <w:t>0.187</w:t>
                  </w:r>
                </w:p>
              </w:tc>
              <w:tc>
                <w:tcPr>
                  <w:tcW w:w="234" w:type="pct"/>
                  <w:vAlign w:val="center"/>
                </w:tcPr>
                <w:p>
                  <w:pPr>
                    <w:pStyle w:val="37"/>
                  </w:pPr>
                  <w:r>
                    <w:t>0.13</w:t>
                  </w:r>
                </w:p>
              </w:tc>
              <w:tc>
                <w:tcPr>
                  <w:tcW w:w="350" w:type="pct"/>
                  <w:vAlign w:val="center"/>
                </w:tcPr>
                <w:p>
                  <w:pPr>
                    <w:pStyle w:val="37"/>
                  </w:pPr>
                  <w:r>
                    <w:t>&lt;0.005</w:t>
                  </w:r>
                </w:p>
              </w:tc>
              <w:tc>
                <w:tcPr>
                  <w:tcW w:w="1040" w:type="pct"/>
                  <w:vAlign w:val="center"/>
                </w:tcPr>
                <w:p>
                  <w:pPr>
                    <w:pStyle w:val="37"/>
                  </w:pPr>
                  <w:r>
                    <w:t>11</w:t>
                  </w:r>
                </w:p>
              </w:tc>
              <w:tc>
                <w:tcPr>
                  <w:tcW w:w="850" w:type="pct"/>
                  <w:vAlign w:val="center"/>
                </w:tcPr>
                <w:p>
                  <w:pPr>
                    <w:pStyle w:val="37"/>
                  </w:pPr>
                  <w:r>
                    <w:rPr>
                      <w:rFonts w:hint="eastAsia"/>
                    </w:rPr>
                    <w:t>69.9</w:t>
                  </w:r>
                </w:p>
              </w:tc>
              <w:tc>
                <w:tcPr>
                  <w:tcW w:w="580" w:type="pct"/>
                  <w:vAlign w:val="center"/>
                </w:tcPr>
                <w:p>
                  <w:pPr>
                    <w:pStyle w:val="37"/>
                    <w:ind w:firstLine="0" w:firstLineChars="0"/>
                  </w:pPr>
                  <w:r>
                    <w:rPr>
                      <w:rFonts w:hint="eastAsi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rPr>
                      <w:rFonts w:hint="eastAsia"/>
                    </w:rPr>
                    <w:t>最大值</w:t>
                  </w:r>
                </w:p>
              </w:tc>
              <w:tc>
                <w:tcPr>
                  <w:tcW w:w="350" w:type="pct"/>
                  <w:vAlign w:val="center"/>
                </w:tcPr>
                <w:p>
                  <w:pPr>
                    <w:pStyle w:val="37"/>
                  </w:pPr>
                  <w:r>
                    <w:rPr>
                      <w:rFonts w:hint="eastAsia"/>
                    </w:rPr>
                    <w:t>0.255</w:t>
                  </w:r>
                </w:p>
              </w:tc>
              <w:tc>
                <w:tcPr>
                  <w:tcW w:w="234" w:type="pct"/>
                  <w:vAlign w:val="center"/>
                </w:tcPr>
                <w:p>
                  <w:pPr>
                    <w:pStyle w:val="37"/>
                  </w:pPr>
                  <w:r>
                    <w:rPr>
                      <w:rFonts w:hint="eastAsia"/>
                    </w:rPr>
                    <w:t>0.13</w:t>
                  </w:r>
                </w:p>
              </w:tc>
              <w:tc>
                <w:tcPr>
                  <w:tcW w:w="350" w:type="pct"/>
                  <w:vAlign w:val="center"/>
                </w:tcPr>
                <w:p>
                  <w:pPr>
                    <w:pStyle w:val="37"/>
                  </w:pPr>
                  <w:r>
                    <w:t>&lt;0.005</w:t>
                  </w:r>
                </w:p>
              </w:tc>
              <w:tc>
                <w:tcPr>
                  <w:tcW w:w="1040" w:type="pct"/>
                  <w:vAlign w:val="center"/>
                </w:tcPr>
                <w:p>
                  <w:pPr>
                    <w:pStyle w:val="37"/>
                  </w:pPr>
                  <w:r>
                    <w:rPr>
                      <w:rFonts w:hint="eastAsia"/>
                    </w:rPr>
                    <w:t>12</w:t>
                  </w:r>
                </w:p>
              </w:tc>
              <w:tc>
                <w:tcPr>
                  <w:tcW w:w="850" w:type="pct"/>
                  <w:vAlign w:val="center"/>
                </w:tcPr>
                <w:p>
                  <w:pPr>
                    <w:pStyle w:val="37"/>
                  </w:pPr>
                  <w:r>
                    <w:rPr>
                      <w:rFonts w:hint="eastAsia"/>
                    </w:rPr>
                    <w:t>75.9</w:t>
                  </w:r>
                </w:p>
              </w:tc>
              <w:tc>
                <w:tcPr>
                  <w:tcW w:w="580" w:type="pct"/>
                  <w:vAlign w:val="center"/>
                </w:tcPr>
                <w:p>
                  <w:pPr>
                    <w:pStyle w:val="37"/>
                    <w:ind w:firstLine="0" w:firstLineChars="0"/>
                  </w:pPr>
                  <w:r>
                    <w:rPr>
                      <w:rFonts w:hint="eastAsia"/>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restart"/>
                  <w:vAlign w:val="center"/>
                </w:tcPr>
                <w:p>
                  <w:pPr>
                    <w:pStyle w:val="37"/>
                  </w:pPr>
                  <w:r>
                    <w:t>厂界外下风向</w:t>
                  </w:r>
                  <w:r>
                    <w:rPr>
                      <w:rFonts w:hint="eastAsia"/>
                    </w:rPr>
                    <w:t>3</w:t>
                  </w:r>
                </w:p>
              </w:tc>
              <w:tc>
                <w:tcPr>
                  <w:tcW w:w="349" w:type="pct"/>
                  <w:vAlign w:val="center"/>
                </w:tcPr>
                <w:p>
                  <w:pPr>
                    <w:pStyle w:val="37"/>
                  </w:pPr>
                  <w:r>
                    <w:t>第一次</w:t>
                  </w:r>
                </w:p>
              </w:tc>
              <w:tc>
                <w:tcPr>
                  <w:tcW w:w="350" w:type="pct"/>
                  <w:vAlign w:val="center"/>
                </w:tcPr>
                <w:p>
                  <w:pPr>
                    <w:pStyle w:val="37"/>
                  </w:pPr>
                  <w:r>
                    <w:t>0.221</w:t>
                  </w:r>
                </w:p>
              </w:tc>
              <w:tc>
                <w:tcPr>
                  <w:tcW w:w="234" w:type="pct"/>
                  <w:vAlign w:val="center"/>
                </w:tcPr>
                <w:p>
                  <w:pPr>
                    <w:pStyle w:val="37"/>
                  </w:pPr>
                  <w:r>
                    <w:t>0.14</w:t>
                  </w:r>
                </w:p>
              </w:tc>
              <w:tc>
                <w:tcPr>
                  <w:tcW w:w="350" w:type="pct"/>
                  <w:vAlign w:val="center"/>
                </w:tcPr>
                <w:p>
                  <w:pPr>
                    <w:pStyle w:val="37"/>
                  </w:pPr>
                  <w:r>
                    <w:t>&lt;0.005</w:t>
                  </w:r>
                </w:p>
              </w:tc>
              <w:tc>
                <w:tcPr>
                  <w:tcW w:w="1040" w:type="pct"/>
                  <w:vAlign w:val="center"/>
                </w:tcPr>
                <w:p>
                  <w:pPr>
                    <w:pStyle w:val="37"/>
                  </w:pPr>
                  <w:r>
                    <w:t>12</w:t>
                  </w:r>
                </w:p>
              </w:tc>
              <w:tc>
                <w:tcPr>
                  <w:tcW w:w="850" w:type="pct"/>
                  <w:vAlign w:val="center"/>
                </w:tcPr>
                <w:p>
                  <w:pPr>
                    <w:pStyle w:val="37"/>
                  </w:pPr>
                  <w:r>
                    <w:rPr>
                      <w:rFonts w:hint="eastAsia"/>
                    </w:rPr>
                    <w:t>67.4</w:t>
                  </w:r>
                </w:p>
              </w:tc>
              <w:tc>
                <w:tcPr>
                  <w:tcW w:w="580" w:type="pct"/>
                  <w:vAlign w:val="center"/>
                </w:tcPr>
                <w:p>
                  <w:pPr>
                    <w:pStyle w:val="37"/>
                    <w:ind w:firstLine="0" w:firstLineChars="0"/>
                  </w:pPr>
                  <w:r>
                    <w:rPr>
                      <w:rFonts w:hint="eastAsia"/>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第二次</w:t>
                  </w:r>
                </w:p>
              </w:tc>
              <w:tc>
                <w:tcPr>
                  <w:tcW w:w="350" w:type="pct"/>
                  <w:vAlign w:val="center"/>
                </w:tcPr>
                <w:p>
                  <w:pPr>
                    <w:pStyle w:val="37"/>
                  </w:pPr>
                  <w:r>
                    <w:t>0.204</w:t>
                  </w:r>
                </w:p>
              </w:tc>
              <w:tc>
                <w:tcPr>
                  <w:tcW w:w="234" w:type="pct"/>
                  <w:vAlign w:val="center"/>
                </w:tcPr>
                <w:p>
                  <w:pPr>
                    <w:pStyle w:val="37"/>
                  </w:pPr>
                  <w:r>
                    <w:t>0.11</w:t>
                  </w:r>
                </w:p>
              </w:tc>
              <w:tc>
                <w:tcPr>
                  <w:tcW w:w="350" w:type="pct"/>
                  <w:vAlign w:val="center"/>
                </w:tcPr>
                <w:p>
                  <w:pPr>
                    <w:pStyle w:val="37"/>
                  </w:pPr>
                  <w:r>
                    <w:t>&lt;0.005</w:t>
                  </w:r>
                </w:p>
              </w:tc>
              <w:tc>
                <w:tcPr>
                  <w:tcW w:w="1040" w:type="pct"/>
                  <w:vAlign w:val="center"/>
                </w:tcPr>
                <w:p>
                  <w:pPr>
                    <w:pStyle w:val="37"/>
                  </w:pPr>
                  <w:r>
                    <w:t>11</w:t>
                  </w:r>
                </w:p>
              </w:tc>
              <w:tc>
                <w:tcPr>
                  <w:tcW w:w="850" w:type="pct"/>
                  <w:vAlign w:val="center"/>
                </w:tcPr>
                <w:p>
                  <w:pPr>
                    <w:pStyle w:val="37"/>
                  </w:pPr>
                  <w:r>
                    <w:rPr>
                      <w:rFonts w:hint="eastAsia"/>
                    </w:rPr>
                    <w:t>86.2</w:t>
                  </w:r>
                </w:p>
              </w:tc>
              <w:tc>
                <w:tcPr>
                  <w:tcW w:w="580" w:type="pct"/>
                  <w:vAlign w:val="center"/>
                </w:tcPr>
                <w:p>
                  <w:pPr>
                    <w:pStyle w:val="37"/>
                    <w:ind w:firstLine="0" w:firstLineChars="0"/>
                  </w:pPr>
                  <w:r>
                    <w:rPr>
                      <w:rFonts w:hint="eastAsia"/>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第三次</w:t>
                  </w:r>
                </w:p>
              </w:tc>
              <w:tc>
                <w:tcPr>
                  <w:tcW w:w="350" w:type="pct"/>
                  <w:vAlign w:val="center"/>
                </w:tcPr>
                <w:p>
                  <w:pPr>
                    <w:pStyle w:val="37"/>
                  </w:pPr>
                  <w:r>
                    <w:t>0.204</w:t>
                  </w:r>
                </w:p>
              </w:tc>
              <w:tc>
                <w:tcPr>
                  <w:tcW w:w="234" w:type="pct"/>
                  <w:vAlign w:val="center"/>
                </w:tcPr>
                <w:p>
                  <w:pPr>
                    <w:pStyle w:val="37"/>
                  </w:pPr>
                  <w:r>
                    <w:t>0.10</w:t>
                  </w:r>
                </w:p>
              </w:tc>
              <w:tc>
                <w:tcPr>
                  <w:tcW w:w="350" w:type="pct"/>
                  <w:vAlign w:val="center"/>
                </w:tcPr>
                <w:p>
                  <w:pPr>
                    <w:pStyle w:val="37"/>
                  </w:pPr>
                  <w:r>
                    <w:t>&lt;0.005</w:t>
                  </w:r>
                </w:p>
              </w:tc>
              <w:tc>
                <w:tcPr>
                  <w:tcW w:w="1040" w:type="pct"/>
                  <w:vAlign w:val="center"/>
                </w:tcPr>
                <w:p>
                  <w:pPr>
                    <w:pStyle w:val="37"/>
                  </w:pPr>
                  <w:r>
                    <w:t>10</w:t>
                  </w:r>
                </w:p>
              </w:tc>
              <w:tc>
                <w:tcPr>
                  <w:tcW w:w="850" w:type="pct"/>
                  <w:vAlign w:val="center"/>
                </w:tcPr>
                <w:p>
                  <w:pPr>
                    <w:pStyle w:val="37"/>
                  </w:pPr>
                  <w:r>
                    <w:rPr>
                      <w:rFonts w:hint="eastAsia"/>
                    </w:rPr>
                    <w:t>86.2</w:t>
                  </w:r>
                </w:p>
              </w:tc>
              <w:tc>
                <w:tcPr>
                  <w:tcW w:w="580" w:type="pct"/>
                  <w:vAlign w:val="center"/>
                </w:tcPr>
                <w:p>
                  <w:pPr>
                    <w:pStyle w:val="37"/>
                    <w:ind w:firstLine="0" w:firstLineChars="0"/>
                  </w:pPr>
                  <w:r>
                    <w:rPr>
                      <w:rFonts w:hint="eastAsia"/>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rPr>
                      <w:rFonts w:hint="eastAsia"/>
                    </w:rPr>
                    <w:t>最大值</w:t>
                  </w:r>
                </w:p>
              </w:tc>
              <w:tc>
                <w:tcPr>
                  <w:tcW w:w="350" w:type="pct"/>
                  <w:vAlign w:val="center"/>
                </w:tcPr>
                <w:p>
                  <w:pPr>
                    <w:pStyle w:val="37"/>
                  </w:pPr>
                  <w:r>
                    <w:rPr>
                      <w:rFonts w:hint="eastAsia"/>
                    </w:rPr>
                    <w:t>0.221</w:t>
                  </w:r>
                </w:p>
              </w:tc>
              <w:tc>
                <w:tcPr>
                  <w:tcW w:w="234" w:type="pct"/>
                  <w:vAlign w:val="center"/>
                </w:tcPr>
                <w:p>
                  <w:pPr>
                    <w:pStyle w:val="37"/>
                  </w:pPr>
                  <w:r>
                    <w:rPr>
                      <w:rFonts w:hint="eastAsia"/>
                    </w:rPr>
                    <w:t>0.14</w:t>
                  </w:r>
                </w:p>
              </w:tc>
              <w:tc>
                <w:tcPr>
                  <w:tcW w:w="350" w:type="pct"/>
                  <w:vAlign w:val="center"/>
                </w:tcPr>
                <w:p>
                  <w:pPr>
                    <w:pStyle w:val="37"/>
                  </w:pPr>
                  <w:r>
                    <w:t>&lt;0.005</w:t>
                  </w:r>
                </w:p>
              </w:tc>
              <w:tc>
                <w:tcPr>
                  <w:tcW w:w="1040" w:type="pct"/>
                  <w:vAlign w:val="center"/>
                </w:tcPr>
                <w:p>
                  <w:pPr>
                    <w:pStyle w:val="37"/>
                  </w:pPr>
                  <w:r>
                    <w:rPr>
                      <w:rFonts w:hint="eastAsia"/>
                    </w:rPr>
                    <w:t>12</w:t>
                  </w:r>
                </w:p>
              </w:tc>
              <w:tc>
                <w:tcPr>
                  <w:tcW w:w="850" w:type="pct"/>
                  <w:vAlign w:val="center"/>
                </w:tcPr>
                <w:p>
                  <w:pPr>
                    <w:pStyle w:val="37"/>
                  </w:pPr>
                  <w:r>
                    <w:rPr>
                      <w:rFonts w:hint="eastAsia"/>
                    </w:rPr>
                    <w:t>86.2</w:t>
                  </w:r>
                </w:p>
              </w:tc>
              <w:tc>
                <w:tcPr>
                  <w:tcW w:w="580" w:type="pct"/>
                  <w:vAlign w:val="center"/>
                </w:tcPr>
                <w:p>
                  <w:pPr>
                    <w:pStyle w:val="37"/>
                    <w:ind w:firstLine="0" w:firstLineChars="0"/>
                  </w:pPr>
                  <w:r>
                    <w:rPr>
                      <w:rFonts w:hint="eastAsia"/>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restart"/>
                  <w:vAlign w:val="center"/>
                </w:tcPr>
                <w:p>
                  <w:pPr>
                    <w:pStyle w:val="37"/>
                  </w:pPr>
                  <w:r>
                    <w:rPr>
                      <w:rFonts w:hint="eastAsia"/>
                    </w:rPr>
                    <w:t>第二天</w:t>
                  </w:r>
                </w:p>
              </w:tc>
              <w:tc>
                <w:tcPr>
                  <w:tcW w:w="777" w:type="pct"/>
                  <w:vMerge w:val="restart"/>
                  <w:vAlign w:val="center"/>
                </w:tcPr>
                <w:p>
                  <w:pPr>
                    <w:pStyle w:val="37"/>
                  </w:pPr>
                  <w:r>
                    <w:t>厂界外上风向</w:t>
                  </w:r>
                </w:p>
              </w:tc>
              <w:tc>
                <w:tcPr>
                  <w:tcW w:w="349" w:type="pct"/>
                  <w:vAlign w:val="center"/>
                </w:tcPr>
                <w:p>
                  <w:pPr>
                    <w:pStyle w:val="37"/>
                  </w:pPr>
                  <w:r>
                    <w:t>第一次</w:t>
                  </w:r>
                </w:p>
              </w:tc>
              <w:tc>
                <w:tcPr>
                  <w:tcW w:w="350" w:type="pct"/>
                  <w:vAlign w:val="center"/>
                </w:tcPr>
                <w:p>
                  <w:pPr>
                    <w:pStyle w:val="37"/>
                  </w:pPr>
                  <w:r>
                    <w:t>0.117</w:t>
                  </w:r>
                </w:p>
              </w:tc>
              <w:tc>
                <w:tcPr>
                  <w:tcW w:w="234" w:type="pct"/>
                  <w:vAlign w:val="center"/>
                </w:tcPr>
                <w:p>
                  <w:pPr>
                    <w:pStyle w:val="37"/>
                  </w:pPr>
                  <w:r>
                    <w:t>0.13</w:t>
                  </w:r>
                </w:p>
              </w:tc>
              <w:tc>
                <w:tcPr>
                  <w:tcW w:w="350" w:type="pct"/>
                  <w:vAlign w:val="center"/>
                </w:tcPr>
                <w:p>
                  <w:pPr>
                    <w:pStyle w:val="37"/>
                  </w:pPr>
                  <w:r>
                    <w:t>&lt;0.005</w:t>
                  </w:r>
                </w:p>
              </w:tc>
              <w:tc>
                <w:tcPr>
                  <w:tcW w:w="1040" w:type="pct"/>
                  <w:vAlign w:val="center"/>
                </w:tcPr>
                <w:p>
                  <w:pPr>
                    <w:pStyle w:val="37"/>
                  </w:pPr>
                  <w:r>
                    <w:t>11</w:t>
                  </w:r>
                </w:p>
              </w:tc>
              <w:tc>
                <w:tcPr>
                  <w:tcW w:w="850" w:type="pct"/>
                  <w:vAlign w:val="center"/>
                </w:tcPr>
                <w:p>
                  <w:pPr>
                    <w:pStyle w:val="37"/>
                  </w:pPr>
                  <w:r>
                    <w:rPr>
                      <w:rFonts w:hint="eastAsia"/>
                    </w:rPr>
                    <w:t>28.2</w:t>
                  </w:r>
                </w:p>
              </w:tc>
              <w:tc>
                <w:tcPr>
                  <w:tcW w:w="580" w:type="pct"/>
                  <w:vAlign w:val="center"/>
                </w:tcPr>
                <w:p>
                  <w:pPr>
                    <w:pStyle w:val="37"/>
                    <w:ind w:firstLine="0" w:firstLineChars="0"/>
                  </w:pPr>
                  <w:r>
                    <w:rPr>
                      <w:rFonts w:hint="eastAsi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第二次</w:t>
                  </w:r>
                </w:p>
              </w:tc>
              <w:tc>
                <w:tcPr>
                  <w:tcW w:w="350" w:type="pct"/>
                  <w:vAlign w:val="center"/>
                </w:tcPr>
                <w:p>
                  <w:pPr>
                    <w:pStyle w:val="37"/>
                  </w:pPr>
                  <w:r>
                    <w:t>0.100</w:t>
                  </w:r>
                </w:p>
              </w:tc>
              <w:tc>
                <w:tcPr>
                  <w:tcW w:w="234" w:type="pct"/>
                  <w:vAlign w:val="center"/>
                </w:tcPr>
                <w:p>
                  <w:pPr>
                    <w:pStyle w:val="37"/>
                  </w:pPr>
                  <w:r>
                    <w:t>0.15</w:t>
                  </w:r>
                </w:p>
              </w:tc>
              <w:tc>
                <w:tcPr>
                  <w:tcW w:w="350" w:type="pct"/>
                  <w:vAlign w:val="center"/>
                </w:tcPr>
                <w:p>
                  <w:pPr>
                    <w:pStyle w:val="37"/>
                  </w:pPr>
                  <w:r>
                    <w:t>&lt;0.005</w:t>
                  </w:r>
                </w:p>
              </w:tc>
              <w:tc>
                <w:tcPr>
                  <w:tcW w:w="1040" w:type="pct"/>
                  <w:vAlign w:val="center"/>
                </w:tcPr>
                <w:p>
                  <w:pPr>
                    <w:pStyle w:val="37"/>
                  </w:pPr>
                  <w:r>
                    <w:t>12</w:t>
                  </w:r>
                </w:p>
              </w:tc>
              <w:tc>
                <w:tcPr>
                  <w:tcW w:w="850" w:type="pct"/>
                  <w:vAlign w:val="center"/>
                </w:tcPr>
                <w:p>
                  <w:pPr>
                    <w:pStyle w:val="37"/>
                  </w:pPr>
                  <w:r>
                    <w:rPr>
                      <w:rFonts w:hint="eastAsia"/>
                    </w:rPr>
                    <w:t>27.6</w:t>
                  </w:r>
                </w:p>
              </w:tc>
              <w:tc>
                <w:tcPr>
                  <w:tcW w:w="580" w:type="pct"/>
                  <w:vAlign w:val="center"/>
                </w:tcPr>
                <w:p>
                  <w:pPr>
                    <w:pStyle w:val="37"/>
                    <w:ind w:firstLine="0" w:firstLineChars="0"/>
                  </w:pPr>
                  <w:r>
                    <w:rPr>
                      <w:rFonts w:hint="eastAsi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第三次</w:t>
                  </w:r>
                </w:p>
              </w:tc>
              <w:tc>
                <w:tcPr>
                  <w:tcW w:w="350" w:type="pct"/>
                  <w:vAlign w:val="center"/>
                </w:tcPr>
                <w:p>
                  <w:pPr>
                    <w:pStyle w:val="37"/>
                  </w:pPr>
                  <w:r>
                    <w:t>0.134</w:t>
                  </w:r>
                </w:p>
              </w:tc>
              <w:tc>
                <w:tcPr>
                  <w:tcW w:w="234" w:type="pct"/>
                  <w:vAlign w:val="center"/>
                </w:tcPr>
                <w:p>
                  <w:pPr>
                    <w:pStyle w:val="37"/>
                  </w:pPr>
                  <w:r>
                    <w:t>0.10</w:t>
                  </w:r>
                </w:p>
              </w:tc>
              <w:tc>
                <w:tcPr>
                  <w:tcW w:w="350" w:type="pct"/>
                  <w:vAlign w:val="center"/>
                </w:tcPr>
                <w:p>
                  <w:pPr>
                    <w:pStyle w:val="37"/>
                  </w:pPr>
                  <w:r>
                    <w:t>&lt;0.005</w:t>
                  </w:r>
                </w:p>
              </w:tc>
              <w:tc>
                <w:tcPr>
                  <w:tcW w:w="1040" w:type="pct"/>
                  <w:vAlign w:val="center"/>
                </w:tcPr>
                <w:p>
                  <w:pPr>
                    <w:pStyle w:val="37"/>
                  </w:pPr>
                  <w:r>
                    <w:t>10</w:t>
                  </w:r>
                </w:p>
              </w:tc>
              <w:tc>
                <w:tcPr>
                  <w:tcW w:w="850" w:type="pct"/>
                  <w:vAlign w:val="center"/>
                </w:tcPr>
                <w:p>
                  <w:pPr>
                    <w:pStyle w:val="37"/>
                  </w:pPr>
                  <w:r>
                    <w:rPr>
                      <w:rFonts w:hint="eastAsia"/>
                    </w:rPr>
                    <w:t>26.1</w:t>
                  </w:r>
                </w:p>
              </w:tc>
              <w:tc>
                <w:tcPr>
                  <w:tcW w:w="580" w:type="pct"/>
                  <w:vAlign w:val="center"/>
                </w:tcPr>
                <w:p>
                  <w:pPr>
                    <w:pStyle w:val="37"/>
                    <w:ind w:firstLine="0" w:firstLineChars="0"/>
                  </w:pPr>
                  <w:r>
                    <w:rPr>
                      <w:rFonts w:hint="eastAsi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rPr>
                      <w:rFonts w:hint="eastAsia"/>
                    </w:rPr>
                    <w:t>最大值</w:t>
                  </w:r>
                </w:p>
              </w:tc>
              <w:tc>
                <w:tcPr>
                  <w:tcW w:w="350" w:type="pct"/>
                  <w:vAlign w:val="center"/>
                </w:tcPr>
                <w:p>
                  <w:pPr>
                    <w:pStyle w:val="37"/>
                  </w:pPr>
                  <w:r>
                    <w:rPr>
                      <w:rFonts w:hint="eastAsia"/>
                    </w:rPr>
                    <w:t>0.134</w:t>
                  </w:r>
                </w:p>
              </w:tc>
              <w:tc>
                <w:tcPr>
                  <w:tcW w:w="234" w:type="pct"/>
                  <w:vAlign w:val="center"/>
                </w:tcPr>
                <w:p>
                  <w:pPr>
                    <w:pStyle w:val="37"/>
                  </w:pPr>
                  <w:r>
                    <w:rPr>
                      <w:rFonts w:hint="eastAsia"/>
                    </w:rPr>
                    <w:t>0.15</w:t>
                  </w:r>
                </w:p>
              </w:tc>
              <w:tc>
                <w:tcPr>
                  <w:tcW w:w="350" w:type="pct"/>
                  <w:vAlign w:val="center"/>
                </w:tcPr>
                <w:p>
                  <w:pPr>
                    <w:pStyle w:val="37"/>
                  </w:pPr>
                  <w:r>
                    <w:t>&lt;0.005</w:t>
                  </w:r>
                </w:p>
              </w:tc>
              <w:tc>
                <w:tcPr>
                  <w:tcW w:w="1040" w:type="pct"/>
                  <w:vAlign w:val="center"/>
                </w:tcPr>
                <w:p>
                  <w:pPr>
                    <w:pStyle w:val="37"/>
                  </w:pPr>
                  <w:r>
                    <w:rPr>
                      <w:rFonts w:hint="eastAsia"/>
                    </w:rPr>
                    <w:t>12</w:t>
                  </w:r>
                </w:p>
              </w:tc>
              <w:tc>
                <w:tcPr>
                  <w:tcW w:w="850" w:type="pct"/>
                  <w:vAlign w:val="center"/>
                </w:tcPr>
                <w:p>
                  <w:pPr>
                    <w:pStyle w:val="37"/>
                  </w:pPr>
                  <w:r>
                    <w:rPr>
                      <w:rFonts w:hint="eastAsia"/>
                    </w:rPr>
                    <w:t>28.2</w:t>
                  </w:r>
                </w:p>
              </w:tc>
              <w:tc>
                <w:tcPr>
                  <w:tcW w:w="580" w:type="pct"/>
                  <w:vAlign w:val="center"/>
                </w:tcPr>
                <w:p>
                  <w:pPr>
                    <w:pStyle w:val="37"/>
                    <w:ind w:firstLine="0" w:firstLineChars="0"/>
                  </w:pPr>
                  <w:r>
                    <w:rPr>
                      <w:rFonts w:hint="eastAsi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restart"/>
                  <w:vAlign w:val="center"/>
                </w:tcPr>
                <w:p>
                  <w:pPr>
                    <w:pStyle w:val="37"/>
                  </w:pPr>
                  <w:r>
                    <w:t>厂界外下风向</w:t>
                  </w:r>
                  <w:r>
                    <w:rPr>
                      <w:rFonts w:hint="eastAsia"/>
                    </w:rPr>
                    <w:t>1</w:t>
                  </w:r>
                </w:p>
              </w:tc>
              <w:tc>
                <w:tcPr>
                  <w:tcW w:w="349" w:type="pct"/>
                  <w:vAlign w:val="center"/>
                </w:tcPr>
                <w:p>
                  <w:pPr>
                    <w:pStyle w:val="37"/>
                  </w:pPr>
                  <w:r>
                    <w:t>第一次</w:t>
                  </w:r>
                </w:p>
              </w:tc>
              <w:tc>
                <w:tcPr>
                  <w:tcW w:w="350" w:type="pct"/>
                </w:tcPr>
                <w:p>
                  <w:pPr>
                    <w:pStyle w:val="37"/>
                  </w:pPr>
                  <w:r>
                    <w:t>0.204</w:t>
                  </w:r>
                </w:p>
              </w:tc>
              <w:tc>
                <w:tcPr>
                  <w:tcW w:w="234" w:type="pct"/>
                </w:tcPr>
                <w:p>
                  <w:pPr>
                    <w:pStyle w:val="37"/>
                  </w:pPr>
                  <w:r>
                    <w:t>0.12</w:t>
                  </w:r>
                </w:p>
              </w:tc>
              <w:tc>
                <w:tcPr>
                  <w:tcW w:w="350" w:type="pct"/>
                </w:tcPr>
                <w:p>
                  <w:pPr>
                    <w:pStyle w:val="37"/>
                  </w:pPr>
                  <w:r>
                    <w:t>&lt;0.005</w:t>
                  </w:r>
                </w:p>
              </w:tc>
              <w:tc>
                <w:tcPr>
                  <w:tcW w:w="1040" w:type="pct"/>
                </w:tcPr>
                <w:p>
                  <w:pPr>
                    <w:pStyle w:val="37"/>
                  </w:pPr>
                  <w:r>
                    <w:t>10</w:t>
                  </w:r>
                </w:p>
              </w:tc>
              <w:tc>
                <w:tcPr>
                  <w:tcW w:w="850" w:type="pct"/>
                </w:tcPr>
                <w:p>
                  <w:pPr>
                    <w:pStyle w:val="37"/>
                  </w:pPr>
                  <w:r>
                    <w:rPr>
                      <w:rFonts w:hint="eastAsia"/>
                    </w:rPr>
                    <w:t>49</w:t>
                  </w:r>
                </w:p>
              </w:tc>
              <w:tc>
                <w:tcPr>
                  <w:tcW w:w="580" w:type="pct"/>
                  <w:vAlign w:val="top"/>
                </w:tcPr>
                <w:p>
                  <w:pPr>
                    <w:pStyle w:val="37"/>
                    <w:ind w:firstLine="0" w:firstLineChars="0"/>
                  </w:pPr>
                  <w:r>
                    <w:rPr>
                      <w:rFonts w:hint="eastAsia"/>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第二次</w:t>
                  </w:r>
                </w:p>
              </w:tc>
              <w:tc>
                <w:tcPr>
                  <w:tcW w:w="350" w:type="pct"/>
                </w:tcPr>
                <w:p>
                  <w:pPr>
                    <w:pStyle w:val="37"/>
                  </w:pPr>
                  <w:r>
                    <w:t>0.238</w:t>
                  </w:r>
                </w:p>
              </w:tc>
              <w:tc>
                <w:tcPr>
                  <w:tcW w:w="234" w:type="pct"/>
                </w:tcPr>
                <w:p>
                  <w:pPr>
                    <w:pStyle w:val="37"/>
                  </w:pPr>
                  <w:r>
                    <w:t>0.09</w:t>
                  </w:r>
                </w:p>
              </w:tc>
              <w:tc>
                <w:tcPr>
                  <w:tcW w:w="350" w:type="pct"/>
                </w:tcPr>
                <w:p>
                  <w:pPr>
                    <w:pStyle w:val="37"/>
                  </w:pPr>
                  <w:r>
                    <w:t>&lt;0.005</w:t>
                  </w:r>
                </w:p>
              </w:tc>
              <w:tc>
                <w:tcPr>
                  <w:tcW w:w="1040" w:type="pct"/>
                </w:tcPr>
                <w:p>
                  <w:pPr>
                    <w:pStyle w:val="37"/>
                  </w:pPr>
                  <w:r>
                    <w:t>12</w:t>
                  </w:r>
                </w:p>
              </w:tc>
              <w:tc>
                <w:tcPr>
                  <w:tcW w:w="850" w:type="pct"/>
                </w:tcPr>
                <w:p>
                  <w:pPr>
                    <w:pStyle w:val="37"/>
                  </w:pPr>
                  <w:r>
                    <w:rPr>
                      <w:rFonts w:hint="eastAsia"/>
                    </w:rPr>
                    <w:t>67.6</w:t>
                  </w:r>
                </w:p>
              </w:tc>
              <w:tc>
                <w:tcPr>
                  <w:tcW w:w="580" w:type="pct"/>
                  <w:vAlign w:val="top"/>
                </w:tcPr>
                <w:p>
                  <w:pPr>
                    <w:pStyle w:val="37"/>
                    <w:ind w:firstLine="0" w:firstLineChars="0"/>
                  </w:pPr>
                  <w:r>
                    <w:rPr>
                      <w:rFonts w:hint="eastAsia"/>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第三次</w:t>
                  </w:r>
                </w:p>
              </w:tc>
              <w:tc>
                <w:tcPr>
                  <w:tcW w:w="350" w:type="pct"/>
                </w:tcPr>
                <w:p>
                  <w:pPr>
                    <w:pStyle w:val="37"/>
                  </w:pPr>
                  <w:r>
                    <w:t>0.187</w:t>
                  </w:r>
                </w:p>
              </w:tc>
              <w:tc>
                <w:tcPr>
                  <w:tcW w:w="234" w:type="pct"/>
                </w:tcPr>
                <w:p>
                  <w:pPr>
                    <w:pStyle w:val="37"/>
                  </w:pPr>
                  <w:r>
                    <w:t>0.13</w:t>
                  </w:r>
                </w:p>
              </w:tc>
              <w:tc>
                <w:tcPr>
                  <w:tcW w:w="350" w:type="pct"/>
                </w:tcPr>
                <w:p>
                  <w:pPr>
                    <w:pStyle w:val="37"/>
                  </w:pPr>
                  <w:r>
                    <w:t>&lt;0.005</w:t>
                  </w:r>
                </w:p>
              </w:tc>
              <w:tc>
                <w:tcPr>
                  <w:tcW w:w="1040" w:type="pct"/>
                </w:tcPr>
                <w:p>
                  <w:pPr>
                    <w:pStyle w:val="37"/>
                  </w:pPr>
                  <w:r>
                    <w:t>11</w:t>
                  </w:r>
                </w:p>
              </w:tc>
              <w:tc>
                <w:tcPr>
                  <w:tcW w:w="850" w:type="pct"/>
                </w:tcPr>
                <w:p>
                  <w:pPr>
                    <w:pStyle w:val="37"/>
                  </w:pPr>
                  <w:r>
                    <w:rPr>
                      <w:rFonts w:hint="eastAsia"/>
                    </w:rPr>
                    <w:t>110</w:t>
                  </w:r>
                </w:p>
              </w:tc>
              <w:tc>
                <w:tcPr>
                  <w:tcW w:w="580" w:type="pct"/>
                  <w:vAlign w:val="top"/>
                </w:tcPr>
                <w:p>
                  <w:pPr>
                    <w:pStyle w:val="37"/>
                    <w:ind w:firstLine="0" w:firstLineChars="0"/>
                  </w:pPr>
                  <w:r>
                    <w:rPr>
                      <w:rFonts w:hint="eastAsia"/>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rPr>
                      <w:rFonts w:hint="eastAsia"/>
                    </w:rPr>
                    <w:t>最大值</w:t>
                  </w:r>
                </w:p>
              </w:tc>
              <w:tc>
                <w:tcPr>
                  <w:tcW w:w="350" w:type="pct"/>
                </w:tcPr>
                <w:p>
                  <w:pPr>
                    <w:pStyle w:val="37"/>
                  </w:pPr>
                  <w:r>
                    <w:rPr>
                      <w:rFonts w:hint="eastAsia"/>
                    </w:rPr>
                    <w:t>0.238</w:t>
                  </w:r>
                </w:p>
              </w:tc>
              <w:tc>
                <w:tcPr>
                  <w:tcW w:w="234" w:type="pct"/>
                </w:tcPr>
                <w:p>
                  <w:pPr>
                    <w:pStyle w:val="37"/>
                  </w:pPr>
                  <w:r>
                    <w:rPr>
                      <w:rFonts w:hint="eastAsia"/>
                    </w:rPr>
                    <w:t>0.13</w:t>
                  </w:r>
                </w:p>
              </w:tc>
              <w:tc>
                <w:tcPr>
                  <w:tcW w:w="350" w:type="pct"/>
                </w:tcPr>
                <w:p>
                  <w:pPr>
                    <w:pStyle w:val="37"/>
                  </w:pPr>
                  <w:r>
                    <w:t>&lt;0.005</w:t>
                  </w:r>
                </w:p>
              </w:tc>
              <w:tc>
                <w:tcPr>
                  <w:tcW w:w="1040" w:type="pct"/>
                </w:tcPr>
                <w:p>
                  <w:pPr>
                    <w:pStyle w:val="37"/>
                  </w:pPr>
                  <w:r>
                    <w:rPr>
                      <w:rFonts w:hint="eastAsia"/>
                    </w:rPr>
                    <w:t>12</w:t>
                  </w:r>
                </w:p>
              </w:tc>
              <w:tc>
                <w:tcPr>
                  <w:tcW w:w="850" w:type="pct"/>
                </w:tcPr>
                <w:p>
                  <w:pPr>
                    <w:pStyle w:val="37"/>
                  </w:pPr>
                  <w:r>
                    <w:rPr>
                      <w:rFonts w:hint="eastAsia"/>
                    </w:rPr>
                    <w:t>67.6</w:t>
                  </w:r>
                </w:p>
              </w:tc>
              <w:tc>
                <w:tcPr>
                  <w:tcW w:w="580" w:type="pct"/>
                  <w:vAlign w:val="top"/>
                </w:tcPr>
                <w:p>
                  <w:pPr>
                    <w:pStyle w:val="37"/>
                    <w:ind w:firstLine="0" w:firstLineChars="0"/>
                  </w:pPr>
                  <w:r>
                    <w:rPr>
                      <w:rFonts w:hint="eastAsia"/>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restart"/>
                  <w:vAlign w:val="center"/>
                </w:tcPr>
                <w:p>
                  <w:pPr>
                    <w:pStyle w:val="37"/>
                  </w:pPr>
                  <w:r>
                    <w:t>厂界外下风向</w:t>
                  </w:r>
                  <w:r>
                    <w:rPr>
                      <w:rFonts w:hint="eastAsia"/>
                    </w:rPr>
                    <w:t>2</w:t>
                  </w:r>
                </w:p>
              </w:tc>
              <w:tc>
                <w:tcPr>
                  <w:tcW w:w="349" w:type="pct"/>
                  <w:vAlign w:val="center"/>
                </w:tcPr>
                <w:p>
                  <w:pPr>
                    <w:pStyle w:val="37"/>
                  </w:pPr>
                  <w:r>
                    <w:t>第一次</w:t>
                  </w:r>
                </w:p>
              </w:tc>
              <w:tc>
                <w:tcPr>
                  <w:tcW w:w="350" w:type="pct"/>
                </w:tcPr>
                <w:p>
                  <w:pPr>
                    <w:pStyle w:val="37"/>
                  </w:pPr>
                  <w:r>
                    <w:t>0.204</w:t>
                  </w:r>
                </w:p>
              </w:tc>
              <w:tc>
                <w:tcPr>
                  <w:tcW w:w="234" w:type="pct"/>
                </w:tcPr>
                <w:p>
                  <w:pPr>
                    <w:pStyle w:val="37"/>
                  </w:pPr>
                  <w:r>
                    <w:t>0.14</w:t>
                  </w:r>
                </w:p>
              </w:tc>
              <w:tc>
                <w:tcPr>
                  <w:tcW w:w="350" w:type="pct"/>
                </w:tcPr>
                <w:p>
                  <w:pPr>
                    <w:pStyle w:val="37"/>
                  </w:pPr>
                  <w:r>
                    <w:t>&lt;0.005</w:t>
                  </w:r>
                </w:p>
              </w:tc>
              <w:tc>
                <w:tcPr>
                  <w:tcW w:w="1040" w:type="pct"/>
                </w:tcPr>
                <w:p>
                  <w:pPr>
                    <w:pStyle w:val="37"/>
                  </w:pPr>
                  <w:r>
                    <w:t>12</w:t>
                  </w:r>
                </w:p>
              </w:tc>
              <w:tc>
                <w:tcPr>
                  <w:tcW w:w="850" w:type="pct"/>
                </w:tcPr>
                <w:p>
                  <w:pPr>
                    <w:pStyle w:val="37"/>
                  </w:pPr>
                  <w:r>
                    <w:rPr>
                      <w:rFonts w:hint="eastAsia"/>
                    </w:rPr>
                    <w:t>76.9</w:t>
                  </w:r>
                </w:p>
              </w:tc>
              <w:tc>
                <w:tcPr>
                  <w:tcW w:w="580" w:type="pct"/>
                  <w:vAlign w:val="top"/>
                </w:tcPr>
                <w:p>
                  <w:pPr>
                    <w:pStyle w:val="37"/>
                    <w:ind w:firstLine="0" w:firstLineChars="0"/>
                  </w:pPr>
                  <w:r>
                    <w:rPr>
                      <w:rFonts w:hint="eastAsi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第二次</w:t>
                  </w:r>
                </w:p>
              </w:tc>
              <w:tc>
                <w:tcPr>
                  <w:tcW w:w="350" w:type="pct"/>
                </w:tcPr>
                <w:p>
                  <w:pPr>
                    <w:pStyle w:val="37"/>
                  </w:pPr>
                  <w:r>
                    <w:t>0.255</w:t>
                  </w:r>
                </w:p>
              </w:tc>
              <w:tc>
                <w:tcPr>
                  <w:tcW w:w="234" w:type="pct"/>
                </w:tcPr>
                <w:p>
                  <w:pPr>
                    <w:pStyle w:val="37"/>
                  </w:pPr>
                  <w:r>
                    <w:t>0.14</w:t>
                  </w:r>
                </w:p>
              </w:tc>
              <w:tc>
                <w:tcPr>
                  <w:tcW w:w="350" w:type="pct"/>
                </w:tcPr>
                <w:p>
                  <w:pPr>
                    <w:pStyle w:val="37"/>
                  </w:pPr>
                  <w:r>
                    <w:t>&lt;0.005</w:t>
                  </w:r>
                </w:p>
              </w:tc>
              <w:tc>
                <w:tcPr>
                  <w:tcW w:w="1040" w:type="pct"/>
                </w:tcPr>
                <w:p>
                  <w:pPr>
                    <w:pStyle w:val="37"/>
                  </w:pPr>
                  <w:r>
                    <w:t>10</w:t>
                  </w:r>
                </w:p>
              </w:tc>
              <w:tc>
                <w:tcPr>
                  <w:tcW w:w="850" w:type="pct"/>
                </w:tcPr>
                <w:p>
                  <w:pPr>
                    <w:pStyle w:val="37"/>
                  </w:pPr>
                  <w:r>
                    <w:rPr>
                      <w:rFonts w:hint="eastAsia"/>
                    </w:rPr>
                    <w:t>64.7</w:t>
                  </w:r>
                </w:p>
              </w:tc>
              <w:tc>
                <w:tcPr>
                  <w:tcW w:w="580" w:type="pct"/>
                  <w:vAlign w:val="top"/>
                </w:tcPr>
                <w:p>
                  <w:pPr>
                    <w:pStyle w:val="37"/>
                    <w:ind w:firstLine="0" w:firstLineChars="0"/>
                  </w:pPr>
                  <w:r>
                    <w:rPr>
                      <w:rFonts w:hint="eastAsia"/>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第三次</w:t>
                  </w:r>
                </w:p>
              </w:tc>
              <w:tc>
                <w:tcPr>
                  <w:tcW w:w="350" w:type="pct"/>
                </w:tcPr>
                <w:p>
                  <w:pPr>
                    <w:pStyle w:val="37"/>
                  </w:pPr>
                  <w:r>
                    <w:t>0.237</w:t>
                  </w:r>
                </w:p>
              </w:tc>
              <w:tc>
                <w:tcPr>
                  <w:tcW w:w="234" w:type="pct"/>
                </w:tcPr>
                <w:p>
                  <w:pPr>
                    <w:pStyle w:val="37"/>
                  </w:pPr>
                  <w:r>
                    <w:t>0.14</w:t>
                  </w:r>
                </w:p>
              </w:tc>
              <w:tc>
                <w:tcPr>
                  <w:tcW w:w="350" w:type="pct"/>
                </w:tcPr>
                <w:p>
                  <w:pPr>
                    <w:pStyle w:val="37"/>
                  </w:pPr>
                  <w:r>
                    <w:t>&lt;0.005</w:t>
                  </w:r>
                </w:p>
              </w:tc>
              <w:tc>
                <w:tcPr>
                  <w:tcW w:w="1040" w:type="pct"/>
                </w:tcPr>
                <w:p>
                  <w:pPr>
                    <w:pStyle w:val="37"/>
                  </w:pPr>
                  <w:r>
                    <w:t>12</w:t>
                  </w:r>
                </w:p>
              </w:tc>
              <w:tc>
                <w:tcPr>
                  <w:tcW w:w="850" w:type="pct"/>
                </w:tcPr>
                <w:p>
                  <w:pPr>
                    <w:pStyle w:val="37"/>
                  </w:pPr>
                  <w:r>
                    <w:rPr>
                      <w:rFonts w:hint="eastAsia"/>
                    </w:rPr>
                    <w:t>64.7</w:t>
                  </w:r>
                </w:p>
              </w:tc>
              <w:tc>
                <w:tcPr>
                  <w:tcW w:w="580" w:type="pct"/>
                  <w:vAlign w:val="top"/>
                </w:tcPr>
                <w:p>
                  <w:pPr>
                    <w:pStyle w:val="37"/>
                    <w:ind w:firstLine="0" w:firstLineChars="0"/>
                  </w:pPr>
                  <w:r>
                    <w:rPr>
                      <w:rFonts w:hint="eastAsi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rPr>
                      <w:rFonts w:hint="eastAsia"/>
                    </w:rPr>
                    <w:t>最大值</w:t>
                  </w:r>
                </w:p>
              </w:tc>
              <w:tc>
                <w:tcPr>
                  <w:tcW w:w="350" w:type="pct"/>
                </w:tcPr>
                <w:p>
                  <w:pPr>
                    <w:pStyle w:val="37"/>
                  </w:pPr>
                  <w:r>
                    <w:rPr>
                      <w:rFonts w:hint="eastAsia"/>
                    </w:rPr>
                    <w:t>0.255</w:t>
                  </w:r>
                </w:p>
              </w:tc>
              <w:tc>
                <w:tcPr>
                  <w:tcW w:w="234" w:type="pct"/>
                </w:tcPr>
                <w:p>
                  <w:pPr>
                    <w:pStyle w:val="37"/>
                  </w:pPr>
                  <w:r>
                    <w:rPr>
                      <w:rFonts w:hint="eastAsia"/>
                    </w:rPr>
                    <w:t>0.14</w:t>
                  </w:r>
                </w:p>
              </w:tc>
              <w:tc>
                <w:tcPr>
                  <w:tcW w:w="350" w:type="pct"/>
                </w:tcPr>
                <w:p>
                  <w:pPr>
                    <w:pStyle w:val="37"/>
                  </w:pPr>
                  <w:r>
                    <w:t>&lt;0.005</w:t>
                  </w:r>
                </w:p>
              </w:tc>
              <w:tc>
                <w:tcPr>
                  <w:tcW w:w="1040" w:type="pct"/>
                </w:tcPr>
                <w:p>
                  <w:pPr>
                    <w:pStyle w:val="37"/>
                  </w:pPr>
                  <w:r>
                    <w:rPr>
                      <w:rFonts w:hint="eastAsia"/>
                    </w:rPr>
                    <w:t>12</w:t>
                  </w:r>
                </w:p>
              </w:tc>
              <w:tc>
                <w:tcPr>
                  <w:tcW w:w="850" w:type="pct"/>
                </w:tcPr>
                <w:p>
                  <w:pPr>
                    <w:pStyle w:val="37"/>
                  </w:pPr>
                  <w:r>
                    <w:rPr>
                      <w:rFonts w:hint="eastAsia"/>
                    </w:rPr>
                    <w:t>76.9</w:t>
                  </w:r>
                </w:p>
              </w:tc>
              <w:tc>
                <w:tcPr>
                  <w:tcW w:w="580" w:type="pct"/>
                  <w:vAlign w:val="top"/>
                </w:tcPr>
                <w:p>
                  <w:pPr>
                    <w:pStyle w:val="37"/>
                    <w:ind w:firstLine="0" w:firstLineChars="0"/>
                  </w:pPr>
                  <w:r>
                    <w:rPr>
                      <w:rFonts w:hint="eastAsia"/>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restart"/>
                  <w:vAlign w:val="center"/>
                </w:tcPr>
                <w:p>
                  <w:pPr>
                    <w:pStyle w:val="37"/>
                  </w:pPr>
                  <w:r>
                    <w:t>厂界外下风向</w:t>
                  </w:r>
                  <w:r>
                    <w:rPr>
                      <w:rFonts w:hint="eastAsia"/>
                    </w:rPr>
                    <w:t>3</w:t>
                  </w:r>
                </w:p>
              </w:tc>
              <w:tc>
                <w:tcPr>
                  <w:tcW w:w="349" w:type="pct"/>
                  <w:vAlign w:val="center"/>
                </w:tcPr>
                <w:p>
                  <w:pPr>
                    <w:pStyle w:val="37"/>
                  </w:pPr>
                  <w:r>
                    <w:t>第一次</w:t>
                  </w:r>
                </w:p>
              </w:tc>
              <w:tc>
                <w:tcPr>
                  <w:tcW w:w="350" w:type="pct"/>
                </w:tcPr>
                <w:p>
                  <w:pPr>
                    <w:pStyle w:val="37"/>
                  </w:pPr>
                  <w:r>
                    <w:t>0.271</w:t>
                  </w:r>
                </w:p>
              </w:tc>
              <w:tc>
                <w:tcPr>
                  <w:tcW w:w="234" w:type="pct"/>
                </w:tcPr>
                <w:p>
                  <w:pPr>
                    <w:pStyle w:val="37"/>
                  </w:pPr>
                  <w:r>
                    <w:t>0.12</w:t>
                  </w:r>
                </w:p>
              </w:tc>
              <w:tc>
                <w:tcPr>
                  <w:tcW w:w="350" w:type="pct"/>
                </w:tcPr>
                <w:p>
                  <w:pPr>
                    <w:pStyle w:val="37"/>
                  </w:pPr>
                  <w:r>
                    <w:t>&lt;0.005</w:t>
                  </w:r>
                </w:p>
              </w:tc>
              <w:tc>
                <w:tcPr>
                  <w:tcW w:w="1040" w:type="pct"/>
                </w:tcPr>
                <w:p>
                  <w:pPr>
                    <w:pStyle w:val="37"/>
                  </w:pPr>
                  <w:r>
                    <w:t>12</w:t>
                  </w:r>
                </w:p>
              </w:tc>
              <w:tc>
                <w:tcPr>
                  <w:tcW w:w="850" w:type="pct"/>
                </w:tcPr>
                <w:p>
                  <w:pPr>
                    <w:pStyle w:val="37"/>
                  </w:pPr>
                  <w:r>
                    <w:rPr>
                      <w:rFonts w:hint="eastAsia"/>
                    </w:rPr>
                    <w:t>91.1</w:t>
                  </w:r>
                </w:p>
              </w:tc>
              <w:tc>
                <w:tcPr>
                  <w:tcW w:w="580" w:type="pct"/>
                  <w:vAlign w:val="top"/>
                </w:tcPr>
                <w:p>
                  <w:pPr>
                    <w:pStyle w:val="37"/>
                    <w:ind w:firstLine="0" w:firstLineChars="0"/>
                  </w:pPr>
                  <w:r>
                    <w:rPr>
                      <w:rFonts w:hint="eastAsia"/>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第二次</w:t>
                  </w:r>
                </w:p>
              </w:tc>
              <w:tc>
                <w:tcPr>
                  <w:tcW w:w="350" w:type="pct"/>
                </w:tcPr>
                <w:p>
                  <w:pPr>
                    <w:pStyle w:val="37"/>
                  </w:pPr>
                  <w:r>
                    <w:t>0.221</w:t>
                  </w:r>
                </w:p>
              </w:tc>
              <w:tc>
                <w:tcPr>
                  <w:tcW w:w="234" w:type="pct"/>
                </w:tcPr>
                <w:p>
                  <w:pPr>
                    <w:pStyle w:val="37"/>
                  </w:pPr>
                  <w:r>
                    <w:t>0.10</w:t>
                  </w:r>
                </w:p>
              </w:tc>
              <w:tc>
                <w:tcPr>
                  <w:tcW w:w="350" w:type="pct"/>
                </w:tcPr>
                <w:p>
                  <w:pPr>
                    <w:pStyle w:val="37"/>
                  </w:pPr>
                  <w:r>
                    <w:t>&lt;0.005</w:t>
                  </w:r>
                </w:p>
              </w:tc>
              <w:tc>
                <w:tcPr>
                  <w:tcW w:w="1040" w:type="pct"/>
                </w:tcPr>
                <w:p>
                  <w:pPr>
                    <w:pStyle w:val="37"/>
                  </w:pPr>
                  <w:r>
                    <w:t>11</w:t>
                  </w:r>
                </w:p>
              </w:tc>
              <w:tc>
                <w:tcPr>
                  <w:tcW w:w="850" w:type="pct"/>
                </w:tcPr>
                <w:p>
                  <w:pPr>
                    <w:pStyle w:val="37"/>
                  </w:pPr>
                  <w:r>
                    <w:rPr>
                      <w:rFonts w:hint="eastAsia"/>
                    </w:rPr>
                    <w:t>107</w:t>
                  </w:r>
                </w:p>
              </w:tc>
              <w:tc>
                <w:tcPr>
                  <w:tcW w:w="580" w:type="pct"/>
                  <w:vAlign w:val="top"/>
                </w:tcPr>
                <w:p>
                  <w:pPr>
                    <w:pStyle w:val="37"/>
                    <w:ind w:firstLine="0" w:firstLineChars="0"/>
                  </w:pPr>
                  <w:r>
                    <w:rPr>
                      <w:rFonts w:hint="eastAsia"/>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t>第三次</w:t>
                  </w:r>
                </w:p>
              </w:tc>
              <w:tc>
                <w:tcPr>
                  <w:tcW w:w="350" w:type="pct"/>
                </w:tcPr>
                <w:p>
                  <w:pPr>
                    <w:pStyle w:val="37"/>
                  </w:pPr>
                  <w:r>
                    <w:t>0.255</w:t>
                  </w:r>
                </w:p>
              </w:tc>
              <w:tc>
                <w:tcPr>
                  <w:tcW w:w="234" w:type="pct"/>
                </w:tcPr>
                <w:p>
                  <w:pPr>
                    <w:pStyle w:val="37"/>
                  </w:pPr>
                  <w:r>
                    <w:t>0.12</w:t>
                  </w:r>
                </w:p>
              </w:tc>
              <w:tc>
                <w:tcPr>
                  <w:tcW w:w="350" w:type="pct"/>
                </w:tcPr>
                <w:p>
                  <w:pPr>
                    <w:pStyle w:val="37"/>
                  </w:pPr>
                  <w:r>
                    <w:t>&lt;0.005</w:t>
                  </w:r>
                </w:p>
              </w:tc>
              <w:tc>
                <w:tcPr>
                  <w:tcW w:w="1040" w:type="pct"/>
                </w:tcPr>
                <w:p>
                  <w:pPr>
                    <w:pStyle w:val="37"/>
                  </w:pPr>
                  <w:r>
                    <w:t>10</w:t>
                  </w:r>
                </w:p>
              </w:tc>
              <w:tc>
                <w:tcPr>
                  <w:tcW w:w="850" w:type="pct"/>
                </w:tcPr>
                <w:p>
                  <w:pPr>
                    <w:pStyle w:val="37"/>
                  </w:pPr>
                  <w:r>
                    <w:rPr>
                      <w:rFonts w:hint="eastAsia"/>
                    </w:rPr>
                    <w:t>87.8</w:t>
                  </w:r>
                </w:p>
              </w:tc>
              <w:tc>
                <w:tcPr>
                  <w:tcW w:w="580" w:type="pct"/>
                  <w:vAlign w:val="top"/>
                </w:tcPr>
                <w:p>
                  <w:pPr>
                    <w:pStyle w:val="37"/>
                    <w:ind w:firstLine="0" w:firstLineChars="0"/>
                  </w:pPr>
                  <w:r>
                    <w:rPr>
                      <w:rFonts w:hint="eastAsia"/>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4" w:type="pct"/>
                  <w:vMerge w:val="continue"/>
                  <w:vAlign w:val="center"/>
                </w:tcPr>
                <w:p>
                  <w:pPr>
                    <w:pStyle w:val="37"/>
                  </w:pPr>
                </w:p>
              </w:tc>
              <w:tc>
                <w:tcPr>
                  <w:tcW w:w="777" w:type="pct"/>
                  <w:vMerge w:val="continue"/>
                  <w:vAlign w:val="center"/>
                </w:tcPr>
                <w:p>
                  <w:pPr>
                    <w:pStyle w:val="37"/>
                  </w:pPr>
                </w:p>
              </w:tc>
              <w:tc>
                <w:tcPr>
                  <w:tcW w:w="349" w:type="pct"/>
                  <w:vAlign w:val="center"/>
                </w:tcPr>
                <w:p>
                  <w:pPr>
                    <w:pStyle w:val="37"/>
                  </w:pPr>
                  <w:r>
                    <w:rPr>
                      <w:rFonts w:hint="eastAsia"/>
                    </w:rPr>
                    <w:t>最大值</w:t>
                  </w:r>
                </w:p>
              </w:tc>
              <w:tc>
                <w:tcPr>
                  <w:tcW w:w="350" w:type="pct"/>
                </w:tcPr>
                <w:p>
                  <w:pPr>
                    <w:pStyle w:val="37"/>
                  </w:pPr>
                  <w:r>
                    <w:rPr>
                      <w:rFonts w:hint="eastAsia"/>
                    </w:rPr>
                    <w:t>0.271</w:t>
                  </w:r>
                </w:p>
              </w:tc>
              <w:tc>
                <w:tcPr>
                  <w:tcW w:w="234" w:type="pct"/>
                </w:tcPr>
                <w:p>
                  <w:pPr>
                    <w:pStyle w:val="37"/>
                  </w:pPr>
                  <w:r>
                    <w:rPr>
                      <w:rFonts w:hint="eastAsia"/>
                    </w:rPr>
                    <w:t>0.12</w:t>
                  </w:r>
                </w:p>
              </w:tc>
              <w:tc>
                <w:tcPr>
                  <w:tcW w:w="350" w:type="pct"/>
                </w:tcPr>
                <w:p>
                  <w:pPr>
                    <w:pStyle w:val="37"/>
                  </w:pPr>
                  <w:r>
                    <w:t>&lt;0.005</w:t>
                  </w:r>
                </w:p>
              </w:tc>
              <w:tc>
                <w:tcPr>
                  <w:tcW w:w="1040" w:type="pct"/>
                </w:tcPr>
                <w:p>
                  <w:pPr>
                    <w:pStyle w:val="37"/>
                  </w:pPr>
                  <w:r>
                    <w:rPr>
                      <w:rFonts w:hint="eastAsia"/>
                    </w:rPr>
                    <w:t>12</w:t>
                  </w:r>
                </w:p>
              </w:tc>
              <w:tc>
                <w:tcPr>
                  <w:tcW w:w="850" w:type="pct"/>
                </w:tcPr>
                <w:p>
                  <w:pPr>
                    <w:pStyle w:val="37"/>
                  </w:pPr>
                  <w:r>
                    <w:rPr>
                      <w:rFonts w:hint="eastAsia"/>
                    </w:rPr>
                    <w:t>107</w:t>
                  </w:r>
                </w:p>
              </w:tc>
              <w:tc>
                <w:tcPr>
                  <w:tcW w:w="580" w:type="pct"/>
                  <w:vAlign w:val="top"/>
                </w:tcPr>
                <w:p>
                  <w:pPr>
                    <w:pStyle w:val="37"/>
                    <w:ind w:firstLine="0" w:firstLineChars="0"/>
                  </w:pPr>
                  <w:r>
                    <w:rPr>
                      <w:rFonts w:hint="eastAsia"/>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92" w:type="pct"/>
                  <w:gridSpan w:val="3"/>
                  <w:vAlign w:val="center"/>
                </w:tcPr>
                <w:p>
                  <w:pPr>
                    <w:pStyle w:val="37"/>
                  </w:pPr>
                  <w:r>
                    <w:t>标准</w:t>
                  </w:r>
                </w:p>
              </w:tc>
              <w:tc>
                <w:tcPr>
                  <w:tcW w:w="350" w:type="pct"/>
                </w:tcPr>
                <w:p>
                  <w:pPr>
                    <w:pStyle w:val="37"/>
                  </w:pPr>
                  <w:r>
                    <w:t>1.0</w:t>
                  </w:r>
                </w:p>
              </w:tc>
              <w:tc>
                <w:tcPr>
                  <w:tcW w:w="234" w:type="pct"/>
                </w:tcPr>
                <w:p>
                  <w:pPr>
                    <w:pStyle w:val="37"/>
                  </w:pPr>
                  <w:r>
                    <w:t>1.5</w:t>
                  </w:r>
                </w:p>
              </w:tc>
              <w:tc>
                <w:tcPr>
                  <w:tcW w:w="350" w:type="pct"/>
                </w:tcPr>
                <w:p>
                  <w:pPr>
                    <w:pStyle w:val="37"/>
                  </w:pPr>
                  <w:r>
                    <w:t>0.06</w:t>
                  </w:r>
                </w:p>
              </w:tc>
              <w:tc>
                <w:tcPr>
                  <w:tcW w:w="1040" w:type="pct"/>
                </w:tcPr>
                <w:p>
                  <w:pPr>
                    <w:pStyle w:val="37"/>
                  </w:pPr>
                  <w:r>
                    <w:t>20</w:t>
                  </w:r>
                </w:p>
              </w:tc>
              <w:tc>
                <w:tcPr>
                  <w:tcW w:w="850" w:type="pct"/>
                </w:tcPr>
                <w:p>
                  <w:pPr>
                    <w:pStyle w:val="37"/>
                  </w:pPr>
                  <w:r>
                    <w:rPr>
                      <w:rFonts w:hint="eastAsia"/>
                    </w:rPr>
                    <w:t>1500</w:t>
                  </w:r>
                </w:p>
              </w:tc>
              <w:tc>
                <w:tcPr>
                  <w:tcW w:w="580" w:type="pct"/>
                  <w:vAlign w:val="top"/>
                </w:tcPr>
                <w:p>
                  <w:pPr>
                    <w:pStyle w:val="37"/>
                    <w:ind w:firstLine="0" w:firstLineChars="0"/>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92" w:type="pct"/>
                  <w:gridSpan w:val="3"/>
                  <w:vAlign w:val="center"/>
                </w:tcPr>
                <w:p>
                  <w:pPr>
                    <w:pStyle w:val="37"/>
                  </w:pPr>
                  <w:r>
                    <w:t>达标情况</w:t>
                  </w:r>
                </w:p>
              </w:tc>
              <w:tc>
                <w:tcPr>
                  <w:tcW w:w="350" w:type="pct"/>
                </w:tcPr>
                <w:p>
                  <w:pPr>
                    <w:pStyle w:val="37"/>
                  </w:pPr>
                  <w:r>
                    <w:t>达标</w:t>
                  </w:r>
                </w:p>
              </w:tc>
              <w:tc>
                <w:tcPr>
                  <w:tcW w:w="234" w:type="pct"/>
                </w:tcPr>
                <w:p>
                  <w:pPr>
                    <w:pStyle w:val="37"/>
                  </w:pPr>
                  <w:r>
                    <w:t>达标</w:t>
                  </w:r>
                </w:p>
              </w:tc>
              <w:tc>
                <w:tcPr>
                  <w:tcW w:w="350" w:type="pct"/>
                </w:tcPr>
                <w:p>
                  <w:pPr>
                    <w:pStyle w:val="37"/>
                  </w:pPr>
                  <w:r>
                    <w:t>达标</w:t>
                  </w:r>
                </w:p>
              </w:tc>
              <w:tc>
                <w:tcPr>
                  <w:tcW w:w="1040" w:type="pct"/>
                </w:tcPr>
                <w:p>
                  <w:pPr>
                    <w:pStyle w:val="37"/>
                  </w:pPr>
                  <w:r>
                    <w:t>达标</w:t>
                  </w:r>
                </w:p>
              </w:tc>
              <w:tc>
                <w:tcPr>
                  <w:tcW w:w="850" w:type="pct"/>
                </w:tcPr>
                <w:p>
                  <w:pPr>
                    <w:pStyle w:val="37"/>
                  </w:pPr>
                  <w:r>
                    <w:rPr>
                      <w:rFonts w:hint="eastAsia"/>
                    </w:rPr>
                    <w:t>达标</w:t>
                  </w:r>
                </w:p>
              </w:tc>
              <w:tc>
                <w:tcPr>
                  <w:tcW w:w="580" w:type="pct"/>
                  <w:vAlign w:val="top"/>
                </w:tcPr>
                <w:p>
                  <w:pPr>
                    <w:pStyle w:val="37"/>
                    <w:ind w:firstLine="0" w:firstLineChars="0"/>
                  </w:pPr>
                  <w:r>
                    <w:rPr>
                      <w:rFonts w:hint="eastAsia"/>
                    </w:rPr>
                    <w:t>达标</w:t>
                  </w:r>
                </w:p>
              </w:tc>
            </w:tr>
          </w:tbl>
          <w:p>
            <w:pPr>
              <w:ind w:firstLine="480"/>
            </w:pPr>
            <w:r>
              <w:rPr>
                <w:rFonts w:hint="eastAsia"/>
              </w:rPr>
              <w:t>由上表可知，现有项目无组织废气主要污染物：颗粒物排放满足《大气污染物综合排放标准》（GB16297-1996）表2无组织排放限值，TVOC、非甲烷总烃排放均满足《挥发性有机物排放标准 第5部分：汽车制造业》（DB36/1101.5-2019）无组织排放标准，臭气浓度、氨和硫化氢均排放《恶臭污染物排放标准》（GB14554-93）表1中二级标准</w:t>
            </w:r>
            <w:r>
              <w:rPr>
                <w:rStyle w:val="35"/>
                <w:rFonts w:hint="eastAsia"/>
                <w:kern w:val="0"/>
                <w:szCs w:val="20"/>
              </w:rPr>
              <w:t>。</w:t>
            </w:r>
          </w:p>
          <w:p>
            <w:pPr>
              <w:ind w:firstLine="480"/>
            </w:pPr>
            <w:r>
              <w:rPr>
                <w:rFonts w:hint="eastAsia"/>
              </w:rPr>
              <w:t>②废水</w:t>
            </w:r>
          </w:p>
          <w:p>
            <w:pPr>
              <w:pStyle w:val="38"/>
              <w:rPr>
                <w:rFonts w:hint="eastAsia"/>
              </w:rPr>
            </w:pPr>
          </w:p>
          <w:p>
            <w:pPr>
              <w:pStyle w:val="38"/>
              <w:rPr>
                <w:rFonts w:hint="eastAsia"/>
              </w:rPr>
            </w:pPr>
          </w:p>
          <w:p>
            <w:pPr>
              <w:pStyle w:val="38"/>
            </w:pPr>
            <w:r>
              <w:rPr>
                <w:rFonts w:hint="eastAsia"/>
              </w:rPr>
              <w:t>表2-15  现有项目废水总排放口监</w:t>
            </w:r>
            <w:r>
              <w:t>测结果</w:t>
            </w:r>
            <w:r>
              <w:rPr>
                <w:rFonts w:hint="eastAsia"/>
              </w:rPr>
              <w:t xml:space="preserve">  </w:t>
            </w:r>
            <w:r>
              <w:rPr>
                <w:bCs/>
              </w:rPr>
              <w:t>mg/L，pH值为无量纲</w:t>
            </w:r>
          </w:p>
          <w:tbl>
            <w:tblPr>
              <w:tblStyle w:val="130"/>
              <w:tblW w:w="8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6"/>
              <w:gridCol w:w="615"/>
              <w:gridCol w:w="1677"/>
              <w:gridCol w:w="734"/>
              <w:gridCol w:w="767"/>
              <w:gridCol w:w="700"/>
              <w:gridCol w:w="721"/>
              <w:gridCol w:w="785"/>
              <w:gridCol w:w="620"/>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412" w:type="pct"/>
                  <w:vAlign w:val="center"/>
                </w:tcPr>
                <w:p>
                  <w:pPr>
                    <w:pStyle w:val="37"/>
                    <w:rPr>
                      <w:b/>
                      <w:bCs/>
                    </w:rPr>
                  </w:pPr>
                  <w:r>
                    <w:rPr>
                      <w:b/>
                      <w:bCs/>
                    </w:rPr>
                    <w:t>采样日期</w:t>
                  </w:r>
                </w:p>
              </w:tc>
              <w:tc>
                <w:tcPr>
                  <w:tcW w:w="380" w:type="pct"/>
                  <w:vAlign w:val="center"/>
                </w:tcPr>
                <w:p>
                  <w:pPr>
                    <w:pStyle w:val="37"/>
                    <w:rPr>
                      <w:b/>
                      <w:bCs/>
                    </w:rPr>
                  </w:pPr>
                  <w:r>
                    <w:rPr>
                      <w:b/>
                      <w:bCs/>
                    </w:rPr>
                    <w:t>监测点位</w:t>
                  </w:r>
                </w:p>
              </w:tc>
              <w:tc>
                <w:tcPr>
                  <w:tcW w:w="1037" w:type="pct"/>
                  <w:vAlign w:val="center"/>
                </w:tcPr>
                <w:p>
                  <w:pPr>
                    <w:pStyle w:val="37"/>
                    <w:rPr>
                      <w:b/>
                      <w:bCs/>
                    </w:rPr>
                  </w:pPr>
                  <w:r>
                    <w:rPr>
                      <w:b/>
                      <w:bCs/>
                    </w:rPr>
                    <w:t>检测项目</w:t>
                  </w:r>
                </w:p>
              </w:tc>
              <w:tc>
                <w:tcPr>
                  <w:tcW w:w="454" w:type="pct"/>
                  <w:vAlign w:val="center"/>
                </w:tcPr>
                <w:p>
                  <w:pPr>
                    <w:pStyle w:val="37"/>
                    <w:rPr>
                      <w:b/>
                      <w:bCs/>
                    </w:rPr>
                  </w:pPr>
                  <w:r>
                    <w:rPr>
                      <w:b/>
                      <w:bCs/>
                    </w:rPr>
                    <w:t>第一次</w:t>
                  </w:r>
                </w:p>
              </w:tc>
              <w:tc>
                <w:tcPr>
                  <w:tcW w:w="474" w:type="pct"/>
                  <w:vAlign w:val="center"/>
                </w:tcPr>
                <w:p>
                  <w:pPr>
                    <w:pStyle w:val="37"/>
                    <w:rPr>
                      <w:b/>
                      <w:bCs/>
                    </w:rPr>
                  </w:pPr>
                  <w:r>
                    <w:rPr>
                      <w:b/>
                      <w:bCs/>
                    </w:rPr>
                    <w:t>第二次</w:t>
                  </w:r>
                </w:p>
              </w:tc>
              <w:tc>
                <w:tcPr>
                  <w:tcW w:w="433" w:type="pct"/>
                  <w:vAlign w:val="center"/>
                </w:tcPr>
                <w:p>
                  <w:pPr>
                    <w:pStyle w:val="37"/>
                    <w:rPr>
                      <w:b/>
                      <w:bCs/>
                    </w:rPr>
                  </w:pPr>
                  <w:r>
                    <w:rPr>
                      <w:b/>
                      <w:bCs/>
                    </w:rPr>
                    <w:t>第三次</w:t>
                  </w:r>
                </w:p>
              </w:tc>
              <w:tc>
                <w:tcPr>
                  <w:tcW w:w="446" w:type="pct"/>
                  <w:vAlign w:val="center"/>
                </w:tcPr>
                <w:p>
                  <w:pPr>
                    <w:pStyle w:val="37"/>
                    <w:rPr>
                      <w:b/>
                      <w:bCs/>
                    </w:rPr>
                  </w:pPr>
                  <w:r>
                    <w:rPr>
                      <w:b/>
                      <w:bCs/>
                    </w:rPr>
                    <w:t>第四次</w:t>
                  </w:r>
                </w:p>
              </w:tc>
              <w:tc>
                <w:tcPr>
                  <w:tcW w:w="485" w:type="pct"/>
                  <w:vAlign w:val="center"/>
                </w:tcPr>
                <w:p>
                  <w:pPr>
                    <w:pStyle w:val="37"/>
                    <w:rPr>
                      <w:b/>
                      <w:bCs/>
                    </w:rPr>
                  </w:pPr>
                  <w:r>
                    <w:rPr>
                      <w:b/>
                      <w:bCs/>
                    </w:rPr>
                    <w:t>日均值</w:t>
                  </w:r>
                </w:p>
              </w:tc>
              <w:tc>
                <w:tcPr>
                  <w:tcW w:w="383" w:type="pct"/>
                  <w:vAlign w:val="center"/>
                </w:tcPr>
                <w:p>
                  <w:pPr>
                    <w:pStyle w:val="37"/>
                    <w:rPr>
                      <w:b/>
                      <w:bCs/>
                    </w:rPr>
                  </w:pPr>
                  <w:r>
                    <w:rPr>
                      <w:b/>
                      <w:bCs/>
                    </w:rPr>
                    <w:t>标准值</w:t>
                  </w:r>
                </w:p>
              </w:tc>
              <w:tc>
                <w:tcPr>
                  <w:tcW w:w="496" w:type="pct"/>
                  <w:vAlign w:val="center"/>
                </w:tcPr>
                <w:p>
                  <w:pPr>
                    <w:pStyle w:val="37"/>
                    <w:rPr>
                      <w:b/>
                      <w:bCs/>
                    </w:rPr>
                  </w:pPr>
                  <w:r>
                    <w:rPr>
                      <w:b/>
                      <w:bC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restart"/>
                  <w:vAlign w:val="center"/>
                </w:tcPr>
                <w:p>
                  <w:pPr>
                    <w:pStyle w:val="37"/>
                  </w:pPr>
                  <w:r>
                    <w:rPr>
                      <w:rFonts w:hint="eastAsia"/>
                    </w:rPr>
                    <w:t>2021年</w:t>
                  </w:r>
                  <w:r>
                    <w:t>8月11日</w:t>
                  </w:r>
                </w:p>
              </w:tc>
              <w:tc>
                <w:tcPr>
                  <w:tcW w:w="380" w:type="pct"/>
                  <w:vMerge w:val="restart"/>
                  <w:vAlign w:val="center"/>
                </w:tcPr>
                <w:p>
                  <w:pPr>
                    <w:pStyle w:val="37"/>
                  </w:pPr>
                  <w:r>
                    <w:t>厂区综合废水收集池</w:t>
                  </w:r>
                </w:p>
              </w:tc>
              <w:tc>
                <w:tcPr>
                  <w:tcW w:w="1037" w:type="pct"/>
                  <w:vAlign w:val="center"/>
                </w:tcPr>
                <w:p>
                  <w:pPr>
                    <w:pStyle w:val="37"/>
                  </w:pPr>
                  <w:r>
                    <w:t>pH值（无量纲）</w:t>
                  </w:r>
                </w:p>
              </w:tc>
              <w:tc>
                <w:tcPr>
                  <w:tcW w:w="454" w:type="pct"/>
                  <w:vAlign w:val="center"/>
                </w:tcPr>
                <w:p>
                  <w:pPr>
                    <w:pStyle w:val="37"/>
                  </w:pPr>
                  <w:r>
                    <w:t>10.3</w:t>
                  </w:r>
                </w:p>
              </w:tc>
              <w:tc>
                <w:tcPr>
                  <w:tcW w:w="474" w:type="pct"/>
                  <w:vAlign w:val="center"/>
                </w:tcPr>
                <w:p>
                  <w:pPr>
                    <w:pStyle w:val="37"/>
                  </w:pPr>
                  <w:r>
                    <w:t>10.4</w:t>
                  </w:r>
                </w:p>
              </w:tc>
              <w:tc>
                <w:tcPr>
                  <w:tcW w:w="433" w:type="pct"/>
                  <w:vAlign w:val="center"/>
                </w:tcPr>
                <w:p>
                  <w:pPr>
                    <w:pStyle w:val="37"/>
                  </w:pPr>
                  <w:r>
                    <w:t>10.5</w:t>
                  </w:r>
                </w:p>
              </w:tc>
              <w:tc>
                <w:tcPr>
                  <w:tcW w:w="446" w:type="pct"/>
                  <w:vAlign w:val="center"/>
                </w:tcPr>
                <w:p>
                  <w:pPr>
                    <w:pStyle w:val="37"/>
                  </w:pPr>
                  <w:r>
                    <w:t>10.2</w:t>
                  </w:r>
                </w:p>
              </w:tc>
              <w:tc>
                <w:tcPr>
                  <w:tcW w:w="485" w:type="pct"/>
                  <w:vAlign w:val="center"/>
                </w:tcPr>
                <w:p>
                  <w:pPr>
                    <w:pStyle w:val="37"/>
                  </w:pPr>
                  <w:r>
                    <w:t>10.35</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化学需氧量</w:t>
                  </w:r>
                </w:p>
              </w:tc>
              <w:tc>
                <w:tcPr>
                  <w:tcW w:w="454" w:type="pct"/>
                  <w:vAlign w:val="center"/>
                </w:tcPr>
                <w:p>
                  <w:pPr>
                    <w:pStyle w:val="37"/>
                  </w:pPr>
                  <w:r>
                    <w:t>122</w:t>
                  </w:r>
                </w:p>
              </w:tc>
              <w:tc>
                <w:tcPr>
                  <w:tcW w:w="474" w:type="pct"/>
                  <w:vAlign w:val="center"/>
                </w:tcPr>
                <w:p>
                  <w:pPr>
                    <w:pStyle w:val="37"/>
                  </w:pPr>
                  <w:r>
                    <w:t>120</w:t>
                  </w:r>
                </w:p>
              </w:tc>
              <w:tc>
                <w:tcPr>
                  <w:tcW w:w="433" w:type="pct"/>
                  <w:vAlign w:val="center"/>
                </w:tcPr>
                <w:p>
                  <w:pPr>
                    <w:pStyle w:val="37"/>
                  </w:pPr>
                  <w:r>
                    <w:t>125</w:t>
                  </w:r>
                </w:p>
              </w:tc>
              <w:tc>
                <w:tcPr>
                  <w:tcW w:w="446" w:type="pct"/>
                  <w:vAlign w:val="center"/>
                </w:tcPr>
                <w:p>
                  <w:pPr>
                    <w:pStyle w:val="37"/>
                  </w:pPr>
                  <w:r>
                    <w:t>121</w:t>
                  </w:r>
                </w:p>
              </w:tc>
              <w:tc>
                <w:tcPr>
                  <w:tcW w:w="485" w:type="pct"/>
                  <w:vAlign w:val="center"/>
                </w:tcPr>
                <w:p>
                  <w:pPr>
                    <w:pStyle w:val="37"/>
                  </w:pPr>
                  <w:r>
                    <w:t>122</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生化需氧量</w:t>
                  </w:r>
                </w:p>
              </w:tc>
              <w:tc>
                <w:tcPr>
                  <w:tcW w:w="454" w:type="pct"/>
                  <w:vAlign w:val="center"/>
                </w:tcPr>
                <w:p>
                  <w:pPr>
                    <w:pStyle w:val="37"/>
                  </w:pPr>
                  <w:r>
                    <w:t>34.2</w:t>
                  </w:r>
                </w:p>
              </w:tc>
              <w:tc>
                <w:tcPr>
                  <w:tcW w:w="474" w:type="pct"/>
                  <w:vAlign w:val="center"/>
                </w:tcPr>
                <w:p>
                  <w:pPr>
                    <w:pStyle w:val="37"/>
                  </w:pPr>
                  <w:r>
                    <w:t>27.3</w:t>
                  </w:r>
                </w:p>
              </w:tc>
              <w:tc>
                <w:tcPr>
                  <w:tcW w:w="433" w:type="pct"/>
                  <w:vAlign w:val="center"/>
                </w:tcPr>
                <w:p>
                  <w:pPr>
                    <w:pStyle w:val="37"/>
                  </w:pPr>
                  <w:r>
                    <w:t>30.7</w:t>
                  </w:r>
                </w:p>
              </w:tc>
              <w:tc>
                <w:tcPr>
                  <w:tcW w:w="446" w:type="pct"/>
                  <w:vAlign w:val="center"/>
                </w:tcPr>
                <w:p>
                  <w:pPr>
                    <w:pStyle w:val="37"/>
                  </w:pPr>
                  <w:r>
                    <w:t>31.1</w:t>
                  </w:r>
                </w:p>
              </w:tc>
              <w:tc>
                <w:tcPr>
                  <w:tcW w:w="485" w:type="pct"/>
                  <w:vAlign w:val="center"/>
                </w:tcPr>
                <w:p>
                  <w:pPr>
                    <w:pStyle w:val="37"/>
                  </w:pPr>
                  <w:r>
                    <w:t>30.825</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阴离子表面活性剂</w:t>
                  </w:r>
                </w:p>
              </w:tc>
              <w:tc>
                <w:tcPr>
                  <w:tcW w:w="454" w:type="pct"/>
                  <w:vAlign w:val="center"/>
                </w:tcPr>
                <w:p>
                  <w:pPr>
                    <w:pStyle w:val="37"/>
                  </w:pPr>
                  <w:r>
                    <w:t>0.09</w:t>
                  </w:r>
                </w:p>
              </w:tc>
              <w:tc>
                <w:tcPr>
                  <w:tcW w:w="474" w:type="pct"/>
                  <w:vAlign w:val="center"/>
                </w:tcPr>
                <w:p>
                  <w:pPr>
                    <w:pStyle w:val="37"/>
                  </w:pPr>
                  <w:r>
                    <w:t>0.09</w:t>
                  </w:r>
                </w:p>
              </w:tc>
              <w:tc>
                <w:tcPr>
                  <w:tcW w:w="433" w:type="pct"/>
                  <w:vAlign w:val="center"/>
                </w:tcPr>
                <w:p>
                  <w:pPr>
                    <w:pStyle w:val="37"/>
                  </w:pPr>
                  <w:r>
                    <w:t>0.09</w:t>
                  </w:r>
                </w:p>
              </w:tc>
              <w:tc>
                <w:tcPr>
                  <w:tcW w:w="446" w:type="pct"/>
                  <w:vAlign w:val="center"/>
                </w:tcPr>
                <w:p>
                  <w:pPr>
                    <w:pStyle w:val="37"/>
                  </w:pPr>
                  <w:r>
                    <w:t>0.08</w:t>
                  </w:r>
                </w:p>
              </w:tc>
              <w:tc>
                <w:tcPr>
                  <w:tcW w:w="485" w:type="pct"/>
                  <w:vAlign w:val="center"/>
                </w:tcPr>
                <w:p>
                  <w:pPr>
                    <w:pStyle w:val="37"/>
                  </w:pPr>
                  <w:r>
                    <w:t>0.0875</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悬浮物</w:t>
                  </w:r>
                </w:p>
              </w:tc>
              <w:tc>
                <w:tcPr>
                  <w:tcW w:w="454" w:type="pct"/>
                  <w:vAlign w:val="center"/>
                </w:tcPr>
                <w:p>
                  <w:pPr>
                    <w:pStyle w:val="37"/>
                  </w:pPr>
                  <w:r>
                    <w:t>21</w:t>
                  </w:r>
                </w:p>
              </w:tc>
              <w:tc>
                <w:tcPr>
                  <w:tcW w:w="474" w:type="pct"/>
                  <w:vAlign w:val="center"/>
                </w:tcPr>
                <w:p>
                  <w:pPr>
                    <w:pStyle w:val="37"/>
                  </w:pPr>
                  <w:r>
                    <w:t>23</w:t>
                  </w:r>
                </w:p>
              </w:tc>
              <w:tc>
                <w:tcPr>
                  <w:tcW w:w="433" w:type="pct"/>
                  <w:vAlign w:val="center"/>
                </w:tcPr>
                <w:p>
                  <w:pPr>
                    <w:pStyle w:val="37"/>
                  </w:pPr>
                  <w:r>
                    <w:t>20</w:t>
                  </w:r>
                </w:p>
              </w:tc>
              <w:tc>
                <w:tcPr>
                  <w:tcW w:w="446" w:type="pct"/>
                  <w:vAlign w:val="center"/>
                </w:tcPr>
                <w:p>
                  <w:pPr>
                    <w:pStyle w:val="37"/>
                  </w:pPr>
                  <w:r>
                    <w:t>22</w:t>
                  </w:r>
                </w:p>
              </w:tc>
              <w:tc>
                <w:tcPr>
                  <w:tcW w:w="485" w:type="pct"/>
                  <w:vAlign w:val="center"/>
                </w:tcPr>
                <w:p>
                  <w:pPr>
                    <w:pStyle w:val="37"/>
                  </w:pPr>
                  <w:r>
                    <w:t>21.5</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氨氮</w:t>
                  </w:r>
                </w:p>
              </w:tc>
              <w:tc>
                <w:tcPr>
                  <w:tcW w:w="454" w:type="pct"/>
                  <w:vAlign w:val="center"/>
                </w:tcPr>
                <w:p>
                  <w:pPr>
                    <w:pStyle w:val="37"/>
                  </w:pPr>
                  <w:r>
                    <w:t>6.83</w:t>
                  </w:r>
                </w:p>
              </w:tc>
              <w:tc>
                <w:tcPr>
                  <w:tcW w:w="474" w:type="pct"/>
                  <w:vAlign w:val="center"/>
                </w:tcPr>
                <w:p>
                  <w:pPr>
                    <w:pStyle w:val="37"/>
                  </w:pPr>
                  <w:r>
                    <w:t>6.98</w:t>
                  </w:r>
                </w:p>
              </w:tc>
              <w:tc>
                <w:tcPr>
                  <w:tcW w:w="433" w:type="pct"/>
                  <w:vAlign w:val="center"/>
                </w:tcPr>
                <w:p>
                  <w:pPr>
                    <w:pStyle w:val="37"/>
                  </w:pPr>
                  <w:r>
                    <w:t>7.08</w:t>
                  </w:r>
                </w:p>
              </w:tc>
              <w:tc>
                <w:tcPr>
                  <w:tcW w:w="446" w:type="pct"/>
                  <w:vAlign w:val="center"/>
                </w:tcPr>
                <w:p>
                  <w:pPr>
                    <w:pStyle w:val="37"/>
                  </w:pPr>
                  <w:r>
                    <w:t>7.37</w:t>
                  </w:r>
                </w:p>
              </w:tc>
              <w:tc>
                <w:tcPr>
                  <w:tcW w:w="485" w:type="pct"/>
                  <w:vAlign w:val="center"/>
                </w:tcPr>
                <w:p>
                  <w:pPr>
                    <w:pStyle w:val="37"/>
                  </w:pPr>
                  <w:r>
                    <w:t>7.07</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总磷</w:t>
                  </w:r>
                </w:p>
              </w:tc>
              <w:tc>
                <w:tcPr>
                  <w:tcW w:w="454" w:type="pct"/>
                  <w:vAlign w:val="center"/>
                </w:tcPr>
                <w:p>
                  <w:pPr>
                    <w:pStyle w:val="37"/>
                  </w:pPr>
                  <w:r>
                    <w:t>2.19</w:t>
                  </w:r>
                </w:p>
              </w:tc>
              <w:tc>
                <w:tcPr>
                  <w:tcW w:w="474" w:type="pct"/>
                  <w:vAlign w:val="center"/>
                </w:tcPr>
                <w:p>
                  <w:pPr>
                    <w:pStyle w:val="37"/>
                  </w:pPr>
                  <w:r>
                    <w:t>2.21</w:t>
                  </w:r>
                </w:p>
              </w:tc>
              <w:tc>
                <w:tcPr>
                  <w:tcW w:w="433" w:type="pct"/>
                  <w:vAlign w:val="center"/>
                </w:tcPr>
                <w:p>
                  <w:pPr>
                    <w:pStyle w:val="37"/>
                  </w:pPr>
                  <w:r>
                    <w:t>2.18</w:t>
                  </w:r>
                </w:p>
              </w:tc>
              <w:tc>
                <w:tcPr>
                  <w:tcW w:w="446" w:type="pct"/>
                  <w:vAlign w:val="center"/>
                </w:tcPr>
                <w:p>
                  <w:pPr>
                    <w:pStyle w:val="37"/>
                  </w:pPr>
                  <w:r>
                    <w:t>2.20</w:t>
                  </w:r>
                </w:p>
              </w:tc>
              <w:tc>
                <w:tcPr>
                  <w:tcW w:w="485" w:type="pct"/>
                  <w:vAlign w:val="center"/>
                </w:tcPr>
                <w:p>
                  <w:pPr>
                    <w:pStyle w:val="37"/>
                  </w:pPr>
                  <w:r>
                    <w:t>2.20</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石油类</w:t>
                  </w:r>
                </w:p>
              </w:tc>
              <w:tc>
                <w:tcPr>
                  <w:tcW w:w="454" w:type="pct"/>
                  <w:vAlign w:val="center"/>
                </w:tcPr>
                <w:p>
                  <w:pPr>
                    <w:pStyle w:val="37"/>
                  </w:pPr>
                  <w:r>
                    <w:t>0.36</w:t>
                  </w:r>
                </w:p>
              </w:tc>
              <w:tc>
                <w:tcPr>
                  <w:tcW w:w="474" w:type="pct"/>
                  <w:vAlign w:val="center"/>
                </w:tcPr>
                <w:p>
                  <w:pPr>
                    <w:pStyle w:val="37"/>
                  </w:pPr>
                  <w:r>
                    <w:t>0.36</w:t>
                  </w:r>
                </w:p>
              </w:tc>
              <w:tc>
                <w:tcPr>
                  <w:tcW w:w="433" w:type="pct"/>
                  <w:vAlign w:val="center"/>
                </w:tcPr>
                <w:p>
                  <w:pPr>
                    <w:pStyle w:val="37"/>
                  </w:pPr>
                  <w:r>
                    <w:t>0.37</w:t>
                  </w:r>
                </w:p>
              </w:tc>
              <w:tc>
                <w:tcPr>
                  <w:tcW w:w="446" w:type="pct"/>
                  <w:vAlign w:val="center"/>
                </w:tcPr>
                <w:p>
                  <w:pPr>
                    <w:pStyle w:val="37"/>
                  </w:pPr>
                  <w:r>
                    <w:t>0.34</w:t>
                  </w:r>
                </w:p>
              </w:tc>
              <w:tc>
                <w:tcPr>
                  <w:tcW w:w="485" w:type="pct"/>
                  <w:vAlign w:val="center"/>
                </w:tcPr>
                <w:p>
                  <w:pPr>
                    <w:pStyle w:val="37"/>
                  </w:pPr>
                  <w:r>
                    <w:t>0.36</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动植物油</w:t>
                  </w:r>
                </w:p>
              </w:tc>
              <w:tc>
                <w:tcPr>
                  <w:tcW w:w="454" w:type="pct"/>
                  <w:vAlign w:val="center"/>
                </w:tcPr>
                <w:p>
                  <w:pPr>
                    <w:pStyle w:val="37"/>
                  </w:pPr>
                  <w:r>
                    <w:t>3.24</w:t>
                  </w:r>
                </w:p>
              </w:tc>
              <w:tc>
                <w:tcPr>
                  <w:tcW w:w="474" w:type="pct"/>
                  <w:vAlign w:val="center"/>
                </w:tcPr>
                <w:p>
                  <w:pPr>
                    <w:pStyle w:val="37"/>
                  </w:pPr>
                  <w:r>
                    <w:t>3.21</w:t>
                  </w:r>
                </w:p>
              </w:tc>
              <w:tc>
                <w:tcPr>
                  <w:tcW w:w="433" w:type="pct"/>
                  <w:vAlign w:val="center"/>
                </w:tcPr>
                <w:p>
                  <w:pPr>
                    <w:pStyle w:val="37"/>
                  </w:pPr>
                  <w:r>
                    <w:t>3.18</w:t>
                  </w:r>
                </w:p>
              </w:tc>
              <w:tc>
                <w:tcPr>
                  <w:tcW w:w="446" w:type="pct"/>
                  <w:vAlign w:val="center"/>
                </w:tcPr>
                <w:p>
                  <w:pPr>
                    <w:pStyle w:val="37"/>
                  </w:pPr>
                  <w:r>
                    <w:t>3.16</w:t>
                  </w:r>
                </w:p>
              </w:tc>
              <w:tc>
                <w:tcPr>
                  <w:tcW w:w="485" w:type="pct"/>
                  <w:vAlign w:val="center"/>
                </w:tcPr>
                <w:p>
                  <w:pPr>
                    <w:pStyle w:val="37"/>
                  </w:pPr>
                  <w:r>
                    <w:t>3.20</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restart"/>
                  <w:vAlign w:val="center"/>
                </w:tcPr>
                <w:p>
                  <w:pPr>
                    <w:pStyle w:val="37"/>
                  </w:pPr>
                  <w:r>
                    <w:rPr>
                      <w:rFonts w:hint="eastAsia"/>
                    </w:rPr>
                    <w:t>2021年</w:t>
                  </w:r>
                  <w:r>
                    <w:t>8月11日</w:t>
                  </w:r>
                </w:p>
              </w:tc>
              <w:tc>
                <w:tcPr>
                  <w:tcW w:w="380" w:type="pct"/>
                  <w:vMerge w:val="restart"/>
                  <w:vAlign w:val="center"/>
                </w:tcPr>
                <w:p>
                  <w:pPr>
                    <w:pStyle w:val="37"/>
                  </w:pPr>
                  <w:r>
                    <w:t>厂区综合废水处理站排放口</w:t>
                  </w:r>
                </w:p>
              </w:tc>
              <w:tc>
                <w:tcPr>
                  <w:tcW w:w="1037" w:type="pct"/>
                  <w:vAlign w:val="center"/>
                </w:tcPr>
                <w:p>
                  <w:pPr>
                    <w:pStyle w:val="37"/>
                  </w:pPr>
                  <w:r>
                    <w:t>pH值（无量纲）</w:t>
                  </w:r>
                </w:p>
              </w:tc>
              <w:tc>
                <w:tcPr>
                  <w:tcW w:w="454" w:type="pct"/>
                  <w:vAlign w:val="center"/>
                </w:tcPr>
                <w:p>
                  <w:pPr>
                    <w:pStyle w:val="37"/>
                  </w:pPr>
                  <w:r>
                    <w:t>7.3</w:t>
                  </w:r>
                </w:p>
              </w:tc>
              <w:tc>
                <w:tcPr>
                  <w:tcW w:w="474" w:type="pct"/>
                  <w:vAlign w:val="center"/>
                </w:tcPr>
                <w:p>
                  <w:pPr>
                    <w:pStyle w:val="37"/>
                  </w:pPr>
                  <w:r>
                    <w:t>7.2</w:t>
                  </w:r>
                </w:p>
              </w:tc>
              <w:tc>
                <w:tcPr>
                  <w:tcW w:w="433" w:type="pct"/>
                  <w:vAlign w:val="center"/>
                </w:tcPr>
                <w:p>
                  <w:pPr>
                    <w:pStyle w:val="37"/>
                  </w:pPr>
                  <w:r>
                    <w:t>7.2</w:t>
                  </w:r>
                </w:p>
              </w:tc>
              <w:tc>
                <w:tcPr>
                  <w:tcW w:w="446" w:type="pct"/>
                  <w:vAlign w:val="center"/>
                </w:tcPr>
                <w:p>
                  <w:pPr>
                    <w:pStyle w:val="37"/>
                  </w:pPr>
                  <w:r>
                    <w:t>7. 1</w:t>
                  </w:r>
                </w:p>
              </w:tc>
              <w:tc>
                <w:tcPr>
                  <w:tcW w:w="485" w:type="pct"/>
                  <w:vAlign w:val="center"/>
                </w:tcPr>
                <w:p>
                  <w:pPr>
                    <w:pStyle w:val="37"/>
                  </w:pPr>
                  <w:r>
                    <w:t>7.2</w:t>
                  </w:r>
                </w:p>
              </w:tc>
              <w:tc>
                <w:tcPr>
                  <w:tcW w:w="383" w:type="pct"/>
                  <w:vAlign w:val="center"/>
                </w:tcPr>
                <w:p>
                  <w:pPr>
                    <w:pStyle w:val="37"/>
                  </w:pPr>
                  <w:r>
                    <w:t>6~9</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化学需氧量</w:t>
                  </w:r>
                </w:p>
              </w:tc>
              <w:tc>
                <w:tcPr>
                  <w:tcW w:w="454" w:type="pct"/>
                  <w:vAlign w:val="center"/>
                </w:tcPr>
                <w:p>
                  <w:pPr>
                    <w:pStyle w:val="37"/>
                  </w:pPr>
                  <w:r>
                    <w:t>21</w:t>
                  </w:r>
                </w:p>
              </w:tc>
              <w:tc>
                <w:tcPr>
                  <w:tcW w:w="474" w:type="pct"/>
                  <w:vAlign w:val="center"/>
                </w:tcPr>
                <w:p>
                  <w:pPr>
                    <w:pStyle w:val="37"/>
                  </w:pPr>
                  <w:r>
                    <w:t>20</w:t>
                  </w:r>
                </w:p>
              </w:tc>
              <w:tc>
                <w:tcPr>
                  <w:tcW w:w="433" w:type="pct"/>
                  <w:vAlign w:val="center"/>
                </w:tcPr>
                <w:p>
                  <w:pPr>
                    <w:pStyle w:val="37"/>
                  </w:pPr>
                  <w:r>
                    <w:t>20</w:t>
                  </w:r>
                </w:p>
              </w:tc>
              <w:tc>
                <w:tcPr>
                  <w:tcW w:w="446" w:type="pct"/>
                  <w:vAlign w:val="center"/>
                </w:tcPr>
                <w:p>
                  <w:pPr>
                    <w:pStyle w:val="37"/>
                  </w:pPr>
                  <w:r>
                    <w:t>20</w:t>
                  </w:r>
                </w:p>
              </w:tc>
              <w:tc>
                <w:tcPr>
                  <w:tcW w:w="485" w:type="pct"/>
                  <w:vAlign w:val="center"/>
                </w:tcPr>
                <w:p>
                  <w:pPr>
                    <w:pStyle w:val="37"/>
                  </w:pPr>
                  <w:r>
                    <w:t>20.25</w:t>
                  </w:r>
                </w:p>
              </w:tc>
              <w:tc>
                <w:tcPr>
                  <w:tcW w:w="383" w:type="pct"/>
                  <w:vAlign w:val="center"/>
                </w:tcPr>
                <w:p>
                  <w:pPr>
                    <w:pStyle w:val="37"/>
                  </w:pPr>
                  <w:r>
                    <w:t>500</w:t>
                  </w:r>
                </w:p>
              </w:tc>
              <w:tc>
                <w:tcPr>
                  <w:tcW w:w="496" w:type="pct"/>
                  <w:vAlign w:val="center"/>
                </w:tcPr>
                <w:p>
                  <w:pPr>
                    <w:pStyle w:val="37"/>
                  </w:pPr>
                  <w:r>
                    <w:t>达标</w:t>
                  </w:r>
                </w:p>
              </w:tc>
            </w:tr>
            <w:tr>
              <w:tblPrEx>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生化需氧量</w:t>
                  </w:r>
                </w:p>
              </w:tc>
              <w:tc>
                <w:tcPr>
                  <w:tcW w:w="454" w:type="pct"/>
                  <w:vAlign w:val="center"/>
                </w:tcPr>
                <w:p>
                  <w:pPr>
                    <w:pStyle w:val="37"/>
                  </w:pPr>
                  <w:r>
                    <w:t>4.1</w:t>
                  </w:r>
                </w:p>
              </w:tc>
              <w:tc>
                <w:tcPr>
                  <w:tcW w:w="474" w:type="pct"/>
                  <w:vAlign w:val="center"/>
                </w:tcPr>
                <w:p>
                  <w:pPr>
                    <w:pStyle w:val="37"/>
                  </w:pPr>
                  <w:r>
                    <w:t>4.0</w:t>
                  </w:r>
                </w:p>
              </w:tc>
              <w:tc>
                <w:tcPr>
                  <w:tcW w:w="433" w:type="pct"/>
                  <w:vAlign w:val="center"/>
                </w:tcPr>
                <w:p>
                  <w:pPr>
                    <w:pStyle w:val="37"/>
                  </w:pPr>
                  <w:r>
                    <w:t>3.9</w:t>
                  </w:r>
                </w:p>
              </w:tc>
              <w:tc>
                <w:tcPr>
                  <w:tcW w:w="446" w:type="pct"/>
                  <w:vAlign w:val="center"/>
                </w:tcPr>
                <w:p>
                  <w:pPr>
                    <w:pStyle w:val="37"/>
                  </w:pPr>
                  <w:r>
                    <w:t>4.0</w:t>
                  </w:r>
                </w:p>
              </w:tc>
              <w:tc>
                <w:tcPr>
                  <w:tcW w:w="485" w:type="pct"/>
                  <w:vAlign w:val="center"/>
                </w:tcPr>
                <w:p>
                  <w:pPr>
                    <w:pStyle w:val="37"/>
                  </w:pPr>
                  <w:r>
                    <w:t>4</w:t>
                  </w:r>
                </w:p>
              </w:tc>
              <w:tc>
                <w:tcPr>
                  <w:tcW w:w="383" w:type="pct"/>
                  <w:vAlign w:val="center"/>
                </w:tcPr>
                <w:p>
                  <w:pPr>
                    <w:pStyle w:val="37"/>
                  </w:pPr>
                  <w:r>
                    <w:t>300</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阴离子表面活性剂</w:t>
                  </w:r>
                </w:p>
              </w:tc>
              <w:tc>
                <w:tcPr>
                  <w:tcW w:w="454" w:type="pct"/>
                  <w:vAlign w:val="center"/>
                </w:tcPr>
                <w:p>
                  <w:pPr>
                    <w:pStyle w:val="37"/>
                  </w:pPr>
                  <w:r>
                    <w:t>0.05L</w:t>
                  </w:r>
                </w:p>
              </w:tc>
              <w:tc>
                <w:tcPr>
                  <w:tcW w:w="474" w:type="pct"/>
                  <w:vAlign w:val="center"/>
                </w:tcPr>
                <w:p>
                  <w:pPr>
                    <w:pStyle w:val="37"/>
                  </w:pPr>
                  <w:r>
                    <w:t>0.05L</w:t>
                  </w:r>
                </w:p>
              </w:tc>
              <w:tc>
                <w:tcPr>
                  <w:tcW w:w="433" w:type="pct"/>
                  <w:vAlign w:val="center"/>
                </w:tcPr>
                <w:p>
                  <w:pPr>
                    <w:pStyle w:val="37"/>
                  </w:pPr>
                  <w:r>
                    <w:t>0.05L</w:t>
                  </w:r>
                </w:p>
              </w:tc>
              <w:tc>
                <w:tcPr>
                  <w:tcW w:w="446" w:type="pct"/>
                  <w:vAlign w:val="center"/>
                </w:tcPr>
                <w:p>
                  <w:pPr>
                    <w:pStyle w:val="37"/>
                  </w:pPr>
                  <w:r>
                    <w:t>0.05L</w:t>
                  </w:r>
                </w:p>
              </w:tc>
              <w:tc>
                <w:tcPr>
                  <w:tcW w:w="485" w:type="pct"/>
                  <w:vAlign w:val="center"/>
                </w:tcPr>
                <w:p>
                  <w:pPr>
                    <w:pStyle w:val="37"/>
                  </w:pPr>
                  <w:r>
                    <w:t>0.05L</w:t>
                  </w:r>
                </w:p>
              </w:tc>
              <w:tc>
                <w:tcPr>
                  <w:tcW w:w="383" w:type="pct"/>
                  <w:vAlign w:val="center"/>
                </w:tcPr>
                <w:p>
                  <w:pPr>
                    <w:pStyle w:val="37"/>
                  </w:pPr>
                  <w:r>
                    <w:t>20</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悬浮物</w:t>
                  </w:r>
                </w:p>
              </w:tc>
              <w:tc>
                <w:tcPr>
                  <w:tcW w:w="454" w:type="pct"/>
                  <w:vAlign w:val="center"/>
                </w:tcPr>
                <w:p>
                  <w:pPr>
                    <w:pStyle w:val="37"/>
                  </w:pPr>
                  <w:r>
                    <w:t>9</w:t>
                  </w:r>
                </w:p>
              </w:tc>
              <w:tc>
                <w:tcPr>
                  <w:tcW w:w="474" w:type="pct"/>
                  <w:vAlign w:val="center"/>
                </w:tcPr>
                <w:p>
                  <w:pPr>
                    <w:pStyle w:val="37"/>
                  </w:pPr>
                  <w:r>
                    <w:t>10</w:t>
                  </w:r>
                </w:p>
              </w:tc>
              <w:tc>
                <w:tcPr>
                  <w:tcW w:w="433" w:type="pct"/>
                  <w:vAlign w:val="center"/>
                </w:tcPr>
                <w:p>
                  <w:pPr>
                    <w:pStyle w:val="37"/>
                  </w:pPr>
                  <w:r>
                    <w:t>11</w:t>
                  </w:r>
                </w:p>
              </w:tc>
              <w:tc>
                <w:tcPr>
                  <w:tcW w:w="446" w:type="pct"/>
                  <w:vAlign w:val="center"/>
                </w:tcPr>
                <w:p>
                  <w:pPr>
                    <w:pStyle w:val="37"/>
                  </w:pPr>
                  <w:r>
                    <w:t>11</w:t>
                  </w:r>
                </w:p>
              </w:tc>
              <w:tc>
                <w:tcPr>
                  <w:tcW w:w="485" w:type="pct"/>
                  <w:vAlign w:val="center"/>
                </w:tcPr>
                <w:p>
                  <w:pPr>
                    <w:pStyle w:val="37"/>
                  </w:pPr>
                  <w:r>
                    <w:t>10.25</w:t>
                  </w:r>
                </w:p>
              </w:tc>
              <w:tc>
                <w:tcPr>
                  <w:tcW w:w="383" w:type="pct"/>
                  <w:vAlign w:val="center"/>
                </w:tcPr>
                <w:p>
                  <w:pPr>
                    <w:pStyle w:val="37"/>
                  </w:pPr>
                  <w:r>
                    <w:t>400</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氨氮</w:t>
                  </w:r>
                </w:p>
              </w:tc>
              <w:tc>
                <w:tcPr>
                  <w:tcW w:w="454" w:type="pct"/>
                  <w:vAlign w:val="center"/>
                </w:tcPr>
                <w:p>
                  <w:pPr>
                    <w:pStyle w:val="37"/>
                  </w:pPr>
                  <w:r>
                    <w:t>1.05</w:t>
                  </w:r>
                </w:p>
              </w:tc>
              <w:tc>
                <w:tcPr>
                  <w:tcW w:w="474" w:type="pct"/>
                  <w:vAlign w:val="center"/>
                </w:tcPr>
                <w:p>
                  <w:pPr>
                    <w:pStyle w:val="37"/>
                  </w:pPr>
                  <w:r>
                    <w:t>1.08</w:t>
                  </w:r>
                </w:p>
              </w:tc>
              <w:tc>
                <w:tcPr>
                  <w:tcW w:w="433" w:type="pct"/>
                  <w:vAlign w:val="center"/>
                </w:tcPr>
                <w:p>
                  <w:pPr>
                    <w:pStyle w:val="37"/>
                  </w:pPr>
                  <w:r>
                    <w:t>1.05</w:t>
                  </w:r>
                </w:p>
              </w:tc>
              <w:tc>
                <w:tcPr>
                  <w:tcW w:w="446" w:type="pct"/>
                  <w:vAlign w:val="center"/>
                </w:tcPr>
                <w:p>
                  <w:pPr>
                    <w:pStyle w:val="37"/>
                  </w:pPr>
                  <w:r>
                    <w:t>1.08</w:t>
                  </w:r>
                </w:p>
              </w:tc>
              <w:tc>
                <w:tcPr>
                  <w:tcW w:w="485" w:type="pct"/>
                  <w:vAlign w:val="center"/>
                </w:tcPr>
                <w:p>
                  <w:pPr>
                    <w:pStyle w:val="37"/>
                  </w:pPr>
                  <w:r>
                    <w:t>1.07</w:t>
                  </w:r>
                </w:p>
              </w:tc>
              <w:tc>
                <w:tcPr>
                  <w:tcW w:w="383" w:type="pct"/>
                  <w:vAlign w:val="center"/>
                </w:tcPr>
                <w:p>
                  <w:pPr>
                    <w:pStyle w:val="37"/>
                  </w:pPr>
                  <w:r>
                    <w:t>45</w:t>
                  </w:r>
                </w:p>
              </w:tc>
              <w:tc>
                <w:tcPr>
                  <w:tcW w:w="496" w:type="pct"/>
                  <w:vAlign w:val="center"/>
                </w:tcPr>
                <w:p>
                  <w:pPr>
                    <w:pStyle w:val="37"/>
                  </w:pPr>
                  <w:r>
                    <w:t>达标</w:t>
                  </w:r>
                </w:p>
              </w:tc>
            </w:tr>
            <w:tr>
              <w:tblPrEx>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总磷</w:t>
                  </w:r>
                </w:p>
              </w:tc>
              <w:tc>
                <w:tcPr>
                  <w:tcW w:w="454" w:type="pct"/>
                  <w:vAlign w:val="center"/>
                </w:tcPr>
                <w:p>
                  <w:pPr>
                    <w:pStyle w:val="37"/>
                  </w:pPr>
                  <w:r>
                    <w:t>1.50</w:t>
                  </w:r>
                </w:p>
              </w:tc>
              <w:tc>
                <w:tcPr>
                  <w:tcW w:w="474" w:type="pct"/>
                  <w:vAlign w:val="center"/>
                </w:tcPr>
                <w:p>
                  <w:pPr>
                    <w:pStyle w:val="37"/>
                  </w:pPr>
                  <w:r>
                    <w:t>1.48</w:t>
                  </w:r>
                </w:p>
              </w:tc>
              <w:tc>
                <w:tcPr>
                  <w:tcW w:w="433" w:type="pct"/>
                  <w:vAlign w:val="center"/>
                </w:tcPr>
                <w:p>
                  <w:pPr>
                    <w:pStyle w:val="37"/>
                  </w:pPr>
                  <w:r>
                    <w:t>1.50</w:t>
                  </w:r>
                </w:p>
              </w:tc>
              <w:tc>
                <w:tcPr>
                  <w:tcW w:w="446" w:type="pct"/>
                  <w:vAlign w:val="center"/>
                </w:tcPr>
                <w:p>
                  <w:pPr>
                    <w:pStyle w:val="37"/>
                  </w:pPr>
                  <w:r>
                    <w:t>1.51</w:t>
                  </w:r>
                </w:p>
              </w:tc>
              <w:tc>
                <w:tcPr>
                  <w:tcW w:w="485" w:type="pct"/>
                  <w:vAlign w:val="center"/>
                </w:tcPr>
                <w:p>
                  <w:pPr>
                    <w:pStyle w:val="37"/>
                  </w:pPr>
                  <w:r>
                    <w:t>1.50</w:t>
                  </w:r>
                </w:p>
              </w:tc>
              <w:tc>
                <w:tcPr>
                  <w:tcW w:w="383" w:type="pct"/>
                  <w:vAlign w:val="center"/>
                </w:tcPr>
                <w:p>
                  <w:pPr>
                    <w:pStyle w:val="37"/>
                  </w:pPr>
                  <w:r>
                    <w:t>8</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石油类</w:t>
                  </w:r>
                </w:p>
              </w:tc>
              <w:tc>
                <w:tcPr>
                  <w:tcW w:w="454" w:type="pct"/>
                  <w:vAlign w:val="center"/>
                </w:tcPr>
                <w:p>
                  <w:pPr>
                    <w:pStyle w:val="37"/>
                  </w:pPr>
                  <w:r>
                    <w:t>0.20</w:t>
                  </w:r>
                </w:p>
              </w:tc>
              <w:tc>
                <w:tcPr>
                  <w:tcW w:w="474" w:type="pct"/>
                  <w:vAlign w:val="center"/>
                </w:tcPr>
                <w:p>
                  <w:pPr>
                    <w:pStyle w:val="37"/>
                  </w:pPr>
                  <w:r>
                    <w:t>0.17</w:t>
                  </w:r>
                </w:p>
              </w:tc>
              <w:tc>
                <w:tcPr>
                  <w:tcW w:w="433" w:type="pct"/>
                  <w:vAlign w:val="center"/>
                </w:tcPr>
                <w:p>
                  <w:pPr>
                    <w:pStyle w:val="37"/>
                  </w:pPr>
                  <w:r>
                    <w:t>0.18</w:t>
                  </w:r>
                </w:p>
              </w:tc>
              <w:tc>
                <w:tcPr>
                  <w:tcW w:w="446" w:type="pct"/>
                  <w:vAlign w:val="center"/>
                </w:tcPr>
                <w:p>
                  <w:pPr>
                    <w:pStyle w:val="37"/>
                  </w:pPr>
                  <w:r>
                    <w:t>0.22</w:t>
                  </w:r>
                </w:p>
              </w:tc>
              <w:tc>
                <w:tcPr>
                  <w:tcW w:w="485" w:type="pct"/>
                  <w:vAlign w:val="center"/>
                </w:tcPr>
                <w:p>
                  <w:pPr>
                    <w:pStyle w:val="37"/>
                  </w:pPr>
                  <w:r>
                    <w:t>0.19</w:t>
                  </w:r>
                </w:p>
              </w:tc>
              <w:tc>
                <w:tcPr>
                  <w:tcW w:w="383" w:type="pct"/>
                  <w:vAlign w:val="center"/>
                </w:tcPr>
                <w:p>
                  <w:pPr>
                    <w:pStyle w:val="37"/>
                  </w:pPr>
                  <w:r>
                    <w:t>5</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动植物油</w:t>
                  </w:r>
                </w:p>
              </w:tc>
              <w:tc>
                <w:tcPr>
                  <w:tcW w:w="454" w:type="pct"/>
                  <w:vAlign w:val="center"/>
                </w:tcPr>
                <w:p>
                  <w:pPr>
                    <w:pStyle w:val="37"/>
                  </w:pPr>
                  <w:r>
                    <w:t>0.06L</w:t>
                  </w:r>
                </w:p>
              </w:tc>
              <w:tc>
                <w:tcPr>
                  <w:tcW w:w="474" w:type="pct"/>
                  <w:vAlign w:val="center"/>
                </w:tcPr>
                <w:p>
                  <w:pPr>
                    <w:pStyle w:val="37"/>
                  </w:pPr>
                  <w:r>
                    <w:t>0.12</w:t>
                  </w:r>
                </w:p>
              </w:tc>
              <w:tc>
                <w:tcPr>
                  <w:tcW w:w="433" w:type="pct"/>
                  <w:vAlign w:val="center"/>
                </w:tcPr>
                <w:p>
                  <w:pPr>
                    <w:pStyle w:val="37"/>
                  </w:pPr>
                  <w:r>
                    <w:t>0.12</w:t>
                  </w:r>
                </w:p>
              </w:tc>
              <w:tc>
                <w:tcPr>
                  <w:tcW w:w="446" w:type="pct"/>
                  <w:vAlign w:val="center"/>
                </w:tcPr>
                <w:p>
                  <w:pPr>
                    <w:pStyle w:val="37"/>
                  </w:pPr>
                  <w:r>
                    <w:t>0.06L</w:t>
                  </w:r>
                </w:p>
              </w:tc>
              <w:tc>
                <w:tcPr>
                  <w:tcW w:w="485" w:type="pct"/>
                  <w:vAlign w:val="center"/>
                </w:tcPr>
                <w:p>
                  <w:pPr>
                    <w:pStyle w:val="37"/>
                  </w:pPr>
                  <w:r>
                    <w:t>0.12</w:t>
                  </w:r>
                </w:p>
              </w:tc>
              <w:tc>
                <w:tcPr>
                  <w:tcW w:w="383" w:type="pct"/>
                  <w:vAlign w:val="center"/>
                </w:tcPr>
                <w:p>
                  <w:pPr>
                    <w:pStyle w:val="37"/>
                  </w:pPr>
                  <w:r>
                    <w:t>10</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12" w:type="pct"/>
                  <w:vMerge w:val="restart"/>
                  <w:vAlign w:val="center"/>
                </w:tcPr>
                <w:p>
                  <w:pPr>
                    <w:pStyle w:val="37"/>
                  </w:pPr>
                  <w:r>
                    <w:rPr>
                      <w:rFonts w:hint="eastAsia"/>
                    </w:rPr>
                    <w:t>2021年9</w:t>
                  </w:r>
                  <w:r>
                    <w:t>月</w:t>
                  </w:r>
                  <w:r>
                    <w:rPr>
                      <w:rFonts w:hint="eastAsia"/>
                    </w:rPr>
                    <w:t>4日</w:t>
                  </w:r>
                </w:p>
              </w:tc>
              <w:tc>
                <w:tcPr>
                  <w:tcW w:w="380" w:type="pct"/>
                  <w:vMerge w:val="continue"/>
                  <w:vAlign w:val="center"/>
                </w:tcPr>
                <w:p>
                  <w:pPr>
                    <w:pStyle w:val="37"/>
                  </w:pPr>
                </w:p>
              </w:tc>
              <w:tc>
                <w:tcPr>
                  <w:tcW w:w="1037" w:type="pct"/>
                  <w:vAlign w:val="center"/>
                </w:tcPr>
                <w:p>
                  <w:pPr>
                    <w:pStyle w:val="37"/>
                  </w:pPr>
                  <w:r>
                    <w:rPr>
                      <w:rFonts w:hint="eastAsia"/>
                    </w:rPr>
                    <w:t>磷酸盐</w:t>
                  </w:r>
                </w:p>
              </w:tc>
              <w:tc>
                <w:tcPr>
                  <w:tcW w:w="454" w:type="pct"/>
                  <w:vAlign w:val="center"/>
                </w:tcPr>
                <w:p>
                  <w:pPr>
                    <w:pStyle w:val="37"/>
                  </w:pPr>
                  <w:r>
                    <w:rPr>
                      <w:rFonts w:hint="eastAsia"/>
                    </w:rPr>
                    <w:t>1.51</w:t>
                  </w:r>
                </w:p>
              </w:tc>
              <w:tc>
                <w:tcPr>
                  <w:tcW w:w="474" w:type="pct"/>
                  <w:vAlign w:val="center"/>
                </w:tcPr>
                <w:p>
                  <w:pPr>
                    <w:pStyle w:val="37"/>
                  </w:pPr>
                  <w:r>
                    <w:rPr>
                      <w:rFonts w:hint="eastAsia"/>
                    </w:rPr>
                    <w:t>1.50</w:t>
                  </w:r>
                </w:p>
              </w:tc>
              <w:tc>
                <w:tcPr>
                  <w:tcW w:w="433" w:type="pct"/>
                  <w:vAlign w:val="center"/>
                </w:tcPr>
                <w:p>
                  <w:pPr>
                    <w:pStyle w:val="37"/>
                  </w:pPr>
                  <w:r>
                    <w:rPr>
                      <w:rFonts w:hint="eastAsia"/>
                    </w:rPr>
                    <w:t>1.49</w:t>
                  </w:r>
                </w:p>
              </w:tc>
              <w:tc>
                <w:tcPr>
                  <w:tcW w:w="446" w:type="pct"/>
                  <w:vAlign w:val="center"/>
                </w:tcPr>
                <w:p>
                  <w:pPr>
                    <w:pStyle w:val="37"/>
                  </w:pPr>
                  <w:r>
                    <w:rPr>
                      <w:rFonts w:hint="eastAsia"/>
                    </w:rPr>
                    <w:t>1.52</w:t>
                  </w:r>
                </w:p>
              </w:tc>
              <w:tc>
                <w:tcPr>
                  <w:tcW w:w="485" w:type="pct"/>
                  <w:vAlign w:val="center"/>
                </w:tcPr>
                <w:p>
                  <w:pPr>
                    <w:pStyle w:val="37"/>
                  </w:pPr>
                  <w:r>
                    <w:rPr>
                      <w:rFonts w:hint="eastAsia"/>
                    </w:rPr>
                    <w:t>/</w:t>
                  </w:r>
                </w:p>
              </w:tc>
              <w:tc>
                <w:tcPr>
                  <w:tcW w:w="383" w:type="pct"/>
                  <w:vAlign w:val="center"/>
                </w:tcPr>
                <w:p>
                  <w:pPr>
                    <w:pStyle w:val="37"/>
                  </w:pPr>
                  <w:r>
                    <w:rPr>
                      <w:rFonts w:hint="eastAsia"/>
                    </w:rPr>
                    <w:t>8</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rPr>
                      <w:rFonts w:hint="eastAsia"/>
                    </w:rPr>
                    <w:t>镍</w:t>
                  </w:r>
                </w:p>
              </w:tc>
              <w:tc>
                <w:tcPr>
                  <w:tcW w:w="454" w:type="pct"/>
                  <w:vAlign w:val="center"/>
                </w:tcPr>
                <w:p>
                  <w:pPr>
                    <w:pStyle w:val="37"/>
                  </w:pPr>
                  <w:r>
                    <w:rPr>
                      <w:rFonts w:hint="eastAsia"/>
                    </w:rPr>
                    <w:t>0.032</w:t>
                  </w:r>
                </w:p>
              </w:tc>
              <w:tc>
                <w:tcPr>
                  <w:tcW w:w="474" w:type="pct"/>
                  <w:vAlign w:val="center"/>
                </w:tcPr>
                <w:p>
                  <w:pPr>
                    <w:pStyle w:val="37"/>
                  </w:pPr>
                  <w:r>
                    <w:rPr>
                      <w:rFonts w:hint="eastAsia"/>
                    </w:rPr>
                    <w:t>0.037</w:t>
                  </w:r>
                </w:p>
              </w:tc>
              <w:tc>
                <w:tcPr>
                  <w:tcW w:w="433" w:type="pct"/>
                  <w:vAlign w:val="center"/>
                </w:tcPr>
                <w:p>
                  <w:pPr>
                    <w:pStyle w:val="37"/>
                  </w:pPr>
                  <w:r>
                    <w:rPr>
                      <w:rFonts w:hint="eastAsia"/>
                    </w:rPr>
                    <w:t>0.032</w:t>
                  </w:r>
                </w:p>
              </w:tc>
              <w:tc>
                <w:tcPr>
                  <w:tcW w:w="446" w:type="pct"/>
                  <w:vAlign w:val="center"/>
                </w:tcPr>
                <w:p>
                  <w:pPr>
                    <w:pStyle w:val="37"/>
                  </w:pPr>
                  <w:r>
                    <w:rPr>
                      <w:rFonts w:hint="eastAsia"/>
                    </w:rPr>
                    <w:t>0.032</w:t>
                  </w:r>
                </w:p>
              </w:tc>
              <w:tc>
                <w:tcPr>
                  <w:tcW w:w="485" w:type="pct"/>
                  <w:vAlign w:val="center"/>
                </w:tcPr>
                <w:p>
                  <w:pPr>
                    <w:pStyle w:val="37"/>
                  </w:pPr>
                  <w:r>
                    <w:rPr>
                      <w:rFonts w:hint="eastAsia"/>
                    </w:rPr>
                    <w:t>/</w:t>
                  </w:r>
                </w:p>
              </w:tc>
              <w:tc>
                <w:tcPr>
                  <w:tcW w:w="383" w:type="pct"/>
                  <w:vAlign w:val="center"/>
                </w:tcPr>
                <w:p>
                  <w:pPr>
                    <w:pStyle w:val="37"/>
                  </w:pPr>
                  <w:r>
                    <w:rPr>
                      <w:rFonts w:hint="eastAsia"/>
                    </w:rPr>
                    <w:t>1</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rPr>
                      <w:rFonts w:hint="eastAsia"/>
                    </w:rPr>
                    <w:t>锌</w:t>
                  </w:r>
                </w:p>
              </w:tc>
              <w:tc>
                <w:tcPr>
                  <w:tcW w:w="454" w:type="pct"/>
                  <w:vAlign w:val="center"/>
                </w:tcPr>
                <w:p>
                  <w:pPr>
                    <w:pStyle w:val="37"/>
                  </w:pPr>
                  <w:r>
                    <w:rPr>
                      <w:rFonts w:hint="eastAsia"/>
                    </w:rPr>
                    <w:t>0.009L</w:t>
                  </w:r>
                </w:p>
              </w:tc>
              <w:tc>
                <w:tcPr>
                  <w:tcW w:w="474" w:type="pct"/>
                  <w:vAlign w:val="center"/>
                </w:tcPr>
                <w:p>
                  <w:pPr>
                    <w:pStyle w:val="37"/>
                  </w:pPr>
                  <w:r>
                    <w:rPr>
                      <w:rFonts w:hint="eastAsia"/>
                    </w:rPr>
                    <w:t>0.009L</w:t>
                  </w:r>
                </w:p>
              </w:tc>
              <w:tc>
                <w:tcPr>
                  <w:tcW w:w="433" w:type="pct"/>
                  <w:vAlign w:val="center"/>
                </w:tcPr>
                <w:p>
                  <w:pPr>
                    <w:pStyle w:val="37"/>
                  </w:pPr>
                  <w:r>
                    <w:rPr>
                      <w:rFonts w:hint="eastAsia"/>
                    </w:rPr>
                    <w:t>0.009L</w:t>
                  </w:r>
                </w:p>
              </w:tc>
              <w:tc>
                <w:tcPr>
                  <w:tcW w:w="446" w:type="pct"/>
                  <w:vAlign w:val="center"/>
                </w:tcPr>
                <w:p>
                  <w:pPr>
                    <w:pStyle w:val="37"/>
                  </w:pPr>
                  <w:r>
                    <w:rPr>
                      <w:rFonts w:hint="eastAsia"/>
                    </w:rPr>
                    <w:t>0.009L</w:t>
                  </w:r>
                </w:p>
              </w:tc>
              <w:tc>
                <w:tcPr>
                  <w:tcW w:w="485" w:type="pct"/>
                  <w:vAlign w:val="center"/>
                </w:tcPr>
                <w:p>
                  <w:pPr>
                    <w:pStyle w:val="37"/>
                  </w:pPr>
                  <w:r>
                    <w:rPr>
                      <w:rFonts w:hint="eastAsia"/>
                    </w:rPr>
                    <w:t>/</w:t>
                  </w:r>
                </w:p>
              </w:tc>
              <w:tc>
                <w:tcPr>
                  <w:tcW w:w="383" w:type="pct"/>
                  <w:vAlign w:val="center"/>
                </w:tcPr>
                <w:p>
                  <w:pPr>
                    <w:pStyle w:val="37"/>
                  </w:pPr>
                  <w:r>
                    <w:rPr>
                      <w:rFonts w:hint="eastAsia"/>
                    </w:rPr>
                    <w:t>2</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restart"/>
                  <w:vAlign w:val="center"/>
                </w:tcPr>
                <w:p>
                  <w:pPr>
                    <w:pStyle w:val="37"/>
                  </w:pPr>
                  <w:r>
                    <w:rPr>
                      <w:rFonts w:hint="eastAsia"/>
                    </w:rPr>
                    <w:t>2021年</w:t>
                  </w:r>
                  <w:r>
                    <w:t>8月12日</w:t>
                  </w:r>
                </w:p>
              </w:tc>
              <w:tc>
                <w:tcPr>
                  <w:tcW w:w="380" w:type="pct"/>
                  <w:vMerge w:val="restart"/>
                  <w:vAlign w:val="center"/>
                </w:tcPr>
                <w:p>
                  <w:pPr>
                    <w:pStyle w:val="37"/>
                  </w:pPr>
                  <w:r>
                    <w:t>厂区综合废水收集池</w:t>
                  </w:r>
                </w:p>
              </w:tc>
              <w:tc>
                <w:tcPr>
                  <w:tcW w:w="1037" w:type="pct"/>
                  <w:vAlign w:val="center"/>
                </w:tcPr>
                <w:p>
                  <w:pPr>
                    <w:pStyle w:val="37"/>
                  </w:pPr>
                  <w:r>
                    <w:t>pH值（无量纲）</w:t>
                  </w:r>
                </w:p>
              </w:tc>
              <w:tc>
                <w:tcPr>
                  <w:tcW w:w="454" w:type="pct"/>
                  <w:vAlign w:val="center"/>
                </w:tcPr>
                <w:p>
                  <w:pPr>
                    <w:pStyle w:val="37"/>
                  </w:pPr>
                  <w:r>
                    <w:t>10.1</w:t>
                  </w:r>
                </w:p>
              </w:tc>
              <w:tc>
                <w:tcPr>
                  <w:tcW w:w="474" w:type="pct"/>
                  <w:vAlign w:val="center"/>
                </w:tcPr>
                <w:p>
                  <w:pPr>
                    <w:pStyle w:val="37"/>
                  </w:pPr>
                  <w:r>
                    <w:t>10.3</w:t>
                  </w:r>
                </w:p>
              </w:tc>
              <w:tc>
                <w:tcPr>
                  <w:tcW w:w="433" w:type="pct"/>
                  <w:vAlign w:val="center"/>
                </w:tcPr>
                <w:p>
                  <w:pPr>
                    <w:pStyle w:val="37"/>
                  </w:pPr>
                  <w:r>
                    <w:t>10.5</w:t>
                  </w:r>
                </w:p>
              </w:tc>
              <w:tc>
                <w:tcPr>
                  <w:tcW w:w="446" w:type="pct"/>
                  <w:vAlign w:val="center"/>
                </w:tcPr>
                <w:p>
                  <w:pPr>
                    <w:pStyle w:val="37"/>
                  </w:pPr>
                  <w:r>
                    <w:t>10.2</w:t>
                  </w:r>
                </w:p>
              </w:tc>
              <w:tc>
                <w:tcPr>
                  <w:tcW w:w="485" w:type="pct"/>
                  <w:vAlign w:val="center"/>
                </w:tcPr>
                <w:p>
                  <w:pPr>
                    <w:pStyle w:val="37"/>
                  </w:pPr>
                  <w:r>
                    <w:t>10.28</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化学需氧量</w:t>
                  </w:r>
                </w:p>
              </w:tc>
              <w:tc>
                <w:tcPr>
                  <w:tcW w:w="454" w:type="pct"/>
                  <w:vAlign w:val="center"/>
                </w:tcPr>
                <w:p>
                  <w:pPr>
                    <w:pStyle w:val="37"/>
                  </w:pPr>
                  <w:r>
                    <w:t>126</w:t>
                  </w:r>
                </w:p>
              </w:tc>
              <w:tc>
                <w:tcPr>
                  <w:tcW w:w="474" w:type="pct"/>
                  <w:vAlign w:val="center"/>
                </w:tcPr>
                <w:p>
                  <w:pPr>
                    <w:pStyle w:val="37"/>
                  </w:pPr>
                  <w:r>
                    <w:t>128</w:t>
                  </w:r>
                </w:p>
              </w:tc>
              <w:tc>
                <w:tcPr>
                  <w:tcW w:w="433" w:type="pct"/>
                  <w:vAlign w:val="center"/>
                </w:tcPr>
                <w:p>
                  <w:pPr>
                    <w:pStyle w:val="37"/>
                  </w:pPr>
                  <w:r>
                    <w:t>130</w:t>
                  </w:r>
                </w:p>
              </w:tc>
              <w:tc>
                <w:tcPr>
                  <w:tcW w:w="446" w:type="pct"/>
                  <w:vAlign w:val="center"/>
                </w:tcPr>
                <w:p>
                  <w:pPr>
                    <w:pStyle w:val="37"/>
                  </w:pPr>
                  <w:r>
                    <w:t>124</w:t>
                  </w:r>
                </w:p>
              </w:tc>
              <w:tc>
                <w:tcPr>
                  <w:tcW w:w="485" w:type="pct"/>
                  <w:vAlign w:val="center"/>
                </w:tcPr>
                <w:p>
                  <w:pPr>
                    <w:pStyle w:val="37"/>
                  </w:pPr>
                  <w:r>
                    <w:t>127</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生化需氧量</w:t>
                  </w:r>
                </w:p>
              </w:tc>
              <w:tc>
                <w:tcPr>
                  <w:tcW w:w="454" w:type="pct"/>
                  <w:vAlign w:val="center"/>
                </w:tcPr>
                <w:p>
                  <w:pPr>
                    <w:pStyle w:val="37"/>
                  </w:pPr>
                  <w:r>
                    <w:t>31.1</w:t>
                  </w:r>
                </w:p>
              </w:tc>
              <w:tc>
                <w:tcPr>
                  <w:tcW w:w="474" w:type="pct"/>
                  <w:vAlign w:val="center"/>
                </w:tcPr>
                <w:p>
                  <w:pPr>
                    <w:pStyle w:val="37"/>
                  </w:pPr>
                  <w:r>
                    <w:t>32.0</w:t>
                  </w:r>
                </w:p>
              </w:tc>
              <w:tc>
                <w:tcPr>
                  <w:tcW w:w="433" w:type="pct"/>
                  <w:vAlign w:val="center"/>
                </w:tcPr>
                <w:p>
                  <w:pPr>
                    <w:pStyle w:val="37"/>
                  </w:pPr>
                  <w:r>
                    <w:t>35.5</w:t>
                  </w:r>
                </w:p>
              </w:tc>
              <w:tc>
                <w:tcPr>
                  <w:tcW w:w="446" w:type="pct"/>
                  <w:vAlign w:val="center"/>
                </w:tcPr>
                <w:p>
                  <w:pPr>
                    <w:pStyle w:val="37"/>
                  </w:pPr>
                  <w:r>
                    <w:t>29.6</w:t>
                  </w:r>
                </w:p>
              </w:tc>
              <w:tc>
                <w:tcPr>
                  <w:tcW w:w="485" w:type="pct"/>
                  <w:vAlign w:val="center"/>
                </w:tcPr>
                <w:p>
                  <w:pPr>
                    <w:pStyle w:val="37"/>
                  </w:pPr>
                  <w:r>
                    <w:t>32.05</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阴离子表面活性剂</w:t>
                  </w:r>
                </w:p>
              </w:tc>
              <w:tc>
                <w:tcPr>
                  <w:tcW w:w="454" w:type="pct"/>
                  <w:vAlign w:val="center"/>
                </w:tcPr>
                <w:p>
                  <w:pPr>
                    <w:pStyle w:val="37"/>
                  </w:pPr>
                  <w:r>
                    <w:t>0.11</w:t>
                  </w:r>
                </w:p>
              </w:tc>
              <w:tc>
                <w:tcPr>
                  <w:tcW w:w="474" w:type="pct"/>
                  <w:vAlign w:val="center"/>
                </w:tcPr>
                <w:p>
                  <w:pPr>
                    <w:pStyle w:val="37"/>
                  </w:pPr>
                  <w:r>
                    <w:t>0.10</w:t>
                  </w:r>
                </w:p>
              </w:tc>
              <w:tc>
                <w:tcPr>
                  <w:tcW w:w="433" w:type="pct"/>
                  <w:vAlign w:val="center"/>
                </w:tcPr>
                <w:p>
                  <w:pPr>
                    <w:pStyle w:val="37"/>
                  </w:pPr>
                  <w:r>
                    <w:t>0.09</w:t>
                  </w:r>
                </w:p>
              </w:tc>
              <w:tc>
                <w:tcPr>
                  <w:tcW w:w="446" w:type="pct"/>
                  <w:vAlign w:val="center"/>
                </w:tcPr>
                <w:p>
                  <w:pPr>
                    <w:pStyle w:val="37"/>
                  </w:pPr>
                  <w:r>
                    <w:t>0.08</w:t>
                  </w:r>
                </w:p>
              </w:tc>
              <w:tc>
                <w:tcPr>
                  <w:tcW w:w="485" w:type="pct"/>
                  <w:vAlign w:val="center"/>
                </w:tcPr>
                <w:p>
                  <w:pPr>
                    <w:pStyle w:val="37"/>
                  </w:pPr>
                  <w:r>
                    <w:t>0.095</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悬浮物</w:t>
                  </w:r>
                </w:p>
              </w:tc>
              <w:tc>
                <w:tcPr>
                  <w:tcW w:w="454" w:type="pct"/>
                  <w:vAlign w:val="center"/>
                </w:tcPr>
                <w:p>
                  <w:pPr>
                    <w:pStyle w:val="37"/>
                  </w:pPr>
                  <w:r>
                    <w:t>22</w:t>
                  </w:r>
                </w:p>
              </w:tc>
              <w:tc>
                <w:tcPr>
                  <w:tcW w:w="474" w:type="pct"/>
                  <w:vAlign w:val="center"/>
                </w:tcPr>
                <w:p>
                  <w:pPr>
                    <w:pStyle w:val="37"/>
                  </w:pPr>
                  <w:r>
                    <w:t>21</w:t>
                  </w:r>
                </w:p>
              </w:tc>
              <w:tc>
                <w:tcPr>
                  <w:tcW w:w="433" w:type="pct"/>
                  <w:vAlign w:val="center"/>
                </w:tcPr>
                <w:p>
                  <w:pPr>
                    <w:pStyle w:val="37"/>
                  </w:pPr>
                  <w:r>
                    <w:t>21</w:t>
                  </w:r>
                </w:p>
              </w:tc>
              <w:tc>
                <w:tcPr>
                  <w:tcW w:w="446" w:type="pct"/>
                  <w:vAlign w:val="center"/>
                </w:tcPr>
                <w:p>
                  <w:pPr>
                    <w:pStyle w:val="37"/>
                  </w:pPr>
                  <w:r>
                    <w:t>23</w:t>
                  </w:r>
                </w:p>
              </w:tc>
              <w:tc>
                <w:tcPr>
                  <w:tcW w:w="485" w:type="pct"/>
                  <w:vAlign w:val="center"/>
                </w:tcPr>
                <w:p>
                  <w:pPr>
                    <w:pStyle w:val="37"/>
                  </w:pPr>
                  <w:r>
                    <w:t>21.75</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氨氮</w:t>
                  </w:r>
                </w:p>
              </w:tc>
              <w:tc>
                <w:tcPr>
                  <w:tcW w:w="454" w:type="pct"/>
                  <w:vAlign w:val="center"/>
                </w:tcPr>
                <w:p>
                  <w:pPr>
                    <w:pStyle w:val="37"/>
                  </w:pPr>
                  <w:r>
                    <w:t>7.25</w:t>
                  </w:r>
                </w:p>
              </w:tc>
              <w:tc>
                <w:tcPr>
                  <w:tcW w:w="474" w:type="pct"/>
                  <w:vAlign w:val="center"/>
                </w:tcPr>
                <w:p>
                  <w:pPr>
                    <w:pStyle w:val="37"/>
                  </w:pPr>
                  <w:r>
                    <w:t>6.95</w:t>
                  </w:r>
                </w:p>
              </w:tc>
              <w:tc>
                <w:tcPr>
                  <w:tcW w:w="433" w:type="pct"/>
                  <w:vAlign w:val="center"/>
                </w:tcPr>
                <w:p>
                  <w:pPr>
                    <w:pStyle w:val="37"/>
                  </w:pPr>
                  <w:r>
                    <w:t>7.22</w:t>
                  </w:r>
                </w:p>
              </w:tc>
              <w:tc>
                <w:tcPr>
                  <w:tcW w:w="446" w:type="pct"/>
                  <w:vAlign w:val="center"/>
                </w:tcPr>
                <w:p>
                  <w:pPr>
                    <w:pStyle w:val="37"/>
                  </w:pPr>
                  <w:r>
                    <w:t>7.13</w:t>
                  </w:r>
                </w:p>
              </w:tc>
              <w:tc>
                <w:tcPr>
                  <w:tcW w:w="485" w:type="pct"/>
                  <w:vAlign w:val="center"/>
                </w:tcPr>
                <w:p>
                  <w:pPr>
                    <w:pStyle w:val="37"/>
                  </w:pPr>
                  <w:r>
                    <w:t>7. 14</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总磷</w:t>
                  </w:r>
                </w:p>
              </w:tc>
              <w:tc>
                <w:tcPr>
                  <w:tcW w:w="454" w:type="pct"/>
                  <w:vAlign w:val="center"/>
                </w:tcPr>
                <w:p>
                  <w:pPr>
                    <w:pStyle w:val="37"/>
                  </w:pPr>
                  <w:r>
                    <w:t>2.18</w:t>
                  </w:r>
                </w:p>
              </w:tc>
              <w:tc>
                <w:tcPr>
                  <w:tcW w:w="474" w:type="pct"/>
                  <w:vAlign w:val="center"/>
                </w:tcPr>
                <w:p>
                  <w:pPr>
                    <w:pStyle w:val="37"/>
                  </w:pPr>
                  <w:r>
                    <w:t>2.16</w:t>
                  </w:r>
                </w:p>
              </w:tc>
              <w:tc>
                <w:tcPr>
                  <w:tcW w:w="433" w:type="pct"/>
                  <w:vAlign w:val="center"/>
                </w:tcPr>
                <w:p>
                  <w:pPr>
                    <w:pStyle w:val="37"/>
                  </w:pPr>
                  <w:r>
                    <w:t>2.17</w:t>
                  </w:r>
                </w:p>
              </w:tc>
              <w:tc>
                <w:tcPr>
                  <w:tcW w:w="446" w:type="pct"/>
                  <w:vAlign w:val="center"/>
                </w:tcPr>
                <w:p>
                  <w:pPr>
                    <w:pStyle w:val="37"/>
                  </w:pPr>
                  <w:r>
                    <w:t>2.17</w:t>
                  </w:r>
                </w:p>
              </w:tc>
              <w:tc>
                <w:tcPr>
                  <w:tcW w:w="485" w:type="pct"/>
                  <w:vAlign w:val="center"/>
                </w:tcPr>
                <w:p>
                  <w:pPr>
                    <w:pStyle w:val="37"/>
                  </w:pPr>
                  <w:r>
                    <w:t>2.17</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石油类</w:t>
                  </w:r>
                </w:p>
              </w:tc>
              <w:tc>
                <w:tcPr>
                  <w:tcW w:w="454" w:type="pct"/>
                  <w:vAlign w:val="center"/>
                </w:tcPr>
                <w:p>
                  <w:pPr>
                    <w:pStyle w:val="37"/>
                  </w:pPr>
                  <w:r>
                    <w:t>0.39</w:t>
                  </w:r>
                </w:p>
              </w:tc>
              <w:tc>
                <w:tcPr>
                  <w:tcW w:w="474" w:type="pct"/>
                  <w:vAlign w:val="center"/>
                </w:tcPr>
                <w:p>
                  <w:pPr>
                    <w:pStyle w:val="37"/>
                  </w:pPr>
                  <w:r>
                    <w:t>0.37</w:t>
                  </w:r>
                </w:p>
              </w:tc>
              <w:tc>
                <w:tcPr>
                  <w:tcW w:w="433" w:type="pct"/>
                  <w:vAlign w:val="center"/>
                </w:tcPr>
                <w:p>
                  <w:pPr>
                    <w:pStyle w:val="37"/>
                  </w:pPr>
                  <w:r>
                    <w:t>0.33</w:t>
                  </w:r>
                </w:p>
              </w:tc>
              <w:tc>
                <w:tcPr>
                  <w:tcW w:w="446" w:type="pct"/>
                  <w:vAlign w:val="center"/>
                </w:tcPr>
                <w:p>
                  <w:pPr>
                    <w:pStyle w:val="37"/>
                  </w:pPr>
                  <w:r>
                    <w:t>0.37</w:t>
                  </w:r>
                </w:p>
              </w:tc>
              <w:tc>
                <w:tcPr>
                  <w:tcW w:w="485" w:type="pct"/>
                  <w:vAlign w:val="center"/>
                </w:tcPr>
                <w:p>
                  <w:pPr>
                    <w:pStyle w:val="37"/>
                  </w:pPr>
                  <w:r>
                    <w:t>0.37</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动植物油</w:t>
                  </w:r>
                </w:p>
              </w:tc>
              <w:tc>
                <w:tcPr>
                  <w:tcW w:w="454" w:type="pct"/>
                  <w:vAlign w:val="center"/>
                </w:tcPr>
                <w:p>
                  <w:pPr>
                    <w:pStyle w:val="37"/>
                  </w:pPr>
                  <w:r>
                    <w:t>3.21</w:t>
                  </w:r>
                </w:p>
              </w:tc>
              <w:tc>
                <w:tcPr>
                  <w:tcW w:w="474" w:type="pct"/>
                  <w:vAlign w:val="center"/>
                </w:tcPr>
                <w:p>
                  <w:pPr>
                    <w:pStyle w:val="37"/>
                  </w:pPr>
                  <w:r>
                    <w:t>3.19</w:t>
                  </w:r>
                </w:p>
              </w:tc>
              <w:tc>
                <w:tcPr>
                  <w:tcW w:w="433" w:type="pct"/>
                  <w:vAlign w:val="center"/>
                </w:tcPr>
                <w:p>
                  <w:pPr>
                    <w:pStyle w:val="37"/>
                  </w:pPr>
                  <w:r>
                    <w:t>3.18</w:t>
                  </w:r>
                </w:p>
              </w:tc>
              <w:tc>
                <w:tcPr>
                  <w:tcW w:w="446" w:type="pct"/>
                  <w:vAlign w:val="center"/>
                </w:tcPr>
                <w:p>
                  <w:pPr>
                    <w:pStyle w:val="37"/>
                  </w:pPr>
                  <w:r>
                    <w:t>3.17</w:t>
                  </w:r>
                </w:p>
              </w:tc>
              <w:tc>
                <w:tcPr>
                  <w:tcW w:w="485" w:type="pct"/>
                  <w:vAlign w:val="center"/>
                </w:tcPr>
                <w:p>
                  <w:pPr>
                    <w:pStyle w:val="37"/>
                  </w:pPr>
                  <w:r>
                    <w:t>3.19</w:t>
                  </w:r>
                </w:p>
              </w:tc>
              <w:tc>
                <w:tcPr>
                  <w:tcW w:w="383" w:type="pct"/>
                  <w:vAlign w:val="center"/>
                </w:tcPr>
                <w:p>
                  <w:pPr>
                    <w:pStyle w:val="37"/>
                  </w:pPr>
                  <w:r>
                    <w:t>/</w:t>
                  </w:r>
                </w:p>
              </w:tc>
              <w:tc>
                <w:tcPr>
                  <w:tcW w:w="496" w:type="pct"/>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restart"/>
                  <w:vAlign w:val="center"/>
                </w:tcPr>
                <w:p>
                  <w:pPr>
                    <w:pStyle w:val="37"/>
                  </w:pPr>
                  <w:r>
                    <w:rPr>
                      <w:rFonts w:hint="eastAsia"/>
                    </w:rPr>
                    <w:t>2021年</w:t>
                  </w:r>
                  <w:r>
                    <w:t>8月12日</w:t>
                  </w:r>
                </w:p>
              </w:tc>
              <w:tc>
                <w:tcPr>
                  <w:tcW w:w="380" w:type="pct"/>
                  <w:vMerge w:val="restart"/>
                  <w:vAlign w:val="center"/>
                </w:tcPr>
                <w:p>
                  <w:pPr>
                    <w:pStyle w:val="37"/>
                  </w:pPr>
                  <w:r>
                    <w:t>厂区综合废水处理站排放口DW003</w:t>
                  </w:r>
                </w:p>
              </w:tc>
              <w:tc>
                <w:tcPr>
                  <w:tcW w:w="1037" w:type="pct"/>
                  <w:vAlign w:val="center"/>
                </w:tcPr>
                <w:p>
                  <w:pPr>
                    <w:pStyle w:val="37"/>
                  </w:pPr>
                  <w:r>
                    <w:t>pH值（无量纲）</w:t>
                  </w:r>
                </w:p>
              </w:tc>
              <w:tc>
                <w:tcPr>
                  <w:tcW w:w="454" w:type="pct"/>
                  <w:vAlign w:val="center"/>
                </w:tcPr>
                <w:p>
                  <w:pPr>
                    <w:pStyle w:val="37"/>
                  </w:pPr>
                  <w:r>
                    <w:t>7.1</w:t>
                  </w:r>
                </w:p>
              </w:tc>
              <w:tc>
                <w:tcPr>
                  <w:tcW w:w="474" w:type="pct"/>
                  <w:vAlign w:val="center"/>
                </w:tcPr>
                <w:p>
                  <w:pPr>
                    <w:pStyle w:val="37"/>
                  </w:pPr>
                  <w:r>
                    <w:t>7.2</w:t>
                  </w:r>
                </w:p>
              </w:tc>
              <w:tc>
                <w:tcPr>
                  <w:tcW w:w="433" w:type="pct"/>
                  <w:vAlign w:val="center"/>
                </w:tcPr>
                <w:p>
                  <w:pPr>
                    <w:pStyle w:val="37"/>
                  </w:pPr>
                  <w:r>
                    <w:t>7.1</w:t>
                  </w:r>
                </w:p>
              </w:tc>
              <w:tc>
                <w:tcPr>
                  <w:tcW w:w="446" w:type="pct"/>
                  <w:vAlign w:val="center"/>
                </w:tcPr>
                <w:p>
                  <w:pPr>
                    <w:pStyle w:val="37"/>
                  </w:pPr>
                  <w:r>
                    <w:t>7.0</w:t>
                  </w:r>
                </w:p>
              </w:tc>
              <w:tc>
                <w:tcPr>
                  <w:tcW w:w="485" w:type="pct"/>
                  <w:vAlign w:val="center"/>
                </w:tcPr>
                <w:p>
                  <w:pPr>
                    <w:pStyle w:val="37"/>
                  </w:pPr>
                  <w:r>
                    <w:t>7.10</w:t>
                  </w:r>
                </w:p>
              </w:tc>
              <w:tc>
                <w:tcPr>
                  <w:tcW w:w="383" w:type="pct"/>
                  <w:vAlign w:val="center"/>
                </w:tcPr>
                <w:p>
                  <w:pPr>
                    <w:pStyle w:val="37"/>
                  </w:pPr>
                  <w:r>
                    <w:t>6~9</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化学需氧量</w:t>
                  </w:r>
                </w:p>
              </w:tc>
              <w:tc>
                <w:tcPr>
                  <w:tcW w:w="454" w:type="pct"/>
                  <w:vAlign w:val="center"/>
                </w:tcPr>
                <w:p>
                  <w:pPr>
                    <w:pStyle w:val="37"/>
                  </w:pPr>
                  <w:r>
                    <w:t>18</w:t>
                  </w:r>
                </w:p>
              </w:tc>
              <w:tc>
                <w:tcPr>
                  <w:tcW w:w="474" w:type="pct"/>
                  <w:vAlign w:val="center"/>
                </w:tcPr>
                <w:p>
                  <w:pPr>
                    <w:pStyle w:val="37"/>
                  </w:pPr>
                  <w:r>
                    <w:t>19</w:t>
                  </w:r>
                </w:p>
              </w:tc>
              <w:tc>
                <w:tcPr>
                  <w:tcW w:w="433" w:type="pct"/>
                  <w:vAlign w:val="center"/>
                </w:tcPr>
                <w:p>
                  <w:pPr>
                    <w:pStyle w:val="37"/>
                  </w:pPr>
                  <w:r>
                    <w:t>19</w:t>
                  </w:r>
                </w:p>
              </w:tc>
              <w:tc>
                <w:tcPr>
                  <w:tcW w:w="446" w:type="pct"/>
                  <w:vAlign w:val="center"/>
                </w:tcPr>
                <w:p>
                  <w:pPr>
                    <w:pStyle w:val="37"/>
                  </w:pPr>
                  <w:r>
                    <w:t>21</w:t>
                  </w:r>
                </w:p>
              </w:tc>
              <w:tc>
                <w:tcPr>
                  <w:tcW w:w="485" w:type="pct"/>
                  <w:vAlign w:val="center"/>
                </w:tcPr>
                <w:p>
                  <w:pPr>
                    <w:pStyle w:val="37"/>
                  </w:pPr>
                  <w:r>
                    <w:t>19.25</w:t>
                  </w:r>
                </w:p>
              </w:tc>
              <w:tc>
                <w:tcPr>
                  <w:tcW w:w="383" w:type="pct"/>
                  <w:vAlign w:val="center"/>
                </w:tcPr>
                <w:p>
                  <w:pPr>
                    <w:pStyle w:val="37"/>
                  </w:pPr>
                  <w:r>
                    <w:t>500</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生化需氧量</w:t>
                  </w:r>
                </w:p>
              </w:tc>
              <w:tc>
                <w:tcPr>
                  <w:tcW w:w="454" w:type="pct"/>
                  <w:vAlign w:val="center"/>
                </w:tcPr>
                <w:p>
                  <w:pPr>
                    <w:pStyle w:val="37"/>
                  </w:pPr>
                  <w:r>
                    <w:t>3.7</w:t>
                  </w:r>
                </w:p>
              </w:tc>
              <w:tc>
                <w:tcPr>
                  <w:tcW w:w="474" w:type="pct"/>
                  <w:vAlign w:val="center"/>
                </w:tcPr>
                <w:p>
                  <w:pPr>
                    <w:pStyle w:val="37"/>
                  </w:pPr>
                  <w:r>
                    <w:t>3.7</w:t>
                  </w:r>
                </w:p>
              </w:tc>
              <w:tc>
                <w:tcPr>
                  <w:tcW w:w="433" w:type="pct"/>
                  <w:vAlign w:val="center"/>
                </w:tcPr>
                <w:p>
                  <w:pPr>
                    <w:pStyle w:val="37"/>
                  </w:pPr>
                  <w:r>
                    <w:t>3.9</w:t>
                  </w:r>
                </w:p>
              </w:tc>
              <w:tc>
                <w:tcPr>
                  <w:tcW w:w="446" w:type="pct"/>
                  <w:vAlign w:val="center"/>
                </w:tcPr>
                <w:p>
                  <w:pPr>
                    <w:pStyle w:val="37"/>
                  </w:pPr>
                  <w:r>
                    <w:t>4.2</w:t>
                  </w:r>
                </w:p>
              </w:tc>
              <w:tc>
                <w:tcPr>
                  <w:tcW w:w="485" w:type="pct"/>
                  <w:vAlign w:val="center"/>
                </w:tcPr>
                <w:p>
                  <w:pPr>
                    <w:pStyle w:val="37"/>
                  </w:pPr>
                  <w:r>
                    <w:t>3.88</w:t>
                  </w:r>
                </w:p>
              </w:tc>
              <w:tc>
                <w:tcPr>
                  <w:tcW w:w="383" w:type="pct"/>
                  <w:vAlign w:val="center"/>
                </w:tcPr>
                <w:p>
                  <w:pPr>
                    <w:pStyle w:val="37"/>
                  </w:pPr>
                  <w:r>
                    <w:t>300</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阴离子表面活性剂</w:t>
                  </w:r>
                </w:p>
              </w:tc>
              <w:tc>
                <w:tcPr>
                  <w:tcW w:w="454" w:type="pct"/>
                  <w:vAlign w:val="center"/>
                </w:tcPr>
                <w:p>
                  <w:pPr>
                    <w:pStyle w:val="37"/>
                  </w:pPr>
                  <w:r>
                    <w:t>0.05L</w:t>
                  </w:r>
                </w:p>
              </w:tc>
              <w:tc>
                <w:tcPr>
                  <w:tcW w:w="474" w:type="pct"/>
                  <w:vAlign w:val="center"/>
                </w:tcPr>
                <w:p>
                  <w:pPr>
                    <w:pStyle w:val="37"/>
                  </w:pPr>
                  <w:r>
                    <w:t>0.05L</w:t>
                  </w:r>
                </w:p>
              </w:tc>
              <w:tc>
                <w:tcPr>
                  <w:tcW w:w="433" w:type="pct"/>
                  <w:vAlign w:val="center"/>
                </w:tcPr>
                <w:p>
                  <w:pPr>
                    <w:pStyle w:val="37"/>
                  </w:pPr>
                  <w:r>
                    <w:t>0.05L</w:t>
                  </w:r>
                </w:p>
              </w:tc>
              <w:tc>
                <w:tcPr>
                  <w:tcW w:w="446" w:type="pct"/>
                  <w:vAlign w:val="center"/>
                </w:tcPr>
                <w:p>
                  <w:pPr>
                    <w:pStyle w:val="37"/>
                  </w:pPr>
                  <w:r>
                    <w:t>0.05L</w:t>
                  </w:r>
                </w:p>
              </w:tc>
              <w:tc>
                <w:tcPr>
                  <w:tcW w:w="485" w:type="pct"/>
                  <w:vAlign w:val="center"/>
                </w:tcPr>
                <w:p>
                  <w:pPr>
                    <w:pStyle w:val="37"/>
                  </w:pPr>
                  <w:r>
                    <w:t>0.05L</w:t>
                  </w:r>
                </w:p>
              </w:tc>
              <w:tc>
                <w:tcPr>
                  <w:tcW w:w="383" w:type="pct"/>
                  <w:vAlign w:val="center"/>
                </w:tcPr>
                <w:p>
                  <w:pPr>
                    <w:pStyle w:val="37"/>
                  </w:pPr>
                  <w:r>
                    <w:t>20</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悬浮物</w:t>
                  </w:r>
                </w:p>
              </w:tc>
              <w:tc>
                <w:tcPr>
                  <w:tcW w:w="454" w:type="pct"/>
                  <w:vAlign w:val="center"/>
                </w:tcPr>
                <w:p>
                  <w:pPr>
                    <w:pStyle w:val="37"/>
                  </w:pPr>
                  <w:r>
                    <w:t>11</w:t>
                  </w:r>
                </w:p>
              </w:tc>
              <w:tc>
                <w:tcPr>
                  <w:tcW w:w="474" w:type="pct"/>
                  <w:vAlign w:val="center"/>
                </w:tcPr>
                <w:p>
                  <w:pPr>
                    <w:pStyle w:val="37"/>
                  </w:pPr>
                  <w:r>
                    <w:t>10</w:t>
                  </w:r>
                </w:p>
              </w:tc>
              <w:tc>
                <w:tcPr>
                  <w:tcW w:w="433" w:type="pct"/>
                  <w:vAlign w:val="center"/>
                </w:tcPr>
                <w:p>
                  <w:pPr>
                    <w:pStyle w:val="37"/>
                  </w:pPr>
                  <w:r>
                    <w:t>13</w:t>
                  </w:r>
                </w:p>
              </w:tc>
              <w:tc>
                <w:tcPr>
                  <w:tcW w:w="446" w:type="pct"/>
                  <w:vAlign w:val="center"/>
                </w:tcPr>
                <w:p>
                  <w:pPr>
                    <w:pStyle w:val="37"/>
                  </w:pPr>
                  <w:r>
                    <w:t>12</w:t>
                  </w:r>
                </w:p>
              </w:tc>
              <w:tc>
                <w:tcPr>
                  <w:tcW w:w="485" w:type="pct"/>
                  <w:vAlign w:val="center"/>
                </w:tcPr>
                <w:p>
                  <w:pPr>
                    <w:pStyle w:val="37"/>
                  </w:pPr>
                  <w:r>
                    <w:t>11.50</w:t>
                  </w:r>
                </w:p>
              </w:tc>
              <w:tc>
                <w:tcPr>
                  <w:tcW w:w="383" w:type="pct"/>
                  <w:vAlign w:val="center"/>
                </w:tcPr>
                <w:p>
                  <w:pPr>
                    <w:pStyle w:val="37"/>
                  </w:pPr>
                  <w:r>
                    <w:t>400</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氨氮</w:t>
                  </w:r>
                </w:p>
              </w:tc>
              <w:tc>
                <w:tcPr>
                  <w:tcW w:w="454" w:type="pct"/>
                  <w:vAlign w:val="center"/>
                </w:tcPr>
                <w:p>
                  <w:pPr>
                    <w:pStyle w:val="37"/>
                  </w:pPr>
                  <w:r>
                    <w:t>1.11</w:t>
                  </w:r>
                </w:p>
              </w:tc>
              <w:tc>
                <w:tcPr>
                  <w:tcW w:w="474" w:type="pct"/>
                  <w:vAlign w:val="center"/>
                </w:tcPr>
                <w:p>
                  <w:pPr>
                    <w:pStyle w:val="37"/>
                  </w:pPr>
                  <w:r>
                    <w:t>1.10</w:t>
                  </w:r>
                </w:p>
              </w:tc>
              <w:tc>
                <w:tcPr>
                  <w:tcW w:w="433" w:type="pct"/>
                  <w:vAlign w:val="center"/>
                </w:tcPr>
                <w:p>
                  <w:pPr>
                    <w:pStyle w:val="37"/>
                  </w:pPr>
                  <w:r>
                    <w:t>1.08</w:t>
                  </w:r>
                </w:p>
              </w:tc>
              <w:tc>
                <w:tcPr>
                  <w:tcW w:w="446" w:type="pct"/>
                  <w:vAlign w:val="center"/>
                </w:tcPr>
                <w:p>
                  <w:pPr>
                    <w:pStyle w:val="37"/>
                  </w:pPr>
                  <w:r>
                    <w:t>1.12</w:t>
                  </w:r>
                </w:p>
              </w:tc>
              <w:tc>
                <w:tcPr>
                  <w:tcW w:w="485" w:type="pct"/>
                  <w:vAlign w:val="center"/>
                </w:tcPr>
                <w:p>
                  <w:pPr>
                    <w:pStyle w:val="37"/>
                  </w:pPr>
                  <w:r>
                    <w:t>1.10</w:t>
                  </w:r>
                </w:p>
              </w:tc>
              <w:tc>
                <w:tcPr>
                  <w:tcW w:w="383" w:type="pct"/>
                  <w:vAlign w:val="center"/>
                </w:tcPr>
                <w:p>
                  <w:pPr>
                    <w:pStyle w:val="37"/>
                  </w:pPr>
                  <w:r>
                    <w:t>45</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总磷</w:t>
                  </w:r>
                </w:p>
              </w:tc>
              <w:tc>
                <w:tcPr>
                  <w:tcW w:w="454" w:type="pct"/>
                  <w:vAlign w:val="center"/>
                </w:tcPr>
                <w:p>
                  <w:pPr>
                    <w:pStyle w:val="37"/>
                  </w:pPr>
                  <w:r>
                    <w:t>1.52</w:t>
                  </w:r>
                </w:p>
              </w:tc>
              <w:tc>
                <w:tcPr>
                  <w:tcW w:w="474" w:type="pct"/>
                  <w:vAlign w:val="center"/>
                </w:tcPr>
                <w:p>
                  <w:pPr>
                    <w:pStyle w:val="37"/>
                  </w:pPr>
                  <w:r>
                    <w:t>1.50</w:t>
                  </w:r>
                </w:p>
              </w:tc>
              <w:tc>
                <w:tcPr>
                  <w:tcW w:w="433" w:type="pct"/>
                  <w:vAlign w:val="center"/>
                </w:tcPr>
                <w:p>
                  <w:pPr>
                    <w:pStyle w:val="37"/>
                  </w:pPr>
                  <w:r>
                    <w:t>1.49</w:t>
                  </w:r>
                </w:p>
              </w:tc>
              <w:tc>
                <w:tcPr>
                  <w:tcW w:w="446" w:type="pct"/>
                  <w:vAlign w:val="center"/>
                </w:tcPr>
                <w:p>
                  <w:pPr>
                    <w:pStyle w:val="37"/>
                  </w:pPr>
                  <w:r>
                    <w:t>1.52</w:t>
                  </w:r>
                </w:p>
              </w:tc>
              <w:tc>
                <w:tcPr>
                  <w:tcW w:w="485" w:type="pct"/>
                  <w:vAlign w:val="center"/>
                </w:tcPr>
                <w:p>
                  <w:pPr>
                    <w:pStyle w:val="37"/>
                  </w:pPr>
                  <w:r>
                    <w:t>1.51</w:t>
                  </w:r>
                </w:p>
              </w:tc>
              <w:tc>
                <w:tcPr>
                  <w:tcW w:w="383" w:type="pct"/>
                  <w:vAlign w:val="center"/>
                </w:tcPr>
                <w:p>
                  <w:pPr>
                    <w:pStyle w:val="37"/>
                  </w:pPr>
                  <w:r>
                    <w:t>8</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石油类</w:t>
                  </w:r>
                </w:p>
              </w:tc>
              <w:tc>
                <w:tcPr>
                  <w:tcW w:w="454" w:type="pct"/>
                  <w:vAlign w:val="center"/>
                </w:tcPr>
                <w:p>
                  <w:pPr>
                    <w:pStyle w:val="37"/>
                  </w:pPr>
                  <w:r>
                    <w:t>0.20</w:t>
                  </w:r>
                </w:p>
              </w:tc>
              <w:tc>
                <w:tcPr>
                  <w:tcW w:w="474" w:type="pct"/>
                  <w:vAlign w:val="center"/>
                </w:tcPr>
                <w:p>
                  <w:pPr>
                    <w:pStyle w:val="37"/>
                  </w:pPr>
                  <w:r>
                    <w:t>0.19</w:t>
                  </w:r>
                </w:p>
              </w:tc>
              <w:tc>
                <w:tcPr>
                  <w:tcW w:w="433" w:type="pct"/>
                  <w:vAlign w:val="center"/>
                </w:tcPr>
                <w:p>
                  <w:pPr>
                    <w:pStyle w:val="37"/>
                  </w:pPr>
                  <w:r>
                    <w:t>0.17</w:t>
                  </w:r>
                </w:p>
              </w:tc>
              <w:tc>
                <w:tcPr>
                  <w:tcW w:w="446" w:type="pct"/>
                  <w:vAlign w:val="center"/>
                </w:tcPr>
                <w:p>
                  <w:pPr>
                    <w:pStyle w:val="37"/>
                  </w:pPr>
                  <w:r>
                    <w:t>0.20</w:t>
                  </w:r>
                </w:p>
              </w:tc>
              <w:tc>
                <w:tcPr>
                  <w:tcW w:w="485" w:type="pct"/>
                  <w:vAlign w:val="center"/>
                </w:tcPr>
                <w:p>
                  <w:pPr>
                    <w:pStyle w:val="37"/>
                  </w:pPr>
                  <w:r>
                    <w:t>0.19</w:t>
                  </w:r>
                </w:p>
              </w:tc>
              <w:tc>
                <w:tcPr>
                  <w:tcW w:w="383" w:type="pct"/>
                  <w:vAlign w:val="center"/>
                </w:tcPr>
                <w:p>
                  <w:pPr>
                    <w:pStyle w:val="37"/>
                  </w:pPr>
                  <w:r>
                    <w:t>5</w:t>
                  </w:r>
                </w:p>
              </w:tc>
              <w:tc>
                <w:tcPr>
                  <w:tcW w:w="496" w:type="pct"/>
                  <w:vAlign w:val="center"/>
                </w:tcPr>
                <w:p>
                  <w:pPr>
                    <w:pStyle w:val="37"/>
                  </w:pPr>
                  <w:r>
                    <w:t>达标</w:t>
                  </w:r>
                </w:p>
              </w:tc>
            </w:tr>
            <w:tr>
              <w:tblPrEx>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t>动植物油</w:t>
                  </w:r>
                </w:p>
              </w:tc>
              <w:tc>
                <w:tcPr>
                  <w:tcW w:w="454" w:type="pct"/>
                  <w:vAlign w:val="center"/>
                </w:tcPr>
                <w:p>
                  <w:pPr>
                    <w:pStyle w:val="37"/>
                  </w:pPr>
                  <w:r>
                    <w:t>0.06L</w:t>
                  </w:r>
                </w:p>
              </w:tc>
              <w:tc>
                <w:tcPr>
                  <w:tcW w:w="474" w:type="pct"/>
                  <w:vAlign w:val="center"/>
                </w:tcPr>
                <w:p>
                  <w:pPr>
                    <w:pStyle w:val="37"/>
                  </w:pPr>
                  <w:r>
                    <w:t>0.08</w:t>
                  </w:r>
                </w:p>
              </w:tc>
              <w:tc>
                <w:tcPr>
                  <w:tcW w:w="433" w:type="pct"/>
                  <w:vAlign w:val="center"/>
                </w:tcPr>
                <w:p>
                  <w:pPr>
                    <w:pStyle w:val="37"/>
                  </w:pPr>
                  <w:r>
                    <w:t>0.08</w:t>
                  </w:r>
                </w:p>
              </w:tc>
              <w:tc>
                <w:tcPr>
                  <w:tcW w:w="446" w:type="pct"/>
                  <w:vAlign w:val="center"/>
                </w:tcPr>
                <w:p>
                  <w:pPr>
                    <w:pStyle w:val="37"/>
                  </w:pPr>
                  <w:r>
                    <w:t>0.07</w:t>
                  </w:r>
                </w:p>
              </w:tc>
              <w:tc>
                <w:tcPr>
                  <w:tcW w:w="485" w:type="pct"/>
                  <w:vAlign w:val="center"/>
                </w:tcPr>
                <w:p>
                  <w:pPr>
                    <w:pStyle w:val="37"/>
                  </w:pPr>
                  <w:r>
                    <w:t>0.08</w:t>
                  </w:r>
                </w:p>
              </w:tc>
              <w:tc>
                <w:tcPr>
                  <w:tcW w:w="383" w:type="pct"/>
                  <w:vAlign w:val="center"/>
                </w:tcPr>
                <w:p>
                  <w:pPr>
                    <w:pStyle w:val="37"/>
                  </w:pPr>
                  <w:r>
                    <w:t>10</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restart"/>
                  <w:vAlign w:val="center"/>
                </w:tcPr>
                <w:p>
                  <w:pPr>
                    <w:pStyle w:val="37"/>
                  </w:pPr>
                  <w:r>
                    <w:rPr>
                      <w:rFonts w:hint="eastAsia"/>
                    </w:rPr>
                    <w:t>2021年9</w:t>
                  </w:r>
                  <w:r>
                    <w:t>月</w:t>
                  </w:r>
                  <w:r>
                    <w:rPr>
                      <w:rFonts w:hint="eastAsia"/>
                    </w:rPr>
                    <w:t>4日</w:t>
                  </w:r>
                </w:p>
              </w:tc>
              <w:tc>
                <w:tcPr>
                  <w:tcW w:w="380" w:type="pct"/>
                  <w:vMerge w:val="continue"/>
                  <w:vAlign w:val="center"/>
                </w:tcPr>
                <w:p>
                  <w:pPr>
                    <w:pStyle w:val="37"/>
                  </w:pPr>
                </w:p>
              </w:tc>
              <w:tc>
                <w:tcPr>
                  <w:tcW w:w="1037" w:type="pct"/>
                  <w:vAlign w:val="center"/>
                </w:tcPr>
                <w:p>
                  <w:pPr>
                    <w:pStyle w:val="37"/>
                  </w:pPr>
                  <w:r>
                    <w:rPr>
                      <w:rFonts w:hint="eastAsia"/>
                    </w:rPr>
                    <w:t>磷酸盐</w:t>
                  </w:r>
                </w:p>
              </w:tc>
              <w:tc>
                <w:tcPr>
                  <w:tcW w:w="454" w:type="pct"/>
                  <w:vAlign w:val="center"/>
                </w:tcPr>
                <w:p>
                  <w:pPr>
                    <w:pStyle w:val="37"/>
                  </w:pPr>
                  <w:r>
                    <w:rPr>
                      <w:rFonts w:hint="eastAsia"/>
                    </w:rPr>
                    <w:t>1.50</w:t>
                  </w:r>
                </w:p>
              </w:tc>
              <w:tc>
                <w:tcPr>
                  <w:tcW w:w="474" w:type="pct"/>
                  <w:vAlign w:val="center"/>
                </w:tcPr>
                <w:p>
                  <w:pPr>
                    <w:pStyle w:val="37"/>
                  </w:pPr>
                  <w:r>
                    <w:rPr>
                      <w:rFonts w:hint="eastAsia"/>
                    </w:rPr>
                    <w:t>1.49</w:t>
                  </w:r>
                </w:p>
              </w:tc>
              <w:tc>
                <w:tcPr>
                  <w:tcW w:w="433" w:type="pct"/>
                  <w:vAlign w:val="center"/>
                </w:tcPr>
                <w:p>
                  <w:pPr>
                    <w:pStyle w:val="37"/>
                  </w:pPr>
                  <w:r>
                    <w:rPr>
                      <w:rFonts w:hint="eastAsia"/>
                    </w:rPr>
                    <w:t>1.50</w:t>
                  </w:r>
                </w:p>
              </w:tc>
              <w:tc>
                <w:tcPr>
                  <w:tcW w:w="446" w:type="pct"/>
                  <w:vAlign w:val="center"/>
                </w:tcPr>
                <w:p>
                  <w:pPr>
                    <w:pStyle w:val="37"/>
                  </w:pPr>
                  <w:r>
                    <w:rPr>
                      <w:rFonts w:hint="eastAsia"/>
                    </w:rPr>
                    <w:t>1.52</w:t>
                  </w:r>
                </w:p>
              </w:tc>
              <w:tc>
                <w:tcPr>
                  <w:tcW w:w="485" w:type="pct"/>
                  <w:vAlign w:val="center"/>
                </w:tcPr>
                <w:p>
                  <w:pPr>
                    <w:pStyle w:val="37"/>
                  </w:pPr>
                  <w:r>
                    <w:rPr>
                      <w:rFonts w:hint="eastAsia"/>
                    </w:rPr>
                    <w:t>/</w:t>
                  </w:r>
                </w:p>
              </w:tc>
              <w:tc>
                <w:tcPr>
                  <w:tcW w:w="383" w:type="pct"/>
                  <w:vAlign w:val="center"/>
                </w:tcPr>
                <w:p>
                  <w:pPr>
                    <w:pStyle w:val="37"/>
                  </w:pPr>
                  <w:r>
                    <w:rPr>
                      <w:rFonts w:hint="eastAsia"/>
                    </w:rPr>
                    <w:t>8</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rPr>
                      <w:rFonts w:hint="eastAsia"/>
                    </w:rPr>
                    <w:t>镍</w:t>
                  </w:r>
                </w:p>
              </w:tc>
              <w:tc>
                <w:tcPr>
                  <w:tcW w:w="454" w:type="pct"/>
                  <w:vAlign w:val="center"/>
                </w:tcPr>
                <w:p>
                  <w:pPr>
                    <w:pStyle w:val="37"/>
                  </w:pPr>
                  <w:r>
                    <w:rPr>
                      <w:rFonts w:hint="eastAsia"/>
                    </w:rPr>
                    <w:t>0.028</w:t>
                  </w:r>
                </w:p>
              </w:tc>
              <w:tc>
                <w:tcPr>
                  <w:tcW w:w="474" w:type="pct"/>
                  <w:vAlign w:val="center"/>
                </w:tcPr>
                <w:p>
                  <w:pPr>
                    <w:pStyle w:val="37"/>
                  </w:pPr>
                  <w:r>
                    <w:rPr>
                      <w:rFonts w:hint="eastAsia"/>
                    </w:rPr>
                    <w:t>0.047</w:t>
                  </w:r>
                </w:p>
              </w:tc>
              <w:tc>
                <w:tcPr>
                  <w:tcW w:w="433" w:type="pct"/>
                  <w:vAlign w:val="center"/>
                </w:tcPr>
                <w:p>
                  <w:pPr>
                    <w:pStyle w:val="37"/>
                  </w:pPr>
                  <w:r>
                    <w:rPr>
                      <w:rFonts w:hint="eastAsia"/>
                    </w:rPr>
                    <w:t>0.042</w:t>
                  </w:r>
                </w:p>
              </w:tc>
              <w:tc>
                <w:tcPr>
                  <w:tcW w:w="446" w:type="pct"/>
                  <w:vAlign w:val="center"/>
                </w:tcPr>
                <w:p>
                  <w:pPr>
                    <w:pStyle w:val="37"/>
                  </w:pPr>
                  <w:r>
                    <w:rPr>
                      <w:rFonts w:hint="eastAsia"/>
                    </w:rPr>
                    <w:t>0.044</w:t>
                  </w:r>
                </w:p>
              </w:tc>
              <w:tc>
                <w:tcPr>
                  <w:tcW w:w="485" w:type="pct"/>
                  <w:vAlign w:val="center"/>
                </w:tcPr>
                <w:p>
                  <w:pPr>
                    <w:pStyle w:val="37"/>
                  </w:pPr>
                  <w:r>
                    <w:rPr>
                      <w:rFonts w:hint="eastAsia"/>
                    </w:rPr>
                    <w:t>/</w:t>
                  </w:r>
                </w:p>
              </w:tc>
              <w:tc>
                <w:tcPr>
                  <w:tcW w:w="383" w:type="pct"/>
                  <w:vAlign w:val="center"/>
                </w:tcPr>
                <w:p>
                  <w:pPr>
                    <w:pStyle w:val="37"/>
                  </w:pPr>
                  <w:r>
                    <w:rPr>
                      <w:rFonts w:hint="eastAsia"/>
                    </w:rPr>
                    <w:t>1</w:t>
                  </w:r>
                </w:p>
              </w:tc>
              <w:tc>
                <w:tcPr>
                  <w:tcW w:w="496" w:type="pct"/>
                  <w:vAlign w:val="center"/>
                </w:tcPr>
                <w:p>
                  <w:pPr>
                    <w:pStyle w:val="37"/>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2" w:type="pct"/>
                  <w:vMerge w:val="continue"/>
                  <w:vAlign w:val="center"/>
                </w:tcPr>
                <w:p>
                  <w:pPr>
                    <w:pStyle w:val="37"/>
                  </w:pPr>
                </w:p>
              </w:tc>
              <w:tc>
                <w:tcPr>
                  <w:tcW w:w="380" w:type="pct"/>
                  <w:vMerge w:val="continue"/>
                  <w:vAlign w:val="center"/>
                </w:tcPr>
                <w:p>
                  <w:pPr>
                    <w:pStyle w:val="37"/>
                  </w:pPr>
                </w:p>
              </w:tc>
              <w:tc>
                <w:tcPr>
                  <w:tcW w:w="1037" w:type="pct"/>
                  <w:vAlign w:val="center"/>
                </w:tcPr>
                <w:p>
                  <w:pPr>
                    <w:pStyle w:val="37"/>
                  </w:pPr>
                  <w:r>
                    <w:rPr>
                      <w:rFonts w:hint="eastAsia"/>
                    </w:rPr>
                    <w:t>锌</w:t>
                  </w:r>
                </w:p>
              </w:tc>
              <w:tc>
                <w:tcPr>
                  <w:tcW w:w="454" w:type="pct"/>
                  <w:vAlign w:val="center"/>
                </w:tcPr>
                <w:p>
                  <w:pPr>
                    <w:pStyle w:val="37"/>
                  </w:pPr>
                  <w:r>
                    <w:rPr>
                      <w:rFonts w:hint="eastAsia"/>
                    </w:rPr>
                    <w:t>0.009L</w:t>
                  </w:r>
                </w:p>
              </w:tc>
              <w:tc>
                <w:tcPr>
                  <w:tcW w:w="474" w:type="pct"/>
                  <w:vAlign w:val="center"/>
                </w:tcPr>
                <w:p>
                  <w:pPr>
                    <w:pStyle w:val="37"/>
                  </w:pPr>
                  <w:r>
                    <w:rPr>
                      <w:rFonts w:hint="eastAsia"/>
                    </w:rPr>
                    <w:t>0.009L</w:t>
                  </w:r>
                </w:p>
              </w:tc>
              <w:tc>
                <w:tcPr>
                  <w:tcW w:w="433" w:type="pct"/>
                  <w:vAlign w:val="center"/>
                </w:tcPr>
                <w:p>
                  <w:pPr>
                    <w:pStyle w:val="37"/>
                  </w:pPr>
                  <w:r>
                    <w:rPr>
                      <w:rFonts w:hint="eastAsia"/>
                    </w:rPr>
                    <w:t>0.009L</w:t>
                  </w:r>
                </w:p>
              </w:tc>
              <w:tc>
                <w:tcPr>
                  <w:tcW w:w="446" w:type="pct"/>
                  <w:vAlign w:val="center"/>
                </w:tcPr>
                <w:p>
                  <w:pPr>
                    <w:pStyle w:val="37"/>
                  </w:pPr>
                  <w:r>
                    <w:rPr>
                      <w:rFonts w:hint="eastAsia"/>
                    </w:rPr>
                    <w:t>0.009L</w:t>
                  </w:r>
                </w:p>
              </w:tc>
              <w:tc>
                <w:tcPr>
                  <w:tcW w:w="485" w:type="pct"/>
                  <w:vAlign w:val="center"/>
                </w:tcPr>
                <w:p>
                  <w:pPr>
                    <w:pStyle w:val="37"/>
                  </w:pPr>
                  <w:r>
                    <w:rPr>
                      <w:rFonts w:hint="eastAsia"/>
                    </w:rPr>
                    <w:t>/</w:t>
                  </w:r>
                </w:p>
              </w:tc>
              <w:tc>
                <w:tcPr>
                  <w:tcW w:w="383" w:type="pct"/>
                  <w:vAlign w:val="center"/>
                </w:tcPr>
                <w:p>
                  <w:pPr>
                    <w:pStyle w:val="37"/>
                  </w:pPr>
                  <w:r>
                    <w:rPr>
                      <w:rFonts w:hint="eastAsia"/>
                    </w:rPr>
                    <w:t>2</w:t>
                  </w:r>
                </w:p>
              </w:tc>
              <w:tc>
                <w:tcPr>
                  <w:tcW w:w="496" w:type="pct"/>
                  <w:vAlign w:val="center"/>
                </w:tcPr>
                <w:p>
                  <w:pPr>
                    <w:pStyle w:val="37"/>
                  </w:pPr>
                  <w:r>
                    <w:t>达标</w:t>
                  </w:r>
                </w:p>
              </w:tc>
            </w:tr>
          </w:tbl>
          <w:p>
            <w:pPr>
              <w:ind w:firstLine="480"/>
            </w:pPr>
            <w:r>
              <w:t>由</w:t>
            </w:r>
            <w:r>
              <w:rPr>
                <w:rFonts w:hint="eastAsia"/>
              </w:rPr>
              <w:t>上表</w:t>
            </w:r>
            <w:r>
              <w:t>可知</w:t>
            </w:r>
            <w:r>
              <w:rPr>
                <w:rFonts w:hint="eastAsia"/>
              </w:rPr>
              <w:t>，现有项目综合废水处理站废水总排口中pH、</w:t>
            </w:r>
            <w:r>
              <w:t>COD、BOD</w:t>
            </w:r>
            <w:r>
              <w:rPr>
                <w:vertAlign w:val="subscript"/>
              </w:rPr>
              <w:t>5</w:t>
            </w:r>
            <w:r>
              <w:t>、</w:t>
            </w:r>
            <w:r>
              <w:rPr>
                <w:rFonts w:hint="eastAsia"/>
              </w:rPr>
              <w:t>阴离子表面活性剂、</w:t>
            </w:r>
            <w:r>
              <w:t>SS、氨氮、</w:t>
            </w:r>
            <w:r>
              <w:rPr>
                <w:rFonts w:hint="eastAsia"/>
              </w:rPr>
              <w:t>总磷、总氮、石油类、动植物油、磷酸盐、</w:t>
            </w:r>
            <w:r>
              <w:rPr>
                <w:rFonts w:hint="eastAsia"/>
                <w:lang w:val="en-US" w:eastAsia="zh-CN"/>
              </w:rPr>
              <w:t>镍、</w:t>
            </w:r>
            <w:r>
              <w:rPr>
                <w:rFonts w:hint="eastAsia"/>
              </w:rPr>
              <w:t>锌等排放浓度均能达到小蓝污水处理厂纳管标准要求。</w:t>
            </w:r>
          </w:p>
          <w:p>
            <w:pPr>
              <w:ind w:firstLine="480"/>
            </w:pPr>
            <w:r>
              <w:rPr>
                <w:rFonts w:hint="eastAsia"/>
              </w:rPr>
              <w:t>③噪声</w:t>
            </w:r>
          </w:p>
          <w:p>
            <w:pPr>
              <w:pStyle w:val="38"/>
            </w:pPr>
            <w:r>
              <w:rPr>
                <w:rFonts w:hint="eastAsia"/>
              </w:rPr>
              <w:t>表2-1</w:t>
            </w:r>
            <w:r>
              <w:rPr>
                <w:rFonts w:hint="eastAsia"/>
                <w:lang w:val="en-US" w:eastAsia="zh-CN"/>
              </w:rPr>
              <w:t>6</w:t>
            </w:r>
            <w:r>
              <w:rPr>
                <w:rFonts w:hint="eastAsia"/>
              </w:rPr>
              <w:t xml:space="preserve">   现有项目厂界噪声检测结果一览表</w:t>
            </w:r>
          </w:p>
          <w:tbl>
            <w:tblPr>
              <w:tblStyle w:val="1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50"/>
              <w:gridCol w:w="1660"/>
              <w:gridCol w:w="1658"/>
              <w:gridCol w:w="1658"/>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vMerge w:val="restart"/>
                  <w:vAlign w:val="center"/>
                </w:tcPr>
                <w:p>
                  <w:pPr>
                    <w:pStyle w:val="37"/>
                    <w:rPr>
                      <w:b/>
                      <w:bCs/>
                    </w:rPr>
                  </w:pPr>
                  <w:r>
                    <w:rPr>
                      <w:b/>
                      <w:bCs/>
                    </w:rPr>
                    <w:t>监测点位</w:t>
                  </w:r>
                </w:p>
              </w:tc>
              <w:tc>
                <w:tcPr>
                  <w:tcW w:w="2051" w:type="pct"/>
                  <w:gridSpan w:val="2"/>
                  <w:vAlign w:val="center"/>
                </w:tcPr>
                <w:p>
                  <w:pPr>
                    <w:pStyle w:val="37"/>
                    <w:rPr>
                      <w:b/>
                      <w:bCs/>
                    </w:rPr>
                  </w:pPr>
                  <w:r>
                    <w:rPr>
                      <w:rFonts w:hint="eastAsia"/>
                      <w:b/>
                      <w:bCs/>
                    </w:rPr>
                    <w:t>2021年</w:t>
                  </w:r>
                  <w:r>
                    <w:rPr>
                      <w:b/>
                      <w:bCs/>
                    </w:rPr>
                    <w:t>8月11日</w:t>
                  </w:r>
                </w:p>
              </w:tc>
              <w:tc>
                <w:tcPr>
                  <w:tcW w:w="2052" w:type="pct"/>
                  <w:gridSpan w:val="2"/>
                  <w:vAlign w:val="center"/>
                </w:tcPr>
                <w:p>
                  <w:pPr>
                    <w:pStyle w:val="37"/>
                    <w:rPr>
                      <w:b/>
                      <w:bCs/>
                    </w:rPr>
                  </w:pPr>
                  <w:r>
                    <w:rPr>
                      <w:rFonts w:hint="eastAsia"/>
                      <w:b/>
                      <w:bCs/>
                    </w:rPr>
                    <w:t>2021年</w:t>
                  </w:r>
                  <w:r>
                    <w:rPr>
                      <w:b/>
                      <w:bCs/>
                    </w:rPr>
                    <w:t>8月12日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vMerge w:val="continue"/>
                  <w:vAlign w:val="center"/>
                </w:tcPr>
                <w:p>
                  <w:pPr>
                    <w:pStyle w:val="37"/>
                    <w:rPr>
                      <w:b/>
                      <w:bCs/>
                    </w:rPr>
                  </w:pPr>
                </w:p>
              </w:tc>
              <w:tc>
                <w:tcPr>
                  <w:tcW w:w="1026" w:type="pct"/>
                  <w:vAlign w:val="center"/>
                </w:tcPr>
                <w:p>
                  <w:pPr>
                    <w:pStyle w:val="37"/>
                    <w:rPr>
                      <w:b/>
                      <w:bCs/>
                    </w:rPr>
                  </w:pPr>
                  <w:r>
                    <w:rPr>
                      <w:b/>
                      <w:bCs/>
                    </w:rPr>
                    <w:t>天气：多云</w:t>
                  </w:r>
                </w:p>
              </w:tc>
              <w:tc>
                <w:tcPr>
                  <w:tcW w:w="1025" w:type="pct"/>
                  <w:vAlign w:val="center"/>
                </w:tcPr>
                <w:p>
                  <w:pPr>
                    <w:pStyle w:val="37"/>
                    <w:rPr>
                      <w:b/>
                      <w:bCs/>
                    </w:rPr>
                  </w:pPr>
                  <w:r>
                    <w:rPr>
                      <w:b/>
                      <w:bCs/>
                    </w:rPr>
                    <w:t>风速：2.8m/s</w:t>
                  </w:r>
                </w:p>
              </w:tc>
              <w:tc>
                <w:tcPr>
                  <w:tcW w:w="1025" w:type="pct"/>
                  <w:vAlign w:val="center"/>
                </w:tcPr>
                <w:p>
                  <w:pPr>
                    <w:pStyle w:val="37"/>
                    <w:rPr>
                      <w:b/>
                      <w:bCs/>
                    </w:rPr>
                  </w:pPr>
                  <w:r>
                    <w:rPr>
                      <w:b/>
                      <w:bCs/>
                    </w:rPr>
                    <w:t>天气：阴</w:t>
                  </w:r>
                </w:p>
              </w:tc>
              <w:tc>
                <w:tcPr>
                  <w:tcW w:w="1027" w:type="pct"/>
                  <w:vAlign w:val="center"/>
                </w:tcPr>
                <w:p>
                  <w:pPr>
                    <w:pStyle w:val="37"/>
                    <w:rPr>
                      <w:b/>
                      <w:bCs/>
                    </w:rPr>
                  </w:pPr>
                  <w:r>
                    <w:rPr>
                      <w:b/>
                      <w:bCs/>
                    </w:rPr>
                    <w:t>风速：2.5m/s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vMerge w:val="continue"/>
                  <w:vAlign w:val="center"/>
                </w:tcPr>
                <w:p>
                  <w:pPr>
                    <w:pStyle w:val="37"/>
                    <w:rPr>
                      <w:b/>
                      <w:bCs/>
                    </w:rPr>
                  </w:pPr>
                </w:p>
              </w:tc>
              <w:tc>
                <w:tcPr>
                  <w:tcW w:w="1026" w:type="pct"/>
                  <w:vAlign w:val="center"/>
                </w:tcPr>
                <w:p>
                  <w:pPr>
                    <w:pStyle w:val="37"/>
                    <w:rPr>
                      <w:b/>
                      <w:bCs/>
                    </w:rPr>
                  </w:pPr>
                  <w:r>
                    <w:rPr>
                      <w:b/>
                      <w:bCs/>
                    </w:rPr>
                    <w:t>昼间Leq[dB(A)]</w:t>
                  </w:r>
                </w:p>
              </w:tc>
              <w:tc>
                <w:tcPr>
                  <w:tcW w:w="1025" w:type="pct"/>
                  <w:vAlign w:val="center"/>
                </w:tcPr>
                <w:p>
                  <w:pPr>
                    <w:pStyle w:val="37"/>
                    <w:rPr>
                      <w:b/>
                      <w:bCs/>
                    </w:rPr>
                  </w:pPr>
                  <w:r>
                    <w:rPr>
                      <w:b/>
                      <w:bCs/>
                    </w:rPr>
                    <w:t>夜间Leq[dB(A)]</w:t>
                  </w:r>
                </w:p>
              </w:tc>
              <w:tc>
                <w:tcPr>
                  <w:tcW w:w="1025" w:type="pct"/>
                  <w:vAlign w:val="center"/>
                </w:tcPr>
                <w:p>
                  <w:pPr>
                    <w:pStyle w:val="37"/>
                    <w:rPr>
                      <w:b/>
                      <w:bCs/>
                    </w:rPr>
                  </w:pPr>
                  <w:r>
                    <w:rPr>
                      <w:b/>
                      <w:bCs/>
                    </w:rPr>
                    <w:t>昼间Leq[dB(A)]</w:t>
                  </w:r>
                </w:p>
              </w:tc>
              <w:tc>
                <w:tcPr>
                  <w:tcW w:w="1027" w:type="pct"/>
                  <w:vAlign w:val="center"/>
                </w:tcPr>
                <w:p>
                  <w:pPr>
                    <w:pStyle w:val="37"/>
                    <w:rPr>
                      <w:b/>
                      <w:bCs/>
                    </w:rPr>
                  </w:pPr>
                  <w:r>
                    <w:rPr>
                      <w:b/>
                      <w:bCs/>
                    </w:rPr>
                    <w:t>夜间Leq[dB(A)]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vAlign w:val="center"/>
                </w:tcPr>
                <w:p>
                  <w:pPr>
                    <w:pStyle w:val="37"/>
                  </w:pPr>
                  <w:r>
                    <w:t>N5厂界东面</w:t>
                  </w:r>
                </w:p>
              </w:tc>
              <w:tc>
                <w:tcPr>
                  <w:tcW w:w="1026" w:type="pct"/>
                  <w:vAlign w:val="center"/>
                </w:tcPr>
                <w:p>
                  <w:pPr>
                    <w:pStyle w:val="37"/>
                  </w:pPr>
                  <w:r>
                    <w:t>54.0</w:t>
                  </w:r>
                </w:p>
              </w:tc>
              <w:tc>
                <w:tcPr>
                  <w:tcW w:w="1025" w:type="pct"/>
                  <w:vAlign w:val="center"/>
                </w:tcPr>
                <w:p>
                  <w:pPr>
                    <w:pStyle w:val="37"/>
                  </w:pPr>
                  <w:r>
                    <w:t>45.0</w:t>
                  </w:r>
                </w:p>
              </w:tc>
              <w:tc>
                <w:tcPr>
                  <w:tcW w:w="1025" w:type="pct"/>
                  <w:vAlign w:val="center"/>
                </w:tcPr>
                <w:p>
                  <w:pPr>
                    <w:pStyle w:val="37"/>
                  </w:pPr>
                  <w:r>
                    <w:t>55.7</w:t>
                  </w:r>
                </w:p>
              </w:tc>
              <w:tc>
                <w:tcPr>
                  <w:tcW w:w="1027" w:type="pct"/>
                  <w:vAlign w:val="center"/>
                </w:tcPr>
                <w:p>
                  <w:pPr>
                    <w:pStyle w:val="37"/>
                  </w:pPr>
                  <w: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vAlign w:val="center"/>
                </w:tcPr>
                <w:p>
                  <w:pPr>
                    <w:pStyle w:val="37"/>
                  </w:pPr>
                  <w:r>
                    <w:t>N6厂界南面</w:t>
                  </w:r>
                </w:p>
              </w:tc>
              <w:tc>
                <w:tcPr>
                  <w:tcW w:w="1026" w:type="pct"/>
                  <w:vAlign w:val="center"/>
                </w:tcPr>
                <w:p>
                  <w:pPr>
                    <w:pStyle w:val="37"/>
                  </w:pPr>
                  <w:r>
                    <w:t>58.5</w:t>
                  </w:r>
                </w:p>
              </w:tc>
              <w:tc>
                <w:tcPr>
                  <w:tcW w:w="1025" w:type="pct"/>
                  <w:vAlign w:val="center"/>
                </w:tcPr>
                <w:p>
                  <w:pPr>
                    <w:pStyle w:val="37"/>
                  </w:pPr>
                  <w:r>
                    <w:t>46.2</w:t>
                  </w:r>
                </w:p>
              </w:tc>
              <w:tc>
                <w:tcPr>
                  <w:tcW w:w="1025" w:type="pct"/>
                  <w:vAlign w:val="center"/>
                </w:tcPr>
                <w:p>
                  <w:pPr>
                    <w:pStyle w:val="37"/>
                  </w:pPr>
                  <w:r>
                    <w:t>57.6</w:t>
                  </w:r>
                </w:p>
              </w:tc>
              <w:tc>
                <w:tcPr>
                  <w:tcW w:w="1027" w:type="pct"/>
                  <w:vAlign w:val="center"/>
                </w:tcPr>
                <w:p>
                  <w:pPr>
                    <w:pStyle w:val="37"/>
                  </w:pPr>
                  <w: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vAlign w:val="center"/>
                </w:tcPr>
                <w:p>
                  <w:pPr>
                    <w:pStyle w:val="37"/>
                  </w:pPr>
                  <w:r>
                    <w:t>N7厂界西面</w:t>
                  </w:r>
                </w:p>
              </w:tc>
              <w:tc>
                <w:tcPr>
                  <w:tcW w:w="1026" w:type="pct"/>
                  <w:vAlign w:val="center"/>
                </w:tcPr>
                <w:p>
                  <w:pPr>
                    <w:pStyle w:val="37"/>
                  </w:pPr>
                  <w:r>
                    <w:t>57.2</w:t>
                  </w:r>
                </w:p>
              </w:tc>
              <w:tc>
                <w:tcPr>
                  <w:tcW w:w="1025" w:type="pct"/>
                  <w:vAlign w:val="center"/>
                </w:tcPr>
                <w:p>
                  <w:pPr>
                    <w:pStyle w:val="37"/>
                  </w:pPr>
                  <w:r>
                    <w:t>46.2</w:t>
                  </w:r>
                </w:p>
              </w:tc>
              <w:tc>
                <w:tcPr>
                  <w:tcW w:w="1025" w:type="pct"/>
                  <w:vAlign w:val="center"/>
                </w:tcPr>
                <w:p>
                  <w:pPr>
                    <w:pStyle w:val="37"/>
                  </w:pPr>
                  <w:r>
                    <w:t>54.7</w:t>
                  </w:r>
                </w:p>
              </w:tc>
              <w:tc>
                <w:tcPr>
                  <w:tcW w:w="1027" w:type="pct"/>
                  <w:vAlign w:val="center"/>
                </w:tcPr>
                <w:p>
                  <w:pPr>
                    <w:pStyle w:val="37"/>
                  </w:pPr>
                  <w: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96" w:type="pct"/>
                  <w:vAlign w:val="center"/>
                </w:tcPr>
                <w:p>
                  <w:pPr>
                    <w:pStyle w:val="37"/>
                  </w:pPr>
                  <w:r>
                    <w:t>N8厂界北面</w:t>
                  </w:r>
                </w:p>
              </w:tc>
              <w:tc>
                <w:tcPr>
                  <w:tcW w:w="1026" w:type="pct"/>
                  <w:vAlign w:val="center"/>
                </w:tcPr>
                <w:p>
                  <w:pPr>
                    <w:pStyle w:val="37"/>
                  </w:pPr>
                  <w:r>
                    <w:t>55.9</w:t>
                  </w:r>
                </w:p>
              </w:tc>
              <w:tc>
                <w:tcPr>
                  <w:tcW w:w="1025" w:type="pct"/>
                  <w:vAlign w:val="center"/>
                </w:tcPr>
                <w:p>
                  <w:pPr>
                    <w:pStyle w:val="37"/>
                  </w:pPr>
                  <w:r>
                    <w:t>46.6</w:t>
                  </w:r>
                </w:p>
              </w:tc>
              <w:tc>
                <w:tcPr>
                  <w:tcW w:w="1025" w:type="pct"/>
                  <w:vAlign w:val="center"/>
                </w:tcPr>
                <w:p>
                  <w:pPr>
                    <w:pStyle w:val="37"/>
                  </w:pPr>
                  <w:r>
                    <w:t>57.2</w:t>
                  </w:r>
                </w:p>
              </w:tc>
              <w:tc>
                <w:tcPr>
                  <w:tcW w:w="1027" w:type="pct"/>
                  <w:vAlign w:val="center"/>
                </w:tcPr>
                <w:p>
                  <w:pPr>
                    <w:pStyle w:val="37"/>
                  </w:pPr>
                  <w:r>
                    <w:t>45.7</w:t>
                  </w:r>
                </w:p>
              </w:tc>
            </w:tr>
          </w:tbl>
          <w:p>
            <w:pPr>
              <w:ind w:firstLine="480"/>
            </w:pPr>
            <w:r>
              <w:rPr>
                <w:rFonts w:hint="eastAsia"/>
              </w:rPr>
              <w:t>项目东、南、西、北侧厂界昼夜间噪声排放均能达到《工业企业厂界环境噪声排放标准》（GB12348-2008）中3</w:t>
            </w:r>
            <w:r>
              <w:t>类标准限值</w:t>
            </w:r>
            <w:r>
              <w:rPr>
                <w:rFonts w:hint="eastAsia"/>
              </w:rPr>
              <w:t>要求。</w:t>
            </w:r>
          </w:p>
          <w:p>
            <w:pPr>
              <w:ind w:firstLine="480"/>
            </w:pPr>
            <w:r>
              <w:rPr>
                <w:rFonts w:hint="eastAsia"/>
              </w:rPr>
              <w:t>④固废</w:t>
            </w:r>
          </w:p>
          <w:p>
            <w:pPr>
              <w:pStyle w:val="38"/>
            </w:pPr>
            <w:r>
              <w:rPr>
                <w:rFonts w:hint="eastAsia"/>
              </w:rPr>
              <w:t>表2-1</w:t>
            </w:r>
            <w:r>
              <w:rPr>
                <w:rFonts w:hint="eastAsia"/>
                <w:lang w:val="en-US" w:eastAsia="zh-CN"/>
              </w:rPr>
              <w:t>7</w:t>
            </w:r>
            <w:r>
              <w:rPr>
                <w:rFonts w:hint="eastAsia"/>
              </w:rPr>
              <w:t xml:space="preserve">  现有项目固体废物产拍情况一览表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96"/>
              <w:gridCol w:w="2264"/>
              <w:gridCol w:w="1765"/>
              <w:gridCol w:w="1229"/>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387" w:type="pct"/>
                  <w:gridSpan w:val="2"/>
                  <w:tcBorders>
                    <w:tl2br w:val="nil"/>
                    <w:tr2bl w:val="nil"/>
                  </w:tcBorders>
                  <w:vAlign w:val="center"/>
                </w:tcPr>
                <w:p>
                  <w:pPr>
                    <w:pStyle w:val="37"/>
                    <w:rPr>
                      <w:b/>
                      <w:bCs/>
                    </w:rPr>
                  </w:pPr>
                  <w:r>
                    <w:rPr>
                      <w:b/>
                      <w:bCs/>
                    </w:rPr>
                    <w:t>固废名称</w:t>
                  </w:r>
                </w:p>
              </w:tc>
              <w:tc>
                <w:tcPr>
                  <w:tcW w:w="1091" w:type="pct"/>
                  <w:tcBorders>
                    <w:tl2br w:val="nil"/>
                    <w:tr2bl w:val="nil"/>
                  </w:tcBorders>
                  <w:vAlign w:val="center"/>
                </w:tcPr>
                <w:p>
                  <w:pPr>
                    <w:pStyle w:val="37"/>
                    <w:rPr>
                      <w:b/>
                      <w:bCs/>
                    </w:rPr>
                  </w:pPr>
                  <w:r>
                    <w:rPr>
                      <w:b/>
                      <w:bCs/>
                    </w:rPr>
                    <w:t>产</w:t>
                  </w:r>
                  <w:r>
                    <w:rPr>
                      <w:rFonts w:hint="eastAsia"/>
                      <w:b/>
                      <w:bCs/>
                    </w:rPr>
                    <w:t>生</w:t>
                  </w:r>
                  <w:r>
                    <w:rPr>
                      <w:b/>
                      <w:bCs/>
                    </w:rPr>
                    <w:t>量（t/a）</w:t>
                  </w:r>
                </w:p>
              </w:tc>
              <w:tc>
                <w:tcPr>
                  <w:tcW w:w="760" w:type="pct"/>
                  <w:tcBorders>
                    <w:tl2br w:val="nil"/>
                    <w:tr2bl w:val="nil"/>
                  </w:tcBorders>
                  <w:vAlign w:val="center"/>
                </w:tcPr>
                <w:p>
                  <w:pPr>
                    <w:pStyle w:val="37"/>
                    <w:rPr>
                      <w:b/>
                      <w:bCs/>
                    </w:rPr>
                  </w:pPr>
                  <w:r>
                    <w:rPr>
                      <w:rFonts w:hint="eastAsia"/>
                      <w:b/>
                      <w:bCs/>
                    </w:rPr>
                    <w:t>排放量（t/a）</w:t>
                  </w:r>
                </w:p>
              </w:tc>
              <w:tc>
                <w:tcPr>
                  <w:tcW w:w="761" w:type="pct"/>
                  <w:tcBorders>
                    <w:tl2br w:val="nil"/>
                    <w:tr2bl w:val="nil"/>
                  </w:tcBorders>
                  <w:vAlign w:val="center"/>
                </w:tcPr>
                <w:p>
                  <w:pPr>
                    <w:pStyle w:val="37"/>
                    <w:rPr>
                      <w:b/>
                      <w:bCs/>
                    </w:rPr>
                  </w:pPr>
                  <w:r>
                    <w:rPr>
                      <w:rFonts w:hint="eastAsia"/>
                      <w:b/>
                      <w:bCs/>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restart"/>
                  <w:tcBorders>
                    <w:tl2br w:val="nil"/>
                    <w:tr2bl w:val="nil"/>
                  </w:tcBorders>
                  <w:vAlign w:val="center"/>
                </w:tcPr>
                <w:p>
                  <w:pPr>
                    <w:pStyle w:val="37"/>
                  </w:pPr>
                  <w:r>
                    <w:rPr>
                      <w:rFonts w:hint="eastAsia"/>
                    </w:rPr>
                    <w:t>一般固废间</w:t>
                  </w:r>
                </w:p>
              </w:tc>
              <w:tc>
                <w:tcPr>
                  <w:tcW w:w="1399" w:type="pct"/>
                  <w:tcBorders>
                    <w:tl2br w:val="nil"/>
                    <w:tr2bl w:val="nil"/>
                  </w:tcBorders>
                  <w:vAlign w:val="center"/>
                </w:tcPr>
                <w:p>
                  <w:pPr>
                    <w:pStyle w:val="37"/>
                    <w:rPr>
                      <w:color w:val="000000" w:themeColor="text1"/>
                    </w:rPr>
                  </w:pPr>
                  <w:r>
                    <w:rPr>
                      <w:color w:val="000000" w:themeColor="text1"/>
                    </w:rPr>
                    <w:t>废金属屑、废金属边角料</w:t>
                  </w:r>
                </w:p>
              </w:tc>
              <w:tc>
                <w:tcPr>
                  <w:tcW w:w="1091" w:type="pct"/>
                  <w:tcBorders>
                    <w:tl2br w:val="nil"/>
                    <w:tr2bl w:val="nil"/>
                  </w:tcBorders>
                  <w:vAlign w:val="center"/>
                </w:tcPr>
                <w:p>
                  <w:pPr>
                    <w:pStyle w:val="37"/>
                    <w:rPr>
                      <w:rFonts w:hint="default" w:eastAsia="宋体"/>
                      <w:lang w:val="en-US" w:eastAsia="zh-CN"/>
                    </w:rPr>
                  </w:pPr>
                  <w:r>
                    <w:rPr>
                      <w:rFonts w:hint="eastAsia"/>
                      <w:lang w:val="en-US" w:eastAsia="zh-CN"/>
                    </w:rPr>
                    <w:t>73.5</w:t>
                  </w:r>
                </w:p>
              </w:tc>
              <w:tc>
                <w:tcPr>
                  <w:tcW w:w="760" w:type="pct"/>
                  <w:tcBorders>
                    <w:tl2br w:val="nil"/>
                    <w:tr2bl w:val="nil"/>
                  </w:tcBorders>
                  <w:vAlign w:val="center"/>
                </w:tcPr>
                <w:p>
                  <w:pPr>
                    <w:pStyle w:val="37"/>
                  </w:pPr>
                  <w:r>
                    <w:rPr>
                      <w:rFonts w:hint="eastAsia"/>
                    </w:rPr>
                    <w:t>0</w:t>
                  </w:r>
                </w:p>
              </w:tc>
              <w:tc>
                <w:tcPr>
                  <w:tcW w:w="761" w:type="pct"/>
                  <w:tcBorders>
                    <w:tl2br w:val="nil"/>
                    <w:tr2bl w:val="nil"/>
                  </w:tcBorders>
                  <w:vAlign w:val="center"/>
                </w:tcPr>
                <w:p>
                  <w:pPr>
                    <w:pStyle w:val="37"/>
                  </w:pPr>
                  <w: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continue"/>
                  <w:tcBorders>
                    <w:tl2br w:val="nil"/>
                    <w:tr2bl w:val="nil"/>
                  </w:tcBorders>
                  <w:vAlign w:val="center"/>
                </w:tcPr>
                <w:p>
                  <w:pPr>
                    <w:pStyle w:val="37"/>
                  </w:pPr>
                </w:p>
              </w:tc>
              <w:tc>
                <w:tcPr>
                  <w:tcW w:w="1399" w:type="pct"/>
                  <w:tcBorders>
                    <w:tl2br w:val="nil"/>
                    <w:tr2bl w:val="nil"/>
                  </w:tcBorders>
                  <w:vAlign w:val="center"/>
                </w:tcPr>
                <w:p>
                  <w:pPr>
                    <w:pStyle w:val="37"/>
                    <w:rPr>
                      <w:color w:val="000000" w:themeColor="text1"/>
                    </w:rPr>
                  </w:pPr>
                  <w:r>
                    <w:rPr>
                      <w:rFonts w:hint="eastAsia"/>
                      <w:color w:val="000000" w:themeColor="text1"/>
                    </w:rPr>
                    <w:t>不合格零部件</w:t>
                  </w:r>
                </w:p>
              </w:tc>
              <w:tc>
                <w:tcPr>
                  <w:tcW w:w="1091" w:type="pct"/>
                  <w:tcBorders>
                    <w:tl2br w:val="nil"/>
                    <w:tr2bl w:val="nil"/>
                  </w:tcBorders>
                  <w:vAlign w:val="center"/>
                </w:tcPr>
                <w:p>
                  <w:pPr>
                    <w:pStyle w:val="37"/>
                  </w:pPr>
                  <w:r>
                    <w:rPr>
                      <w:rFonts w:hint="eastAsia"/>
                    </w:rPr>
                    <w:t>1050台/年</w:t>
                  </w:r>
                </w:p>
              </w:tc>
              <w:tc>
                <w:tcPr>
                  <w:tcW w:w="760" w:type="pct"/>
                  <w:tcBorders>
                    <w:tl2br w:val="nil"/>
                    <w:tr2bl w:val="nil"/>
                  </w:tcBorders>
                  <w:vAlign w:val="center"/>
                </w:tcPr>
                <w:p>
                  <w:pPr>
                    <w:pStyle w:val="37"/>
                  </w:pPr>
                  <w:r>
                    <w:rPr>
                      <w:rFonts w:hint="eastAsia"/>
                    </w:rPr>
                    <w:t>0</w:t>
                  </w:r>
                </w:p>
              </w:tc>
              <w:tc>
                <w:tcPr>
                  <w:tcW w:w="761" w:type="pct"/>
                  <w:tcBorders>
                    <w:tl2br w:val="nil"/>
                    <w:tr2bl w:val="nil"/>
                  </w:tcBorders>
                  <w:vAlign w:val="center"/>
                </w:tcPr>
                <w:p>
                  <w:pPr>
                    <w:pStyle w:val="37"/>
                  </w:pPr>
                  <w:r>
                    <w:rPr>
                      <w:rFonts w:hint="eastAsia"/>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continue"/>
                  <w:tcBorders>
                    <w:tl2br w:val="nil"/>
                    <w:tr2bl w:val="nil"/>
                  </w:tcBorders>
                  <w:vAlign w:val="center"/>
                </w:tcPr>
                <w:p>
                  <w:pPr>
                    <w:pStyle w:val="37"/>
                  </w:pPr>
                </w:p>
              </w:tc>
              <w:tc>
                <w:tcPr>
                  <w:tcW w:w="1399" w:type="pct"/>
                  <w:tcBorders>
                    <w:tl2br w:val="nil"/>
                    <w:tr2bl w:val="nil"/>
                  </w:tcBorders>
                  <w:vAlign w:val="center"/>
                </w:tcPr>
                <w:p>
                  <w:pPr>
                    <w:pStyle w:val="37"/>
                    <w:rPr>
                      <w:color w:val="000000" w:themeColor="text1"/>
                    </w:rPr>
                  </w:pPr>
                  <w:r>
                    <w:rPr>
                      <w:color w:val="000000" w:themeColor="text1"/>
                    </w:rPr>
                    <w:t>普通包装废料</w:t>
                  </w:r>
                </w:p>
              </w:tc>
              <w:tc>
                <w:tcPr>
                  <w:tcW w:w="1091" w:type="pct"/>
                  <w:tcBorders>
                    <w:tl2br w:val="nil"/>
                    <w:tr2bl w:val="nil"/>
                  </w:tcBorders>
                  <w:vAlign w:val="center"/>
                </w:tcPr>
                <w:p>
                  <w:pPr>
                    <w:pStyle w:val="37"/>
                  </w:pPr>
                  <w:r>
                    <w:t>0.1</w:t>
                  </w:r>
                </w:p>
              </w:tc>
              <w:tc>
                <w:tcPr>
                  <w:tcW w:w="760" w:type="pct"/>
                  <w:tcBorders>
                    <w:tl2br w:val="nil"/>
                    <w:tr2bl w:val="nil"/>
                  </w:tcBorders>
                  <w:vAlign w:val="center"/>
                </w:tcPr>
                <w:p>
                  <w:pPr>
                    <w:pStyle w:val="37"/>
                  </w:pPr>
                  <w:r>
                    <w:rPr>
                      <w:rFonts w:hint="eastAsia"/>
                    </w:rPr>
                    <w:t>0</w:t>
                  </w:r>
                </w:p>
              </w:tc>
              <w:tc>
                <w:tcPr>
                  <w:tcW w:w="761" w:type="pct"/>
                  <w:tcBorders>
                    <w:tl2br w:val="nil"/>
                    <w:tr2bl w:val="nil"/>
                  </w:tcBorders>
                  <w:vAlign w:val="center"/>
                </w:tcPr>
                <w:p>
                  <w:pPr>
                    <w:pStyle w:val="37"/>
                  </w:pPr>
                  <w: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continue"/>
                  <w:tcBorders>
                    <w:tl2br w:val="nil"/>
                    <w:tr2bl w:val="nil"/>
                  </w:tcBorders>
                  <w:vAlign w:val="center"/>
                </w:tcPr>
                <w:p>
                  <w:pPr>
                    <w:pStyle w:val="37"/>
                  </w:pPr>
                </w:p>
              </w:tc>
              <w:tc>
                <w:tcPr>
                  <w:tcW w:w="1399" w:type="pct"/>
                  <w:tcBorders>
                    <w:tl2br w:val="nil"/>
                    <w:tr2bl w:val="nil"/>
                  </w:tcBorders>
                  <w:vAlign w:val="center"/>
                </w:tcPr>
                <w:p>
                  <w:pPr>
                    <w:pStyle w:val="37"/>
                    <w:rPr>
                      <w:color w:val="000000" w:themeColor="text1"/>
                    </w:rPr>
                  </w:pPr>
                  <w:r>
                    <w:rPr>
                      <w:color w:val="000000" w:themeColor="text1"/>
                    </w:rPr>
                    <w:t>废涂料桶</w:t>
                  </w:r>
                </w:p>
              </w:tc>
              <w:tc>
                <w:tcPr>
                  <w:tcW w:w="1091" w:type="pct"/>
                  <w:tcBorders>
                    <w:tl2br w:val="nil"/>
                    <w:tr2bl w:val="nil"/>
                  </w:tcBorders>
                  <w:vAlign w:val="center"/>
                </w:tcPr>
                <w:p>
                  <w:pPr>
                    <w:pStyle w:val="37"/>
                  </w:pPr>
                  <w:r>
                    <w:t>60</w:t>
                  </w:r>
                </w:p>
              </w:tc>
              <w:tc>
                <w:tcPr>
                  <w:tcW w:w="760" w:type="pct"/>
                  <w:tcBorders>
                    <w:tl2br w:val="nil"/>
                    <w:tr2bl w:val="nil"/>
                  </w:tcBorders>
                  <w:vAlign w:val="center"/>
                </w:tcPr>
                <w:p>
                  <w:pPr>
                    <w:pStyle w:val="37"/>
                  </w:pPr>
                  <w:r>
                    <w:rPr>
                      <w:rFonts w:hint="eastAsia"/>
                    </w:rPr>
                    <w:t>0</w:t>
                  </w:r>
                </w:p>
              </w:tc>
              <w:tc>
                <w:tcPr>
                  <w:tcW w:w="761" w:type="pct"/>
                  <w:tcBorders>
                    <w:tl2br w:val="nil"/>
                    <w:tr2bl w:val="nil"/>
                  </w:tcBorders>
                  <w:vAlign w:val="center"/>
                </w:tcPr>
                <w:p>
                  <w:pPr>
                    <w:pStyle w:val="37"/>
                  </w:pPr>
                  <w:r>
                    <w:rPr>
                      <w:rFonts w:hint="eastAsia"/>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continue"/>
                  <w:tcBorders>
                    <w:tl2br w:val="nil"/>
                    <w:tr2bl w:val="nil"/>
                  </w:tcBorders>
                  <w:vAlign w:val="center"/>
                </w:tcPr>
                <w:p>
                  <w:pPr>
                    <w:pStyle w:val="37"/>
                  </w:pPr>
                </w:p>
              </w:tc>
              <w:tc>
                <w:tcPr>
                  <w:tcW w:w="1399" w:type="pct"/>
                  <w:tcBorders>
                    <w:tl2br w:val="nil"/>
                    <w:tr2bl w:val="nil"/>
                  </w:tcBorders>
                  <w:vAlign w:val="center"/>
                </w:tcPr>
                <w:p>
                  <w:pPr>
                    <w:pStyle w:val="37"/>
                    <w:rPr>
                      <w:color w:val="000000" w:themeColor="text1"/>
                    </w:rPr>
                  </w:pPr>
                  <w:r>
                    <w:rPr>
                      <w:color w:val="000000" w:themeColor="text1"/>
                    </w:rPr>
                    <w:t>污泥</w:t>
                  </w:r>
                </w:p>
              </w:tc>
              <w:tc>
                <w:tcPr>
                  <w:tcW w:w="1091" w:type="pct"/>
                  <w:tcBorders>
                    <w:tl2br w:val="nil"/>
                    <w:tr2bl w:val="nil"/>
                  </w:tcBorders>
                  <w:vAlign w:val="center"/>
                </w:tcPr>
                <w:p>
                  <w:pPr>
                    <w:pStyle w:val="37"/>
                  </w:pPr>
                  <w:r>
                    <w:t>300</w:t>
                  </w:r>
                </w:p>
              </w:tc>
              <w:tc>
                <w:tcPr>
                  <w:tcW w:w="760" w:type="pct"/>
                  <w:tcBorders>
                    <w:tl2br w:val="nil"/>
                    <w:tr2bl w:val="nil"/>
                  </w:tcBorders>
                  <w:vAlign w:val="center"/>
                </w:tcPr>
                <w:p>
                  <w:pPr>
                    <w:pStyle w:val="37"/>
                  </w:pPr>
                  <w:r>
                    <w:rPr>
                      <w:rFonts w:hint="eastAsia"/>
                    </w:rPr>
                    <w:t>0</w:t>
                  </w:r>
                </w:p>
              </w:tc>
              <w:tc>
                <w:tcPr>
                  <w:tcW w:w="761" w:type="pct"/>
                  <w:tcBorders>
                    <w:tl2br w:val="nil"/>
                    <w:tr2bl w:val="nil"/>
                  </w:tcBorders>
                  <w:vAlign w:val="center"/>
                </w:tcPr>
                <w:p>
                  <w:pPr>
                    <w:pStyle w:val="37"/>
                  </w:pPr>
                  <w: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continue"/>
                  <w:tcBorders>
                    <w:tl2br w:val="nil"/>
                    <w:tr2bl w:val="nil"/>
                  </w:tcBorders>
                  <w:vAlign w:val="center"/>
                </w:tcPr>
                <w:p>
                  <w:pPr>
                    <w:pStyle w:val="37"/>
                  </w:pPr>
                </w:p>
              </w:tc>
              <w:tc>
                <w:tcPr>
                  <w:tcW w:w="1399" w:type="pct"/>
                  <w:tcBorders>
                    <w:tl2br w:val="nil"/>
                    <w:tr2bl w:val="nil"/>
                  </w:tcBorders>
                  <w:vAlign w:val="center"/>
                </w:tcPr>
                <w:p>
                  <w:pPr>
                    <w:pStyle w:val="37"/>
                    <w:rPr>
                      <w:color w:val="000000" w:themeColor="text1"/>
                    </w:rPr>
                  </w:pPr>
                  <w:r>
                    <w:rPr>
                      <w:color w:val="000000" w:themeColor="text1"/>
                    </w:rPr>
                    <w:t>废膜</w:t>
                  </w:r>
                </w:p>
              </w:tc>
              <w:tc>
                <w:tcPr>
                  <w:tcW w:w="1091" w:type="pct"/>
                  <w:tcBorders>
                    <w:tl2br w:val="nil"/>
                    <w:tr2bl w:val="nil"/>
                  </w:tcBorders>
                  <w:vAlign w:val="center"/>
                </w:tcPr>
                <w:p>
                  <w:pPr>
                    <w:pStyle w:val="37"/>
                  </w:pPr>
                  <w:r>
                    <w:t>0.05</w:t>
                  </w:r>
                </w:p>
              </w:tc>
              <w:tc>
                <w:tcPr>
                  <w:tcW w:w="760" w:type="pct"/>
                  <w:tcBorders>
                    <w:tl2br w:val="nil"/>
                    <w:tr2bl w:val="nil"/>
                  </w:tcBorders>
                  <w:vAlign w:val="center"/>
                </w:tcPr>
                <w:p>
                  <w:pPr>
                    <w:pStyle w:val="37"/>
                  </w:pPr>
                  <w:r>
                    <w:rPr>
                      <w:rFonts w:hint="eastAsia"/>
                    </w:rPr>
                    <w:t>0</w:t>
                  </w:r>
                </w:p>
              </w:tc>
              <w:tc>
                <w:tcPr>
                  <w:tcW w:w="761" w:type="pct"/>
                  <w:tcBorders>
                    <w:tl2br w:val="nil"/>
                    <w:tr2bl w:val="nil"/>
                  </w:tcBorders>
                  <w:vAlign w:val="center"/>
                </w:tcPr>
                <w:p>
                  <w:pPr>
                    <w:pStyle w:val="37"/>
                  </w:pPr>
                  <w:r>
                    <w:rPr>
                      <w:rFonts w:hint="eastAsia"/>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restart"/>
                  <w:tcBorders>
                    <w:tl2br w:val="nil"/>
                    <w:tr2bl w:val="nil"/>
                  </w:tcBorders>
                  <w:vAlign w:val="center"/>
                </w:tcPr>
                <w:p>
                  <w:pPr>
                    <w:pStyle w:val="37"/>
                  </w:pPr>
                  <w:r>
                    <w:rPr>
                      <w:rFonts w:hint="eastAsia"/>
                    </w:rPr>
                    <w:t>危险废物</w:t>
                  </w:r>
                </w:p>
              </w:tc>
              <w:tc>
                <w:tcPr>
                  <w:tcW w:w="1399" w:type="pct"/>
                  <w:tcBorders>
                    <w:tl2br w:val="nil"/>
                    <w:tr2bl w:val="nil"/>
                  </w:tcBorders>
                  <w:vAlign w:val="center"/>
                </w:tcPr>
                <w:p>
                  <w:pPr>
                    <w:pStyle w:val="37"/>
                    <w:rPr>
                      <w:color w:val="000000" w:themeColor="text1"/>
                    </w:rPr>
                  </w:pPr>
                  <w:r>
                    <w:rPr>
                      <w:color w:val="000000" w:themeColor="text1"/>
                    </w:rPr>
                    <w:t>废</w:t>
                  </w:r>
                  <w:r>
                    <w:rPr>
                      <w:rFonts w:hint="eastAsia"/>
                      <w:color w:val="000000" w:themeColor="text1"/>
                    </w:rPr>
                    <w:t>含油</w:t>
                  </w:r>
                  <w:r>
                    <w:rPr>
                      <w:color w:val="000000" w:themeColor="text1"/>
                    </w:rPr>
                    <w:t>抹布、手套</w:t>
                  </w:r>
                </w:p>
              </w:tc>
              <w:tc>
                <w:tcPr>
                  <w:tcW w:w="1091" w:type="pct"/>
                  <w:tcBorders>
                    <w:tl2br w:val="nil"/>
                    <w:tr2bl w:val="nil"/>
                  </w:tcBorders>
                  <w:vAlign w:val="center"/>
                </w:tcPr>
                <w:p>
                  <w:pPr>
                    <w:pStyle w:val="37"/>
                  </w:pPr>
                  <w:r>
                    <w:rPr>
                      <w:rFonts w:hint="eastAsia"/>
                    </w:rPr>
                    <w:t>20</w:t>
                  </w:r>
                </w:p>
              </w:tc>
              <w:tc>
                <w:tcPr>
                  <w:tcW w:w="760" w:type="pct"/>
                  <w:tcBorders>
                    <w:tl2br w:val="nil"/>
                    <w:tr2bl w:val="nil"/>
                  </w:tcBorders>
                  <w:vAlign w:val="center"/>
                </w:tcPr>
                <w:p>
                  <w:pPr>
                    <w:pStyle w:val="37"/>
                  </w:pPr>
                  <w:r>
                    <w:rPr>
                      <w:rFonts w:hint="eastAsia"/>
                    </w:rPr>
                    <w:t>0</w:t>
                  </w:r>
                </w:p>
              </w:tc>
              <w:tc>
                <w:tcPr>
                  <w:tcW w:w="761" w:type="pct"/>
                  <w:vMerge w:val="restart"/>
                  <w:tcBorders>
                    <w:tl2br w:val="nil"/>
                    <w:tr2bl w:val="nil"/>
                  </w:tcBorders>
                  <w:vAlign w:val="center"/>
                </w:tcPr>
                <w:p>
                  <w:pPr>
                    <w:pStyle w:val="37"/>
                  </w:pPr>
                  <w:r>
                    <w:t>交</w:t>
                  </w:r>
                  <w:r>
                    <w:rPr>
                      <w:rFonts w:hint="eastAsia"/>
                    </w:rPr>
                    <w:t>由有危废资质单位</w:t>
                  </w:r>
                  <w:r>
                    <w:t>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continue"/>
                  <w:tcBorders>
                    <w:tl2br w:val="nil"/>
                    <w:tr2bl w:val="nil"/>
                  </w:tcBorders>
                  <w:vAlign w:val="center"/>
                </w:tcPr>
                <w:p>
                  <w:pPr>
                    <w:pStyle w:val="37"/>
                  </w:pPr>
                </w:p>
              </w:tc>
              <w:tc>
                <w:tcPr>
                  <w:tcW w:w="1399" w:type="pct"/>
                  <w:tcBorders>
                    <w:tl2br w:val="nil"/>
                    <w:tr2bl w:val="nil"/>
                  </w:tcBorders>
                  <w:vAlign w:val="center"/>
                </w:tcPr>
                <w:p>
                  <w:pPr>
                    <w:pStyle w:val="37"/>
                    <w:rPr>
                      <w:color w:val="000000" w:themeColor="text1"/>
                    </w:rPr>
                  </w:pPr>
                  <w:r>
                    <w:rPr>
                      <w:color w:val="000000" w:themeColor="text1"/>
                    </w:rPr>
                    <w:t>废机油</w:t>
                  </w:r>
                </w:p>
              </w:tc>
              <w:tc>
                <w:tcPr>
                  <w:tcW w:w="1091" w:type="pct"/>
                  <w:tcBorders>
                    <w:tl2br w:val="nil"/>
                    <w:tr2bl w:val="nil"/>
                  </w:tcBorders>
                  <w:vAlign w:val="center"/>
                </w:tcPr>
                <w:p>
                  <w:pPr>
                    <w:pStyle w:val="37"/>
                  </w:pPr>
                  <w:r>
                    <w:rPr>
                      <w:rFonts w:hint="eastAsia"/>
                    </w:rPr>
                    <w:t>20</w:t>
                  </w:r>
                </w:p>
              </w:tc>
              <w:tc>
                <w:tcPr>
                  <w:tcW w:w="760" w:type="pct"/>
                  <w:tcBorders>
                    <w:tl2br w:val="nil"/>
                    <w:tr2bl w:val="nil"/>
                  </w:tcBorders>
                  <w:vAlign w:val="center"/>
                </w:tcPr>
                <w:p>
                  <w:pPr>
                    <w:pStyle w:val="37"/>
                  </w:pPr>
                  <w:r>
                    <w:rPr>
                      <w:rFonts w:hint="eastAsia"/>
                    </w:rPr>
                    <w:t>0</w:t>
                  </w:r>
                </w:p>
              </w:tc>
              <w:tc>
                <w:tcPr>
                  <w:tcW w:w="761" w:type="pct"/>
                  <w:vMerge w:val="continue"/>
                  <w:tcBorders>
                    <w:tl2br w:val="nil"/>
                    <w:tr2bl w:val="nil"/>
                  </w:tcBorders>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continue"/>
                  <w:tcBorders>
                    <w:tl2br w:val="nil"/>
                    <w:tr2bl w:val="nil"/>
                  </w:tcBorders>
                  <w:vAlign w:val="center"/>
                </w:tcPr>
                <w:p>
                  <w:pPr>
                    <w:pStyle w:val="37"/>
                  </w:pPr>
                </w:p>
              </w:tc>
              <w:tc>
                <w:tcPr>
                  <w:tcW w:w="1399" w:type="pct"/>
                  <w:tcBorders>
                    <w:tl2br w:val="nil"/>
                    <w:tr2bl w:val="nil"/>
                  </w:tcBorders>
                  <w:vAlign w:val="center"/>
                </w:tcPr>
                <w:p>
                  <w:pPr>
                    <w:pStyle w:val="37"/>
                    <w:rPr>
                      <w:color w:val="000000" w:themeColor="text1"/>
                    </w:rPr>
                  </w:pPr>
                  <w:r>
                    <w:rPr>
                      <w:color w:val="000000" w:themeColor="text1"/>
                    </w:rPr>
                    <w:t>磷化渣</w:t>
                  </w:r>
                </w:p>
              </w:tc>
              <w:tc>
                <w:tcPr>
                  <w:tcW w:w="1091" w:type="pct"/>
                  <w:tcBorders>
                    <w:tl2br w:val="nil"/>
                    <w:tr2bl w:val="nil"/>
                  </w:tcBorders>
                  <w:vAlign w:val="center"/>
                </w:tcPr>
                <w:p>
                  <w:pPr>
                    <w:pStyle w:val="37"/>
                  </w:pPr>
                  <w:r>
                    <w:t>20</w:t>
                  </w:r>
                </w:p>
              </w:tc>
              <w:tc>
                <w:tcPr>
                  <w:tcW w:w="760" w:type="pct"/>
                  <w:tcBorders>
                    <w:tl2br w:val="nil"/>
                    <w:tr2bl w:val="nil"/>
                  </w:tcBorders>
                  <w:vAlign w:val="center"/>
                </w:tcPr>
                <w:p>
                  <w:pPr>
                    <w:pStyle w:val="37"/>
                  </w:pPr>
                  <w:r>
                    <w:rPr>
                      <w:rFonts w:hint="eastAsia"/>
                    </w:rPr>
                    <w:t>0</w:t>
                  </w:r>
                </w:p>
              </w:tc>
              <w:tc>
                <w:tcPr>
                  <w:tcW w:w="761" w:type="pct"/>
                  <w:vMerge w:val="continue"/>
                  <w:tcBorders>
                    <w:tl2br w:val="nil"/>
                    <w:tr2bl w:val="nil"/>
                  </w:tcBorders>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7" w:type="pct"/>
                  <w:vMerge w:val="continue"/>
                  <w:tcBorders>
                    <w:tl2br w:val="nil"/>
                    <w:tr2bl w:val="nil"/>
                  </w:tcBorders>
                  <w:vAlign w:val="center"/>
                </w:tcPr>
                <w:p>
                  <w:pPr>
                    <w:pStyle w:val="37"/>
                  </w:pPr>
                </w:p>
              </w:tc>
              <w:tc>
                <w:tcPr>
                  <w:tcW w:w="1399" w:type="pct"/>
                  <w:tcBorders>
                    <w:tl2br w:val="nil"/>
                    <w:tr2bl w:val="nil"/>
                  </w:tcBorders>
                  <w:vAlign w:val="center"/>
                </w:tcPr>
                <w:p>
                  <w:pPr>
                    <w:pStyle w:val="37"/>
                    <w:rPr>
                      <w:color w:val="000000" w:themeColor="text1"/>
                    </w:rPr>
                  </w:pPr>
                  <w:r>
                    <w:rPr>
                      <w:color w:val="000000" w:themeColor="text1"/>
                    </w:rPr>
                    <w:t>磷化污泥</w:t>
                  </w:r>
                </w:p>
              </w:tc>
              <w:tc>
                <w:tcPr>
                  <w:tcW w:w="1091" w:type="pct"/>
                  <w:tcBorders>
                    <w:tl2br w:val="nil"/>
                    <w:tr2bl w:val="nil"/>
                  </w:tcBorders>
                  <w:vAlign w:val="center"/>
                </w:tcPr>
                <w:p>
                  <w:pPr>
                    <w:pStyle w:val="37"/>
                  </w:pPr>
                  <w:r>
                    <w:t>30</w:t>
                  </w:r>
                </w:p>
              </w:tc>
              <w:tc>
                <w:tcPr>
                  <w:tcW w:w="760" w:type="pct"/>
                  <w:tcBorders>
                    <w:tl2br w:val="nil"/>
                    <w:tr2bl w:val="nil"/>
                  </w:tcBorders>
                  <w:vAlign w:val="center"/>
                </w:tcPr>
                <w:p>
                  <w:pPr>
                    <w:pStyle w:val="37"/>
                  </w:pPr>
                  <w:r>
                    <w:rPr>
                      <w:rFonts w:hint="eastAsia"/>
                    </w:rPr>
                    <w:t>0</w:t>
                  </w:r>
                </w:p>
              </w:tc>
              <w:tc>
                <w:tcPr>
                  <w:tcW w:w="761" w:type="pct"/>
                  <w:vMerge w:val="continue"/>
                  <w:tcBorders>
                    <w:tl2br w:val="nil"/>
                    <w:tr2bl w:val="nil"/>
                  </w:tcBorders>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7" w:type="pct"/>
                  <w:gridSpan w:val="2"/>
                  <w:vAlign w:val="center"/>
                </w:tcPr>
                <w:p>
                  <w:pPr>
                    <w:pStyle w:val="37"/>
                  </w:pPr>
                  <w:r>
                    <w:t>生活垃圾</w:t>
                  </w:r>
                </w:p>
              </w:tc>
              <w:tc>
                <w:tcPr>
                  <w:tcW w:w="1091" w:type="pct"/>
                  <w:vAlign w:val="center"/>
                </w:tcPr>
                <w:p>
                  <w:pPr>
                    <w:pStyle w:val="37"/>
                  </w:pPr>
                  <w:r>
                    <w:rPr>
                      <w:rFonts w:hint="eastAsia"/>
                    </w:rPr>
                    <w:t>155.4</w:t>
                  </w:r>
                </w:p>
              </w:tc>
              <w:tc>
                <w:tcPr>
                  <w:tcW w:w="760" w:type="pct"/>
                  <w:vAlign w:val="center"/>
                </w:tcPr>
                <w:p>
                  <w:pPr>
                    <w:pStyle w:val="37"/>
                  </w:pPr>
                  <w:r>
                    <w:rPr>
                      <w:rFonts w:hint="eastAsia"/>
                    </w:rPr>
                    <w:t>0</w:t>
                  </w:r>
                </w:p>
              </w:tc>
              <w:tc>
                <w:tcPr>
                  <w:tcW w:w="761" w:type="pct"/>
                  <w:vAlign w:val="center"/>
                </w:tcPr>
                <w:p>
                  <w:pPr>
                    <w:pStyle w:val="37"/>
                  </w:pPr>
                  <w:r>
                    <w:rPr>
                      <w:rFonts w:hint="eastAsia"/>
                    </w:rPr>
                    <w:t>环卫部门</w:t>
                  </w:r>
                </w:p>
              </w:tc>
            </w:tr>
          </w:tbl>
          <w:p>
            <w:pPr>
              <w:ind w:firstLine="480"/>
            </w:pPr>
            <w:r>
              <w:rPr>
                <w:rFonts w:hint="eastAsia"/>
              </w:rPr>
              <w:t>现有项目一般固废贮存、处置过程可满足《一般工业固体废物贮存和填埋污染控制标准》（GB18599-2020）标准要求，危险废物贮存过程可满足《危险废物贮存污染控制标准》（GB18597-2023）标准要求。</w:t>
            </w:r>
          </w:p>
          <w:p>
            <w:pPr>
              <w:ind w:firstLine="482"/>
              <w:rPr>
                <w:b/>
                <w:bCs/>
                <w:color w:val="000000"/>
              </w:rPr>
            </w:pPr>
            <w:r>
              <w:rPr>
                <w:rFonts w:hint="eastAsia"/>
                <w:b/>
                <w:bCs/>
                <w:color w:val="000000"/>
              </w:rPr>
              <w:t>6、现有项目污染物排放情况汇总</w:t>
            </w:r>
          </w:p>
          <w:p>
            <w:pPr>
              <w:pStyle w:val="38"/>
            </w:pPr>
            <w:r>
              <w:rPr>
                <w:rFonts w:hint="eastAsia"/>
              </w:rPr>
              <w:t>表2-20    现有项目主要污染物排放情况一览表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478"/>
              <w:gridCol w:w="5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17" w:type="pct"/>
                  <w:vAlign w:val="center"/>
                </w:tcPr>
                <w:p>
                  <w:pPr>
                    <w:pStyle w:val="37"/>
                    <w:rPr>
                      <w:b/>
                      <w:bCs/>
                    </w:rPr>
                  </w:pPr>
                  <w:r>
                    <w:rPr>
                      <w:b/>
                      <w:bCs/>
                    </w:rPr>
                    <w:t>污染类型</w:t>
                  </w:r>
                </w:p>
              </w:tc>
              <w:tc>
                <w:tcPr>
                  <w:tcW w:w="914" w:type="pct"/>
                  <w:vAlign w:val="center"/>
                </w:tcPr>
                <w:p>
                  <w:pPr>
                    <w:pStyle w:val="37"/>
                    <w:rPr>
                      <w:b/>
                      <w:bCs/>
                    </w:rPr>
                  </w:pPr>
                  <w:r>
                    <w:rPr>
                      <w:b/>
                      <w:bCs/>
                    </w:rPr>
                    <w:t>污染物</w:t>
                  </w:r>
                </w:p>
              </w:tc>
              <w:tc>
                <w:tcPr>
                  <w:tcW w:w="3168" w:type="pct"/>
                  <w:vAlign w:val="center"/>
                </w:tcPr>
                <w:p>
                  <w:pPr>
                    <w:pStyle w:val="37"/>
                    <w:rPr>
                      <w:b/>
                      <w:bCs/>
                    </w:rPr>
                  </w:pPr>
                  <w:r>
                    <w:rPr>
                      <w:rFonts w:hint="eastAsia"/>
                      <w:b/>
                      <w:bCs/>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17" w:type="pct"/>
                  <w:vMerge w:val="restart"/>
                  <w:vAlign w:val="center"/>
                </w:tcPr>
                <w:p>
                  <w:pPr>
                    <w:pStyle w:val="37"/>
                  </w:pPr>
                  <w:r>
                    <w:t>废气</w:t>
                  </w:r>
                </w:p>
              </w:tc>
              <w:tc>
                <w:tcPr>
                  <w:tcW w:w="914" w:type="pct"/>
                  <w:vAlign w:val="center"/>
                </w:tcPr>
                <w:p>
                  <w:pPr>
                    <w:pStyle w:val="37"/>
                  </w:pPr>
                  <w:r>
                    <w:t>颗粒物</w:t>
                  </w:r>
                </w:p>
              </w:tc>
              <w:tc>
                <w:tcPr>
                  <w:tcW w:w="3168" w:type="pct"/>
                  <w:vAlign w:val="center"/>
                </w:tcPr>
                <w:p>
                  <w:pPr>
                    <w:pStyle w:val="37"/>
                  </w:pPr>
                  <w:r>
                    <w:rPr>
                      <w:rFonts w:hint="eastAsia"/>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rPr>
                      <w:rFonts w:hint="eastAsia"/>
                    </w:rPr>
                    <w:t>非甲烷总烃</w:t>
                  </w:r>
                </w:p>
              </w:tc>
              <w:tc>
                <w:tcPr>
                  <w:tcW w:w="3168" w:type="pct"/>
                  <w:vAlign w:val="center"/>
                </w:tcPr>
                <w:p>
                  <w:pPr>
                    <w:pStyle w:val="37"/>
                  </w:pPr>
                  <w:r>
                    <w:t>1.034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VOC</w:t>
                  </w:r>
                  <w:r>
                    <w:rPr>
                      <w:rFonts w:hint="eastAsia"/>
                    </w:rPr>
                    <w:t>s</w:t>
                  </w:r>
                </w:p>
              </w:tc>
              <w:tc>
                <w:tcPr>
                  <w:tcW w:w="3168" w:type="pct"/>
                  <w:vAlign w:val="center"/>
                </w:tcPr>
                <w:p>
                  <w:pPr>
                    <w:pStyle w:val="37"/>
                  </w:pPr>
                  <w:r>
                    <w:t>1.034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二甲苯</w:t>
                  </w:r>
                </w:p>
              </w:tc>
              <w:tc>
                <w:tcPr>
                  <w:tcW w:w="3168" w:type="pct"/>
                  <w:vAlign w:val="center"/>
                </w:tcPr>
                <w:p>
                  <w:pPr>
                    <w:pStyle w:val="37"/>
                  </w:pPr>
                  <w: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SO</w:t>
                  </w:r>
                  <w:r>
                    <w:rPr>
                      <w:vertAlign w:val="subscript"/>
                    </w:rPr>
                    <w:t>2</w:t>
                  </w:r>
                </w:p>
              </w:tc>
              <w:tc>
                <w:tcPr>
                  <w:tcW w:w="3168" w:type="pct"/>
                  <w:vAlign w:val="center"/>
                </w:tcPr>
                <w:p>
                  <w:pPr>
                    <w:pStyle w:val="37"/>
                  </w:pPr>
                  <w: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NOx</w:t>
                  </w:r>
                </w:p>
              </w:tc>
              <w:tc>
                <w:tcPr>
                  <w:tcW w:w="3168" w:type="pct"/>
                  <w:vAlign w:val="center"/>
                </w:tcPr>
                <w:p>
                  <w:pPr>
                    <w:pStyle w:val="37"/>
                  </w:pPr>
                  <w: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restart"/>
                  <w:vAlign w:val="center"/>
                </w:tcPr>
                <w:p>
                  <w:pPr>
                    <w:pStyle w:val="37"/>
                  </w:pPr>
                  <w:r>
                    <w:t>废水</w:t>
                  </w:r>
                </w:p>
              </w:tc>
              <w:tc>
                <w:tcPr>
                  <w:tcW w:w="914" w:type="pct"/>
                  <w:vAlign w:val="center"/>
                </w:tcPr>
                <w:p>
                  <w:pPr>
                    <w:pStyle w:val="37"/>
                  </w:pPr>
                  <w:r>
                    <w:t>COD</w:t>
                  </w:r>
                </w:p>
              </w:tc>
              <w:tc>
                <w:tcPr>
                  <w:tcW w:w="3168" w:type="pct"/>
                  <w:vAlign w:val="center"/>
                </w:tcPr>
                <w:p>
                  <w:pPr>
                    <w:pStyle w:val="37"/>
                  </w:pPr>
                  <w:r>
                    <w:t>47.046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BOD</w:t>
                  </w:r>
                </w:p>
              </w:tc>
              <w:tc>
                <w:tcPr>
                  <w:tcW w:w="3168" w:type="pct"/>
                  <w:vAlign w:val="center"/>
                </w:tcPr>
                <w:p>
                  <w:pPr>
                    <w:pStyle w:val="37"/>
                  </w:pPr>
                  <w:r>
                    <w:t>12.689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石油类</w:t>
                  </w:r>
                </w:p>
              </w:tc>
              <w:tc>
                <w:tcPr>
                  <w:tcW w:w="3168" w:type="pct"/>
                  <w:vAlign w:val="center"/>
                </w:tcPr>
                <w:p>
                  <w:pPr>
                    <w:pStyle w:val="37"/>
                  </w:pPr>
                  <w:r>
                    <w:t>0.821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SS</w:t>
                  </w:r>
                </w:p>
              </w:tc>
              <w:tc>
                <w:tcPr>
                  <w:tcW w:w="3168" w:type="pct"/>
                  <w:vAlign w:val="center"/>
                </w:tcPr>
                <w:p>
                  <w:pPr>
                    <w:pStyle w:val="37"/>
                  </w:pPr>
                  <w:r>
                    <w:t>29.569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氨氮</w:t>
                  </w:r>
                </w:p>
              </w:tc>
              <w:tc>
                <w:tcPr>
                  <w:tcW w:w="3168" w:type="pct"/>
                  <w:vAlign w:val="center"/>
                </w:tcPr>
                <w:p>
                  <w:pPr>
                    <w:pStyle w:val="37"/>
                  </w:pPr>
                  <w: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LAS</w:t>
                  </w:r>
                </w:p>
              </w:tc>
              <w:tc>
                <w:tcPr>
                  <w:tcW w:w="3168" w:type="pct"/>
                  <w:vAlign w:val="center"/>
                </w:tcPr>
                <w:p>
                  <w:pPr>
                    <w:pStyle w:val="37"/>
                  </w:pPr>
                  <w: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Zn</w:t>
                  </w:r>
                  <w:r>
                    <w:rPr>
                      <w:vertAlign w:val="superscript"/>
                    </w:rPr>
                    <w:t>2+</w:t>
                  </w:r>
                </w:p>
              </w:tc>
              <w:tc>
                <w:tcPr>
                  <w:tcW w:w="3168" w:type="pct"/>
                  <w:vAlign w:val="center"/>
                </w:tcPr>
                <w:p>
                  <w:pPr>
                    <w:pStyle w:val="37"/>
                  </w:pPr>
                  <w: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Ni</w:t>
                  </w:r>
                  <w:r>
                    <w:rPr>
                      <w:vertAlign w:val="superscript"/>
                    </w:rPr>
                    <w:t>2+</w:t>
                  </w:r>
                </w:p>
              </w:tc>
              <w:tc>
                <w:tcPr>
                  <w:tcW w:w="3168" w:type="pct"/>
                  <w:vAlign w:val="center"/>
                </w:tcPr>
                <w:p>
                  <w:pPr>
                    <w:pStyle w:val="37"/>
                  </w:pPr>
                  <w: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Merge w:val="continue"/>
                  <w:vAlign w:val="center"/>
                </w:tcPr>
                <w:p>
                  <w:pPr>
                    <w:pStyle w:val="37"/>
                  </w:pPr>
                </w:p>
              </w:tc>
              <w:tc>
                <w:tcPr>
                  <w:tcW w:w="914" w:type="pct"/>
                  <w:vAlign w:val="center"/>
                </w:tcPr>
                <w:p>
                  <w:pPr>
                    <w:pStyle w:val="37"/>
                  </w:pPr>
                  <w:r>
                    <w:t>PO</w:t>
                  </w:r>
                  <w:r>
                    <w:rPr>
                      <w:vertAlign w:val="subscript"/>
                    </w:rPr>
                    <w:t>4</w:t>
                  </w:r>
                  <w:r>
                    <w:rPr>
                      <w:vertAlign w:val="superscript"/>
                    </w:rPr>
                    <w:t>3-</w:t>
                  </w:r>
                </w:p>
              </w:tc>
              <w:tc>
                <w:tcPr>
                  <w:tcW w:w="3168" w:type="pct"/>
                  <w:vAlign w:val="center"/>
                </w:tcPr>
                <w:p>
                  <w:pPr>
                    <w:pStyle w:val="37"/>
                  </w:pPr>
                  <w: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17" w:type="pct"/>
                  <w:vAlign w:val="center"/>
                </w:tcPr>
                <w:p>
                  <w:pPr>
                    <w:pStyle w:val="37"/>
                  </w:pPr>
                  <w:r>
                    <w:t>固废</w:t>
                  </w:r>
                </w:p>
              </w:tc>
              <w:tc>
                <w:tcPr>
                  <w:tcW w:w="914" w:type="pct"/>
                  <w:vAlign w:val="center"/>
                </w:tcPr>
                <w:p>
                  <w:pPr>
                    <w:pStyle w:val="37"/>
                  </w:pPr>
                  <w:r>
                    <w:t>工业固废</w:t>
                  </w:r>
                </w:p>
              </w:tc>
              <w:tc>
                <w:tcPr>
                  <w:tcW w:w="3168" w:type="pct"/>
                  <w:vAlign w:val="center"/>
                </w:tcPr>
                <w:p>
                  <w:pPr>
                    <w:pStyle w:val="37"/>
                    <w:rPr>
                      <w:rFonts w:hint="default" w:eastAsia="宋体"/>
                      <w:lang w:val="en-US" w:eastAsia="zh-CN"/>
                    </w:rPr>
                  </w:pPr>
                  <w:r>
                    <w:rPr>
                      <w:rFonts w:hint="eastAsia"/>
                      <w:lang w:val="en-US" w:eastAsia="zh-CN"/>
                    </w:rPr>
                    <w:t>700</w:t>
                  </w:r>
                </w:p>
              </w:tc>
            </w:tr>
          </w:tbl>
          <w:p>
            <w:pPr>
              <w:pStyle w:val="17"/>
              <w:ind w:firstLine="0" w:firstLineChars="0"/>
            </w:pPr>
            <w:r>
              <w:rPr>
                <w:rFonts w:hint="eastAsia"/>
              </w:rPr>
              <w:t>注：工业固体废物为其产生量。</w:t>
            </w:r>
          </w:p>
          <w:p>
            <w:pPr>
              <w:spacing w:beforeLines="50"/>
              <w:ind w:firstLine="482"/>
              <w:rPr>
                <w:b/>
                <w:bCs/>
                <w:color w:val="000000"/>
              </w:rPr>
            </w:pPr>
            <w:r>
              <w:rPr>
                <w:rFonts w:hint="eastAsia"/>
                <w:b/>
                <w:bCs/>
                <w:color w:val="000000"/>
              </w:rPr>
              <w:t>（3）现有项目主要环境问题</w:t>
            </w:r>
          </w:p>
          <w:p>
            <w:pPr>
              <w:ind w:firstLine="480"/>
              <w:rPr>
                <w:color w:val="000000"/>
              </w:rPr>
            </w:pPr>
            <w:r>
              <w:t>综上分析，江铃汽车股份有限公司小蓝600亩内现有工程环保手续齐全，现已</w:t>
            </w:r>
            <w:r>
              <w:rPr>
                <w:rFonts w:hint="eastAsia"/>
              </w:rPr>
              <w:t>建设</w:t>
            </w:r>
            <w:r>
              <w:t>投产</w:t>
            </w:r>
            <w:r>
              <w:rPr>
                <w:rFonts w:hint="eastAsia"/>
              </w:rPr>
              <w:t>项目均</w:t>
            </w:r>
            <w:r>
              <w:t>已通过竣工环境保护验收</w:t>
            </w:r>
            <w:r>
              <w:rPr>
                <w:rFonts w:hint="eastAsia"/>
              </w:rPr>
              <w:t>，且运行过程中主要污染物均可达标排放</w:t>
            </w:r>
            <w:r>
              <w:t>，不存在</w:t>
            </w:r>
            <w:r>
              <w:rPr>
                <w:rFonts w:hint="eastAsia"/>
              </w:rPr>
              <w:t>主要</w:t>
            </w:r>
            <w:r>
              <w:t>环</w:t>
            </w:r>
            <w:r>
              <w:rPr>
                <w:rFonts w:hint="eastAsia"/>
              </w:rPr>
              <w:t>境</w:t>
            </w:r>
            <w:r>
              <w:t>问题</w:t>
            </w:r>
            <w:r>
              <w:rPr>
                <w:rFonts w:hint="eastAsia"/>
                <w:color w:val="000000"/>
              </w:rPr>
              <w:t>。</w:t>
            </w:r>
          </w:p>
          <w:p>
            <w:pPr>
              <w:ind w:firstLine="0" w:firstLineChars="0"/>
              <w:jc w:val="center"/>
              <w:rPr>
                <w:color w:val="000000"/>
              </w:rPr>
            </w:pPr>
          </w:p>
        </w:tc>
      </w:tr>
    </w:tbl>
    <w:p>
      <w:pPr>
        <w:pStyle w:val="24"/>
        <w:ind w:firstLine="720"/>
        <w:jc w:val="center"/>
        <w:rPr>
          <w:rFonts w:ascii="Times New Roman" w:hAnsi="Times New Roman"/>
          <w:snapToGrid w:val="0"/>
          <w:color w:val="000000"/>
          <w:sz w:val="36"/>
          <w:szCs w:val="36"/>
        </w:rPr>
        <w:sectPr>
          <w:pgSz w:w="11906" w:h="16838"/>
          <w:pgMar w:top="1701" w:right="1531" w:bottom="1701" w:left="1531" w:header="851" w:footer="851" w:gutter="0"/>
          <w:cols w:space="720" w:num="1"/>
          <w:docGrid w:linePitch="312" w:charSpace="0"/>
        </w:sectPr>
      </w:pPr>
    </w:p>
    <w:p>
      <w:pPr>
        <w:pStyle w:val="24"/>
        <w:spacing w:before="0" w:beforeAutospacing="0" w:afterLines="100" w:afterAutospacing="0"/>
        <w:ind w:firstLine="0" w:firstLineChars="0"/>
        <w:jc w:val="center"/>
        <w:outlineLvl w:val="0"/>
        <w:rPr>
          <w:rFonts w:ascii="Times New Roman" w:hAnsi="Times New Roman"/>
          <w:b/>
          <w:bCs/>
          <w:snapToGrid w:val="0"/>
          <w:color w:val="000000"/>
          <w:sz w:val="30"/>
          <w:szCs w:val="30"/>
        </w:rPr>
      </w:pPr>
      <w:r>
        <w:rPr>
          <w:rFonts w:ascii="Times New Roman" w:hAnsi="Times New Roman"/>
          <w:b/>
          <w:bCs/>
          <w:snapToGrid w:val="0"/>
          <w:color w:val="000000"/>
          <w:sz w:val="30"/>
          <w:szCs w:val="30"/>
        </w:rPr>
        <w:t>三、区域环境质量现状、环境保护目标及评价标准</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53" w:hRule="atLeast"/>
          <w:jc w:val="center"/>
        </w:trPr>
        <w:tc>
          <w:tcPr>
            <w:tcW w:w="850" w:type="dxa"/>
            <w:vAlign w:val="center"/>
          </w:tcPr>
          <w:p>
            <w:pPr>
              <w:pStyle w:val="41"/>
              <w:rPr>
                <w:b/>
                <w:bCs/>
                <w:color w:val="000000"/>
              </w:rPr>
            </w:pPr>
            <w:r>
              <w:rPr>
                <w:b/>
                <w:bCs/>
                <w:color w:val="000000"/>
              </w:rPr>
              <w:t>区域</w:t>
            </w:r>
          </w:p>
          <w:p>
            <w:pPr>
              <w:pStyle w:val="41"/>
              <w:rPr>
                <w:b/>
                <w:bCs/>
                <w:color w:val="000000"/>
              </w:rPr>
            </w:pPr>
            <w:r>
              <w:rPr>
                <w:b/>
                <w:bCs/>
                <w:color w:val="000000"/>
              </w:rPr>
              <w:t>环境</w:t>
            </w:r>
          </w:p>
          <w:p>
            <w:pPr>
              <w:pStyle w:val="41"/>
              <w:rPr>
                <w:b/>
                <w:bCs/>
                <w:color w:val="000000"/>
              </w:rPr>
            </w:pPr>
            <w:r>
              <w:rPr>
                <w:b/>
                <w:bCs/>
                <w:color w:val="000000"/>
              </w:rPr>
              <w:t>质量</w:t>
            </w:r>
          </w:p>
          <w:p>
            <w:pPr>
              <w:pStyle w:val="41"/>
              <w:rPr>
                <w:b/>
                <w:bCs/>
                <w:color w:val="000000"/>
              </w:rPr>
            </w:pPr>
            <w:r>
              <w:rPr>
                <w:b/>
                <w:bCs/>
                <w:color w:val="000000"/>
              </w:rPr>
              <w:t>现状</w:t>
            </w:r>
          </w:p>
        </w:tc>
        <w:tc>
          <w:tcPr>
            <w:tcW w:w="8211" w:type="dxa"/>
          </w:tcPr>
          <w:p>
            <w:pPr>
              <w:adjustRightInd w:val="0"/>
              <w:snapToGrid w:val="0"/>
              <w:spacing w:beforeLines="50"/>
              <w:ind w:firstLine="482"/>
              <w:jc w:val="left"/>
              <w:rPr>
                <w:b/>
                <w:bCs/>
                <w:color w:val="000000"/>
              </w:rPr>
            </w:pPr>
            <w:r>
              <w:rPr>
                <w:rFonts w:hint="eastAsia"/>
                <w:b/>
                <w:bCs/>
                <w:color w:val="000000"/>
              </w:rPr>
              <w:t>（1）</w:t>
            </w:r>
            <w:r>
              <w:rPr>
                <w:b/>
                <w:bCs/>
                <w:color w:val="000000"/>
              </w:rPr>
              <w:t>环境空气质量现状</w:t>
            </w:r>
          </w:p>
          <w:p>
            <w:pPr>
              <w:pStyle w:val="104"/>
              <w:adjustRightInd w:val="0"/>
              <w:snapToGrid w:val="0"/>
              <w:rPr>
                <w:color w:val="000000"/>
              </w:rPr>
            </w:pPr>
            <w:r>
              <w:rPr>
                <w:rFonts w:hint="eastAsia"/>
                <w:color w:val="000000"/>
              </w:rPr>
              <w:t>1、基本污染物</w:t>
            </w:r>
          </w:p>
          <w:p>
            <w:pPr>
              <w:pStyle w:val="104"/>
              <w:adjustRightInd w:val="0"/>
              <w:snapToGrid w:val="0"/>
              <w:rPr>
                <w:color w:val="000000"/>
              </w:rPr>
            </w:pPr>
            <w:r>
              <w:rPr>
                <w:color w:val="000000"/>
              </w:rPr>
              <w:t>根据江西省生态环境厅发布的20</w:t>
            </w:r>
            <w:r>
              <w:rPr>
                <w:rFonts w:hint="eastAsia"/>
                <w:color w:val="000000"/>
              </w:rPr>
              <w:t>22</w:t>
            </w:r>
            <w:r>
              <w:rPr>
                <w:color w:val="000000"/>
              </w:rPr>
              <w:t>年全省各县（市、区）中</w:t>
            </w:r>
            <w:r>
              <w:rPr>
                <w:rFonts w:hint="eastAsia"/>
                <w:color w:val="000000"/>
              </w:rPr>
              <w:t>南昌县的</w:t>
            </w:r>
            <w:r>
              <w:rPr>
                <w:color w:val="000000"/>
              </w:rPr>
              <w:t>SO</w:t>
            </w:r>
            <w:r>
              <w:rPr>
                <w:color w:val="000000"/>
                <w:vertAlign w:val="subscript"/>
              </w:rPr>
              <w:t>2</w:t>
            </w:r>
            <w:r>
              <w:rPr>
                <w:color w:val="000000"/>
              </w:rPr>
              <w:t>、NO</w:t>
            </w:r>
            <w:r>
              <w:rPr>
                <w:color w:val="000000"/>
                <w:vertAlign w:val="subscript"/>
              </w:rPr>
              <w:t>2</w:t>
            </w:r>
            <w:r>
              <w:rPr>
                <w:color w:val="000000"/>
              </w:rPr>
              <w:t>、CO、O</w:t>
            </w:r>
            <w:r>
              <w:rPr>
                <w:color w:val="000000"/>
                <w:vertAlign w:val="subscript"/>
              </w:rPr>
              <w:t>3</w:t>
            </w:r>
            <w:r>
              <w:rPr>
                <w:color w:val="000000"/>
              </w:rPr>
              <w:t>、PM</w:t>
            </w:r>
            <w:r>
              <w:rPr>
                <w:color w:val="000000"/>
                <w:vertAlign w:val="subscript"/>
              </w:rPr>
              <w:t>2.5</w:t>
            </w:r>
            <w:r>
              <w:rPr>
                <w:color w:val="000000"/>
              </w:rPr>
              <w:t>、PM</w:t>
            </w:r>
            <w:r>
              <w:rPr>
                <w:color w:val="000000"/>
                <w:vertAlign w:val="subscript"/>
              </w:rPr>
              <w:t>10</w:t>
            </w:r>
            <w:r>
              <w:rPr>
                <w:color w:val="000000"/>
              </w:rPr>
              <w:t>等指标年均值的监测数据，对区域环境现状进行分析，具体结果见表3-1。</w:t>
            </w:r>
          </w:p>
          <w:p>
            <w:pPr>
              <w:pStyle w:val="38"/>
              <w:rPr>
                <w:color w:val="000000"/>
                <w:szCs w:val="24"/>
              </w:rPr>
            </w:pPr>
            <w:r>
              <w:rPr>
                <w:color w:val="000000"/>
                <w:szCs w:val="24"/>
              </w:rPr>
              <w:t xml:space="preserve">表3-1 </w:t>
            </w:r>
            <w:r>
              <w:rPr>
                <w:rFonts w:hint="eastAsia"/>
                <w:color w:val="000000"/>
                <w:szCs w:val="24"/>
              </w:rPr>
              <w:t xml:space="preserve"> 项目</w:t>
            </w:r>
            <w:r>
              <w:rPr>
                <w:color w:val="000000"/>
                <w:szCs w:val="24"/>
              </w:rPr>
              <w:t>所在区域环境质量现状</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365"/>
              <w:gridCol w:w="1336"/>
              <w:gridCol w:w="1112"/>
              <w:gridCol w:w="1184"/>
              <w:gridCol w:w="929"/>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28" w:type="dxa"/>
                  <w:vMerge w:val="restart"/>
                  <w:tcBorders>
                    <w:top w:val="single" w:color="auto" w:sz="4" w:space="0"/>
                    <w:left w:val="single" w:color="auto" w:sz="0" w:space="0"/>
                  </w:tcBorders>
                  <w:vAlign w:val="center"/>
                </w:tcPr>
                <w:p>
                  <w:pPr>
                    <w:pStyle w:val="37"/>
                    <w:rPr>
                      <w:b/>
                      <w:bCs/>
                      <w:color w:val="000000"/>
                      <w:kern w:val="2"/>
                      <w:szCs w:val="24"/>
                    </w:rPr>
                  </w:pPr>
                  <w:r>
                    <w:rPr>
                      <w:b/>
                      <w:bCs/>
                      <w:color w:val="000000"/>
                      <w:kern w:val="2"/>
                      <w:szCs w:val="24"/>
                    </w:rPr>
                    <w:t>评价因子</w:t>
                  </w:r>
                </w:p>
              </w:tc>
              <w:tc>
                <w:tcPr>
                  <w:tcW w:w="1365" w:type="dxa"/>
                  <w:vMerge w:val="restart"/>
                  <w:tcBorders>
                    <w:top w:val="single" w:color="auto" w:sz="4" w:space="0"/>
                  </w:tcBorders>
                  <w:vAlign w:val="center"/>
                </w:tcPr>
                <w:p>
                  <w:pPr>
                    <w:pStyle w:val="37"/>
                    <w:rPr>
                      <w:b/>
                      <w:bCs/>
                      <w:color w:val="000000"/>
                      <w:kern w:val="2"/>
                      <w:szCs w:val="24"/>
                    </w:rPr>
                  </w:pPr>
                  <w:r>
                    <w:rPr>
                      <w:b/>
                      <w:bCs/>
                      <w:color w:val="000000"/>
                      <w:kern w:val="2"/>
                      <w:szCs w:val="24"/>
                    </w:rPr>
                    <w:t>平均时段</w:t>
                  </w:r>
                </w:p>
              </w:tc>
              <w:tc>
                <w:tcPr>
                  <w:tcW w:w="1336" w:type="dxa"/>
                  <w:vMerge w:val="restart"/>
                  <w:tcBorders>
                    <w:top w:val="single" w:color="auto" w:sz="4" w:space="0"/>
                  </w:tcBorders>
                  <w:vAlign w:val="center"/>
                </w:tcPr>
                <w:p>
                  <w:pPr>
                    <w:pStyle w:val="37"/>
                    <w:rPr>
                      <w:b/>
                      <w:bCs/>
                      <w:color w:val="000000"/>
                      <w:kern w:val="2"/>
                      <w:szCs w:val="24"/>
                    </w:rPr>
                  </w:pPr>
                  <w:r>
                    <w:rPr>
                      <w:b/>
                      <w:bCs/>
                      <w:color w:val="000000"/>
                      <w:kern w:val="2"/>
                      <w:szCs w:val="24"/>
                    </w:rPr>
                    <w:t>百分位</w:t>
                  </w:r>
                </w:p>
              </w:tc>
              <w:tc>
                <w:tcPr>
                  <w:tcW w:w="1112" w:type="dxa"/>
                  <w:tcBorders>
                    <w:top w:val="single" w:color="auto" w:sz="4" w:space="0"/>
                  </w:tcBorders>
                  <w:vAlign w:val="center"/>
                </w:tcPr>
                <w:p>
                  <w:pPr>
                    <w:pStyle w:val="37"/>
                    <w:rPr>
                      <w:b/>
                      <w:bCs/>
                      <w:color w:val="000000"/>
                      <w:kern w:val="2"/>
                      <w:szCs w:val="24"/>
                    </w:rPr>
                  </w:pPr>
                  <w:r>
                    <w:rPr>
                      <w:b/>
                      <w:bCs/>
                      <w:color w:val="000000"/>
                      <w:kern w:val="2"/>
                      <w:szCs w:val="24"/>
                    </w:rPr>
                    <w:t>现状浓度</w:t>
                  </w:r>
                </w:p>
              </w:tc>
              <w:tc>
                <w:tcPr>
                  <w:tcW w:w="1184" w:type="dxa"/>
                  <w:tcBorders>
                    <w:top w:val="single" w:color="auto" w:sz="4" w:space="0"/>
                  </w:tcBorders>
                  <w:vAlign w:val="center"/>
                </w:tcPr>
                <w:p>
                  <w:pPr>
                    <w:pStyle w:val="37"/>
                    <w:rPr>
                      <w:b/>
                      <w:bCs/>
                      <w:color w:val="000000"/>
                      <w:kern w:val="2"/>
                      <w:szCs w:val="24"/>
                    </w:rPr>
                  </w:pPr>
                  <w:r>
                    <w:rPr>
                      <w:b/>
                      <w:bCs/>
                      <w:color w:val="000000"/>
                      <w:kern w:val="2"/>
                      <w:szCs w:val="24"/>
                    </w:rPr>
                    <w:t>标准限值</w:t>
                  </w:r>
                </w:p>
              </w:tc>
              <w:tc>
                <w:tcPr>
                  <w:tcW w:w="929" w:type="dxa"/>
                  <w:vMerge w:val="restart"/>
                  <w:tcBorders>
                    <w:top w:val="single" w:color="auto" w:sz="4" w:space="0"/>
                  </w:tcBorders>
                  <w:vAlign w:val="center"/>
                </w:tcPr>
                <w:p>
                  <w:pPr>
                    <w:pStyle w:val="37"/>
                    <w:rPr>
                      <w:b/>
                      <w:bCs/>
                      <w:color w:val="000000"/>
                      <w:kern w:val="2"/>
                      <w:szCs w:val="24"/>
                    </w:rPr>
                  </w:pPr>
                  <w:r>
                    <w:rPr>
                      <w:b/>
                      <w:bCs/>
                      <w:color w:val="000000"/>
                      <w:kern w:val="2"/>
                      <w:szCs w:val="24"/>
                    </w:rPr>
                    <w:t>占标率</w:t>
                  </w:r>
                </w:p>
              </w:tc>
              <w:tc>
                <w:tcPr>
                  <w:tcW w:w="920" w:type="dxa"/>
                  <w:vMerge w:val="restart"/>
                  <w:tcBorders>
                    <w:top w:val="single" w:color="auto" w:sz="4" w:space="0"/>
                    <w:right w:val="single" w:color="auto" w:sz="4" w:space="0"/>
                  </w:tcBorders>
                  <w:vAlign w:val="center"/>
                </w:tcPr>
                <w:p>
                  <w:pPr>
                    <w:pStyle w:val="37"/>
                    <w:rPr>
                      <w:b/>
                      <w:bCs/>
                      <w:color w:val="000000"/>
                      <w:kern w:val="2"/>
                      <w:szCs w:val="24"/>
                    </w:rPr>
                  </w:pPr>
                  <w:r>
                    <w:rPr>
                      <w:b/>
                      <w:bCs/>
                      <w:color w:val="000000"/>
                      <w:kern w:val="2"/>
                      <w:szCs w:val="24"/>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28" w:type="dxa"/>
                  <w:vMerge w:val="continue"/>
                  <w:tcBorders>
                    <w:left w:val="single" w:color="auto" w:sz="4" w:space="0"/>
                  </w:tcBorders>
                  <w:vAlign w:val="center"/>
                </w:tcPr>
                <w:p>
                  <w:pPr>
                    <w:pStyle w:val="37"/>
                    <w:rPr>
                      <w:b/>
                      <w:bCs/>
                      <w:color w:val="000000"/>
                      <w:kern w:val="2"/>
                      <w:szCs w:val="24"/>
                    </w:rPr>
                  </w:pPr>
                </w:p>
              </w:tc>
              <w:tc>
                <w:tcPr>
                  <w:tcW w:w="1365" w:type="dxa"/>
                  <w:vMerge w:val="continue"/>
                  <w:vAlign w:val="center"/>
                </w:tcPr>
                <w:p>
                  <w:pPr>
                    <w:pStyle w:val="37"/>
                    <w:rPr>
                      <w:b/>
                      <w:bCs/>
                      <w:color w:val="000000"/>
                      <w:kern w:val="2"/>
                      <w:szCs w:val="24"/>
                    </w:rPr>
                  </w:pPr>
                </w:p>
              </w:tc>
              <w:tc>
                <w:tcPr>
                  <w:tcW w:w="1336" w:type="dxa"/>
                  <w:vMerge w:val="continue"/>
                  <w:vAlign w:val="center"/>
                </w:tcPr>
                <w:p>
                  <w:pPr>
                    <w:pStyle w:val="37"/>
                    <w:rPr>
                      <w:b/>
                      <w:bCs/>
                      <w:color w:val="000000"/>
                      <w:kern w:val="2"/>
                      <w:szCs w:val="24"/>
                    </w:rPr>
                  </w:pPr>
                </w:p>
              </w:tc>
              <w:tc>
                <w:tcPr>
                  <w:tcW w:w="1112" w:type="dxa"/>
                  <w:vAlign w:val="center"/>
                </w:tcPr>
                <w:p>
                  <w:pPr>
                    <w:pStyle w:val="37"/>
                    <w:rPr>
                      <w:b/>
                      <w:bCs/>
                      <w:color w:val="000000"/>
                      <w:kern w:val="2"/>
                      <w:szCs w:val="24"/>
                    </w:rPr>
                  </w:pPr>
                  <w:r>
                    <w:rPr>
                      <w:b/>
                      <w:bCs/>
                      <w:color w:val="000000"/>
                      <w:kern w:val="2"/>
                      <w:szCs w:val="24"/>
                    </w:rPr>
                    <w:t>（μg/m</w:t>
                  </w:r>
                  <w:r>
                    <w:rPr>
                      <w:b/>
                      <w:bCs/>
                      <w:color w:val="000000"/>
                      <w:kern w:val="2"/>
                      <w:szCs w:val="24"/>
                      <w:vertAlign w:val="superscript"/>
                    </w:rPr>
                    <w:t>3</w:t>
                  </w:r>
                  <w:r>
                    <w:rPr>
                      <w:b/>
                      <w:bCs/>
                      <w:color w:val="000000"/>
                      <w:kern w:val="2"/>
                      <w:szCs w:val="24"/>
                    </w:rPr>
                    <w:t>）</w:t>
                  </w:r>
                </w:p>
              </w:tc>
              <w:tc>
                <w:tcPr>
                  <w:tcW w:w="1184" w:type="dxa"/>
                  <w:vAlign w:val="center"/>
                </w:tcPr>
                <w:p>
                  <w:pPr>
                    <w:pStyle w:val="37"/>
                    <w:rPr>
                      <w:b/>
                      <w:bCs/>
                      <w:color w:val="000000"/>
                      <w:kern w:val="2"/>
                      <w:szCs w:val="24"/>
                    </w:rPr>
                  </w:pPr>
                  <w:r>
                    <w:rPr>
                      <w:b/>
                      <w:bCs/>
                      <w:color w:val="000000"/>
                      <w:kern w:val="2"/>
                      <w:szCs w:val="24"/>
                    </w:rPr>
                    <w:t>（μg/m</w:t>
                  </w:r>
                  <w:r>
                    <w:rPr>
                      <w:b/>
                      <w:bCs/>
                      <w:color w:val="000000"/>
                      <w:kern w:val="2"/>
                      <w:szCs w:val="24"/>
                      <w:vertAlign w:val="superscript"/>
                    </w:rPr>
                    <w:t>3</w:t>
                  </w:r>
                  <w:r>
                    <w:rPr>
                      <w:b/>
                      <w:bCs/>
                      <w:color w:val="000000"/>
                      <w:kern w:val="2"/>
                      <w:szCs w:val="24"/>
                    </w:rPr>
                    <w:t>）</w:t>
                  </w:r>
                </w:p>
              </w:tc>
              <w:tc>
                <w:tcPr>
                  <w:tcW w:w="929" w:type="dxa"/>
                  <w:vMerge w:val="continue"/>
                  <w:vAlign w:val="center"/>
                </w:tcPr>
                <w:p>
                  <w:pPr>
                    <w:pStyle w:val="37"/>
                    <w:rPr>
                      <w:color w:val="000000"/>
                      <w:kern w:val="2"/>
                      <w:szCs w:val="24"/>
                    </w:rPr>
                  </w:pPr>
                </w:p>
              </w:tc>
              <w:tc>
                <w:tcPr>
                  <w:tcW w:w="920" w:type="dxa"/>
                  <w:vMerge w:val="continue"/>
                  <w:tcBorders>
                    <w:right w:val="single" w:color="auto" w:sz="4" w:space="0"/>
                  </w:tcBorders>
                  <w:vAlign w:val="center"/>
                </w:tcPr>
                <w:p>
                  <w:pPr>
                    <w:pStyle w:val="37"/>
                    <w:rPr>
                      <w:color w:val="000000"/>
                      <w:kern w:val="2"/>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28" w:type="dxa"/>
                  <w:tcBorders>
                    <w:left w:val="single" w:color="auto" w:sz="4" w:space="0"/>
                  </w:tcBorders>
                  <w:vAlign w:val="center"/>
                </w:tcPr>
                <w:p>
                  <w:pPr>
                    <w:pStyle w:val="37"/>
                    <w:rPr>
                      <w:color w:val="000000"/>
                      <w:kern w:val="2"/>
                      <w:szCs w:val="24"/>
                    </w:rPr>
                  </w:pPr>
                  <w:r>
                    <w:rPr>
                      <w:color w:val="000000"/>
                      <w:kern w:val="2"/>
                      <w:szCs w:val="24"/>
                    </w:rPr>
                    <w:t>SO</w:t>
                  </w:r>
                  <w:r>
                    <w:rPr>
                      <w:color w:val="000000"/>
                      <w:kern w:val="2"/>
                      <w:szCs w:val="24"/>
                      <w:vertAlign w:val="subscript"/>
                    </w:rPr>
                    <w:t>2</w:t>
                  </w:r>
                </w:p>
              </w:tc>
              <w:tc>
                <w:tcPr>
                  <w:tcW w:w="1365" w:type="dxa"/>
                  <w:vAlign w:val="center"/>
                </w:tcPr>
                <w:p>
                  <w:pPr>
                    <w:pStyle w:val="37"/>
                    <w:rPr>
                      <w:color w:val="000000"/>
                      <w:kern w:val="2"/>
                      <w:szCs w:val="24"/>
                    </w:rPr>
                  </w:pPr>
                  <w:r>
                    <w:rPr>
                      <w:color w:val="000000"/>
                      <w:kern w:val="2"/>
                      <w:szCs w:val="24"/>
                    </w:rPr>
                    <w:t>年平均浓度</w:t>
                  </w:r>
                </w:p>
              </w:tc>
              <w:tc>
                <w:tcPr>
                  <w:tcW w:w="1336" w:type="dxa"/>
                  <w:vAlign w:val="center"/>
                </w:tcPr>
                <w:p>
                  <w:pPr>
                    <w:pStyle w:val="37"/>
                    <w:rPr>
                      <w:color w:val="000000"/>
                      <w:kern w:val="2"/>
                      <w:szCs w:val="24"/>
                    </w:rPr>
                  </w:pPr>
                  <w:r>
                    <w:rPr>
                      <w:rFonts w:hint="eastAsia"/>
                      <w:color w:val="000000"/>
                      <w:kern w:val="2"/>
                      <w:szCs w:val="24"/>
                    </w:rPr>
                    <w:t>/</w:t>
                  </w:r>
                </w:p>
              </w:tc>
              <w:tc>
                <w:tcPr>
                  <w:tcW w:w="1112" w:type="dxa"/>
                  <w:vAlign w:val="center"/>
                </w:tcPr>
                <w:p>
                  <w:pPr>
                    <w:pStyle w:val="37"/>
                    <w:rPr>
                      <w:color w:val="000000"/>
                      <w:kern w:val="2"/>
                      <w:szCs w:val="24"/>
                    </w:rPr>
                  </w:pPr>
                  <w:r>
                    <w:rPr>
                      <w:rFonts w:hint="eastAsia"/>
                      <w:color w:val="000000"/>
                      <w:kern w:val="2"/>
                      <w:szCs w:val="24"/>
                    </w:rPr>
                    <w:t>8</w:t>
                  </w:r>
                </w:p>
              </w:tc>
              <w:tc>
                <w:tcPr>
                  <w:tcW w:w="1184" w:type="dxa"/>
                  <w:vAlign w:val="center"/>
                </w:tcPr>
                <w:p>
                  <w:pPr>
                    <w:pStyle w:val="37"/>
                    <w:rPr>
                      <w:color w:val="000000"/>
                      <w:kern w:val="2"/>
                      <w:szCs w:val="24"/>
                    </w:rPr>
                  </w:pPr>
                  <w:r>
                    <w:rPr>
                      <w:rFonts w:hint="eastAsia"/>
                      <w:color w:val="000000"/>
                      <w:kern w:val="2"/>
                      <w:szCs w:val="24"/>
                    </w:rPr>
                    <w:t>60</w:t>
                  </w:r>
                </w:p>
              </w:tc>
              <w:tc>
                <w:tcPr>
                  <w:tcW w:w="929" w:type="dxa"/>
                  <w:vAlign w:val="bottom"/>
                </w:tcPr>
                <w:p>
                  <w:pPr>
                    <w:pStyle w:val="37"/>
                  </w:pPr>
                  <w:r>
                    <w:t>13.33%</w:t>
                  </w:r>
                </w:p>
              </w:tc>
              <w:tc>
                <w:tcPr>
                  <w:tcW w:w="920" w:type="dxa"/>
                  <w:tcBorders>
                    <w:right w:val="single" w:color="auto" w:sz="4" w:space="0"/>
                  </w:tcBorders>
                  <w:vAlign w:val="center"/>
                </w:tcPr>
                <w:p>
                  <w:pPr>
                    <w:pStyle w:val="37"/>
                    <w:rPr>
                      <w:color w:val="000000"/>
                      <w:kern w:val="2"/>
                      <w:szCs w:val="24"/>
                    </w:rPr>
                  </w:pPr>
                  <w:r>
                    <w:rPr>
                      <w:color w:val="000000"/>
                      <w:kern w:val="2"/>
                      <w:szCs w:val="24"/>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28" w:type="dxa"/>
                  <w:tcBorders>
                    <w:left w:val="single" w:color="auto" w:sz="4" w:space="0"/>
                  </w:tcBorders>
                  <w:vAlign w:val="center"/>
                </w:tcPr>
                <w:p>
                  <w:pPr>
                    <w:pStyle w:val="37"/>
                    <w:rPr>
                      <w:color w:val="000000"/>
                      <w:kern w:val="2"/>
                      <w:szCs w:val="24"/>
                    </w:rPr>
                  </w:pPr>
                  <w:r>
                    <w:rPr>
                      <w:color w:val="000000"/>
                      <w:kern w:val="2"/>
                      <w:szCs w:val="24"/>
                    </w:rPr>
                    <w:t>NO</w:t>
                  </w:r>
                  <w:r>
                    <w:rPr>
                      <w:color w:val="000000"/>
                      <w:kern w:val="2"/>
                      <w:szCs w:val="24"/>
                      <w:vertAlign w:val="subscript"/>
                    </w:rPr>
                    <w:t>2</w:t>
                  </w:r>
                </w:p>
              </w:tc>
              <w:tc>
                <w:tcPr>
                  <w:tcW w:w="1365" w:type="dxa"/>
                  <w:vAlign w:val="center"/>
                </w:tcPr>
                <w:p>
                  <w:pPr>
                    <w:pStyle w:val="37"/>
                    <w:rPr>
                      <w:color w:val="000000"/>
                      <w:kern w:val="2"/>
                      <w:szCs w:val="24"/>
                    </w:rPr>
                  </w:pPr>
                  <w:r>
                    <w:rPr>
                      <w:color w:val="000000"/>
                      <w:kern w:val="2"/>
                      <w:szCs w:val="24"/>
                    </w:rPr>
                    <w:t>年平均浓度</w:t>
                  </w:r>
                </w:p>
              </w:tc>
              <w:tc>
                <w:tcPr>
                  <w:tcW w:w="1336" w:type="dxa"/>
                  <w:vAlign w:val="center"/>
                </w:tcPr>
                <w:p>
                  <w:pPr>
                    <w:pStyle w:val="37"/>
                    <w:rPr>
                      <w:color w:val="000000"/>
                      <w:kern w:val="2"/>
                      <w:szCs w:val="24"/>
                    </w:rPr>
                  </w:pPr>
                  <w:r>
                    <w:rPr>
                      <w:rFonts w:hint="eastAsia"/>
                      <w:color w:val="000000"/>
                      <w:kern w:val="2"/>
                      <w:szCs w:val="24"/>
                    </w:rPr>
                    <w:t>/</w:t>
                  </w:r>
                </w:p>
              </w:tc>
              <w:tc>
                <w:tcPr>
                  <w:tcW w:w="1112" w:type="dxa"/>
                  <w:vAlign w:val="center"/>
                </w:tcPr>
                <w:p>
                  <w:pPr>
                    <w:pStyle w:val="37"/>
                    <w:rPr>
                      <w:color w:val="000000"/>
                      <w:kern w:val="2"/>
                      <w:szCs w:val="24"/>
                    </w:rPr>
                  </w:pPr>
                  <w:r>
                    <w:rPr>
                      <w:rFonts w:hint="eastAsia"/>
                      <w:color w:val="000000"/>
                      <w:kern w:val="2"/>
                      <w:szCs w:val="24"/>
                    </w:rPr>
                    <w:t>22</w:t>
                  </w:r>
                </w:p>
              </w:tc>
              <w:tc>
                <w:tcPr>
                  <w:tcW w:w="1184" w:type="dxa"/>
                  <w:vAlign w:val="center"/>
                </w:tcPr>
                <w:p>
                  <w:pPr>
                    <w:pStyle w:val="37"/>
                    <w:rPr>
                      <w:color w:val="000000"/>
                      <w:kern w:val="2"/>
                      <w:szCs w:val="24"/>
                    </w:rPr>
                  </w:pPr>
                  <w:r>
                    <w:rPr>
                      <w:rFonts w:hint="eastAsia"/>
                      <w:color w:val="000000"/>
                      <w:kern w:val="2"/>
                      <w:szCs w:val="24"/>
                    </w:rPr>
                    <w:t>40</w:t>
                  </w:r>
                </w:p>
              </w:tc>
              <w:tc>
                <w:tcPr>
                  <w:tcW w:w="929" w:type="dxa"/>
                  <w:vAlign w:val="bottom"/>
                </w:tcPr>
                <w:p>
                  <w:pPr>
                    <w:pStyle w:val="37"/>
                  </w:pPr>
                  <w:r>
                    <w:t>55.00%</w:t>
                  </w:r>
                </w:p>
              </w:tc>
              <w:tc>
                <w:tcPr>
                  <w:tcW w:w="920" w:type="dxa"/>
                  <w:tcBorders>
                    <w:right w:val="single" w:color="auto" w:sz="4" w:space="0"/>
                  </w:tcBorders>
                  <w:vAlign w:val="center"/>
                </w:tcPr>
                <w:p>
                  <w:pPr>
                    <w:pStyle w:val="37"/>
                    <w:rPr>
                      <w:color w:val="000000"/>
                      <w:kern w:val="2"/>
                      <w:szCs w:val="24"/>
                    </w:rPr>
                  </w:pPr>
                  <w:r>
                    <w:rPr>
                      <w:color w:val="000000"/>
                      <w:kern w:val="2"/>
                      <w:szCs w:val="24"/>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128" w:type="dxa"/>
                  <w:tcBorders>
                    <w:left w:val="single" w:color="auto" w:sz="4" w:space="0"/>
                  </w:tcBorders>
                  <w:vAlign w:val="center"/>
                </w:tcPr>
                <w:p>
                  <w:pPr>
                    <w:pStyle w:val="37"/>
                    <w:rPr>
                      <w:color w:val="000000"/>
                      <w:kern w:val="2"/>
                      <w:szCs w:val="24"/>
                    </w:rPr>
                  </w:pPr>
                  <w:r>
                    <w:rPr>
                      <w:color w:val="000000"/>
                      <w:kern w:val="2"/>
                      <w:szCs w:val="24"/>
                    </w:rPr>
                    <w:t>一氧化碳CO</w:t>
                  </w:r>
                </w:p>
              </w:tc>
              <w:tc>
                <w:tcPr>
                  <w:tcW w:w="1365" w:type="dxa"/>
                  <w:vAlign w:val="center"/>
                </w:tcPr>
                <w:p>
                  <w:pPr>
                    <w:pStyle w:val="37"/>
                    <w:rPr>
                      <w:color w:val="000000"/>
                      <w:kern w:val="2"/>
                      <w:szCs w:val="24"/>
                    </w:rPr>
                  </w:pPr>
                  <w:r>
                    <w:rPr>
                      <w:color w:val="000000"/>
                      <w:kern w:val="2"/>
                      <w:szCs w:val="24"/>
                    </w:rPr>
                    <w:t>日平均浓度</w:t>
                  </w:r>
                </w:p>
              </w:tc>
              <w:tc>
                <w:tcPr>
                  <w:tcW w:w="1336" w:type="dxa"/>
                  <w:vAlign w:val="center"/>
                </w:tcPr>
                <w:p>
                  <w:pPr>
                    <w:pStyle w:val="37"/>
                    <w:rPr>
                      <w:color w:val="000000"/>
                      <w:kern w:val="2"/>
                      <w:szCs w:val="24"/>
                    </w:rPr>
                  </w:pPr>
                  <w:r>
                    <w:rPr>
                      <w:color w:val="000000"/>
                      <w:kern w:val="2"/>
                      <w:szCs w:val="24"/>
                    </w:rPr>
                    <w:t>24h小时平均的第95百分位数</w:t>
                  </w:r>
                </w:p>
              </w:tc>
              <w:tc>
                <w:tcPr>
                  <w:tcW w:w="1112" w:type="dxa"/>
                  <w:vAlign w:val="center"/>
                </w:tcPr>
                <w:p>
                  <w:pPr>
                    <w:pStyle w:val="37"/>
                    <w:rPr>
                      <w:color w:val="000000"/>
                      <w:kern w:val="2"/>
                      <w:szCs w:val="24"/>
                    </w:rPr>
                  </w:pPr>
                  <w:r>
                    <w:rPr>
                      <w:rFonts w:hint="eastAsia"/>
                      <w:color w:val="000000"/>
                      <w:kern w:val="2"/>
                      <w:szCs w:val="24"/>
                    </w:rPr>
                    <w:t>1200</w:t>
                  </w:r>
                </w:p>
              </w:tc>
              <w:tc>
                <w:tcPr>
                  <w:tcW w:w="1184" w:type="dxa"/>
                  <w:vAlign w:val="center"/>
                </w:tcPr>
                <w:p>
                  <w:pPr>
                    <w:pStyle w:val="37"/>
                    <w:rPr>
                      <w:color w:val="000000"/>
                      <w:kern w:val="2"/>
                      <w:szCs w:val="24"/>
                    </w:rPr>
                  </w:pPr>
                  <w:r>
                    <w:rPr>
                      <w:rFonts w:hint="eastAsia"/>
                      <w:color w:val="000000"/>
                      <w:kern w:val="2"/>
                      <w:szCs w:val="24"/>
                    </w:rPr>
                    <w:t>4000</w:t>
                  </w:r>
                </w:p>
              </w:tc>
              <w:tc>
                <w:tcPr>
                  <w:tcW w:w="929" w:type="dxa"/>
                  <w:vAlign w:val="center"/>
                </w:tcPr>
                <w:p>
                  <w:pPr>
                    <w:pStyle w:val="37"/>
                  </w:pPr>
                  <w:r>
                    <w:t>30.00%</w:t>
                  </w:r>
                </w:p>
              </w:tc>
              <w:tc>
                <w:tcPr>
                  <w:tcW w:w="920" w:type="dxa"/>
                  <w:tcBorders>
                    <w:right w:val="single" w:color="auto" w:sz="4" w:space="0"/>
                  </w:tcBorders>
                  <w:vAlign w:val="center"/>
                </w:tcPr>
                <w:p>
                  <w:pPr>
                    <w:pStyle w:val="37"/>
                    <w:rPr>
                      <w:color w:val="000000"/>
                      <w:kern w:val="2"/>
                      <w:szCs w:val="24"/>
                    </w:rPr>
                  </w:pPr>
                  <w:r>
                    <w:rPr>
                      <w:color w:val="000000"/>
                      <w:kern w:val="2"/>
                      <w:szCs w:val="24"/>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128" w:type="dxa"/>
                  <w:tcBorders>
                    <w:left w:val="single" w:color="auto" w:sz="4" w:space="0"/>
                  </w:tcBorders>
                  <w:vAlign w:val="center"/>
                </w:tcPr>
                <w:p>
                  <w:pPr>
                    <w:pStyle w:val="37"/>
                    <w:rPr>
                      <w:color w:val="000000"/>
                      <w:kern w:val="2"/>
                      <w:szCs w:val="24"/>
                    </w:rPr>
                  </w:pPr>
                  <w:r>
                    <w:rPr>
                      <w:color w:val="000000"/>
                      <w:kern w:val="2"/>
                      <w:szCs w:val="24"/>
                    </w:rPr>
                    <w:t>臭氧O</w:t>
                  </w:r>
                  <w:r>
                    <w:rPr>
                      <w:color w:val="000000"/>
                      <w:kern w:val="2"/>
                      <w:szCs w:val="24"/>
                      <w:vertAlign w:val="subscript"/>
                    </w:rPr>
                    <w:t>3</w:t>
                  </w:r>
                </w:p>
              </w:tc>
              <w:tc>
                <w:tcPr>
                  <w:tcW w:w="1365" w:type="dxa"/>
                  <w:vAlign w:val="center"/>
                </w:tcPr>
                <w:p>
                  <w:pPr>
                    <w:pStyle w:val="37"/>
                    <w:rPr>
                      <w:color w:val="000000"/>
                      <w:kern w:val="2"/>
                      <w:szCs w:val="24"/>
                    </w:rPr>
                  </w:pPr>
                  <w:r>
                    <w:rPr>
                      <w:color w:val="000000"/>
                      <w:kern w:val="2"/>
                      <w:szCs w:val="24"/>
                    </w:rPr>
                    <w:t>日平均浓度</w:t>
                  </w:r>
                </w:p>
              </w:tc>
              <w:tc>
                <w:tcPr>
                  <w:tcW w:w="1336" w:type="dxa"/>
                  <w:vAlign w:val="center"/>
                </w:tcPr>
                <w:p>
                  <w:pPr>
                    <w:pStyle w:val="37"/>
                    <w:rPr>
                      <w:color w:val="000000"/>
                      <w:kern w:val="2"/>
                      <w:szCs w:val="24"/>
                    </w:rPr>
                  </w:pPr>
                  <w:r>
                    <w:rPr>
                      <w:color w:val="000000"/>
                      <w:kern w:val="2"/>
                      <w:szCs w:val="24"/>
                    </w:rPr>
                    <w:t>日最大8小时平均第90百分位数</w:t>
                  </w:r>
                </w:p>
              </w:tc>
              <w:tc>
                <w:tcPr>
                  <w:tcW w:w="1112" w:type="dxa"/>
                  <w:vAlign w:val="center"/>
                </w:tcPr>
                <w:p>
                  <w:pPr>
                    <w:pStyle w:val="37"/>
                    <w:rPr>
                      <w:color w:val="000000"/>
                      <w:kern w:val="2"/>
                      <w:szCs w:val="24"/>
                    </w:rPr>
                  </w:pPr>
                  <w:r>
                    <w:rPr>
                      <w:rFonts w:hint="eastAsia"/>
                      <w:color w:val="000000"/>
                      <w:kern w:val="2"/>
                      <w:szCs w:val="24"/>
                    </w:rPr>
                    <w:t>141</w:t>
                  </w:r>
                </w:p>
              </w:tc>
              <w:tc>
                <w:tcPr>
                  <w:tcW w:w="1184" w:type="dxa"/>
                  <w:vAlign w:val="center"/>
                </w:tcPr>
                <w:p>
                  <w:pPr>
                    <w:pStyle w:val="37"/>
                    <w:rPr>
                      <w:color w:val="000000"/>
                      <w:kern w:val="2"/>
                      <w:szCs w:val="24"/>
                    </w:rPr>
                  </w:pPr>
                  <w:r>
                    <w:rPr>
                      <w:rFonts w:hint="eastAsia"/>
                      <w:color w:val="000000"/>
                      <w:kern w:val="2"/>
                      <w:szCs w:val="24"/>
                    </w:rPr>
                    <w:t>160</w:t>
                  </w:r>
                </w:p>
              </w:tc>
              <w:tc>
                <w:tcPr>
                  <w:tcW w:w="929" w:type="dxa"/>
                  <w:vAlign w:val="center"/>
                </w:tcPr>
                <w:p>
                  <w:pPr>
                    <w:pStyle w:val="37"/>
                  </w:pPr>
                  <w:r>
                    <w:t>88.13%</w:t>
                  </w:r>
                </w:p>
              </w:tc>
              <w:tc>
                <w:tcPr>
                  <w:tcW w:w="920" w:type="dxa"/>
                  <w:tcBorders>
                    <w:right w:val="single" w:color="auto" w:sz="4" w:space="0"/>
                  </w:tcBorders>
                  <w:vAlign w:val="center"/>
                </w:tcPr>
                <w:p>
                  <w:pPr>
                    <w:pStyle w:val="37"/>
                    <w:rPr>
                      <w:color w:val="000000"/>
                      <w:kern w:val="2"/>
                      <w:szCs w:val="24"/>
                    </w:rPr>
                  </w:pPr>
                  <w:r>
                    <w:rPr>
                      <w:rFonts w:hint="eastAsia"/>
                      <w:color w:val="000000"/>
                      <w:kern w:val="2"/>
                      <w:szCs w:val="24"/>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28" w:type="dxa"/>
                  <w:tcBorders>
                    <w:left w:val="single" w:color="auto" w:sz="4" w:space="0"/>
                  </w:tcBorders>
                  <w:vAlign w:val="center"/>
                </w:tcPr>
                <w:p>
                  <w:pPr>
                    <w:pStyle w:val="37"/>
                    <w:rPr>
                      <w:color w:val="000000"/>
                      <w:kern w:val="2"/>
                      <w:szCs w:val="24"/>
                    </w:rPr>
                  </w:pPr>
                  <w:r>
                    <w:rPr>
                      <w:color w:val="000000"/>
                      <w:kern w:val="2"/>
                      <w:szCs w:val="24"/>
                    </w:rPr>
                    <w:t>PM</w:t>
                  </w:r>
                  <w:r>
                    <w:rPr>
                      <w:color w:val="000000"/>
                      <w:kern w:val="2"/>
                      <w:szCs w:val="24"/>
                      <w:vertAlign w:val="subscript"/>
                    </w:rPr>
                    <w:t>10</w:t>
                  </w:r>
                </w:p>
              </w:tc>
              <w:tc>
                <w:tcPr>
                  <w:tcW w:w="1365" w:type="dxa"/>
                  <w:vAlign w:val="center"/>
                </w:tcPr>
                <w:p>
                  <w:pPr>
                    <w:pStyle w:val="37"/>
                    <w:rPr>
                      <w:color w:val="000000"/>
                      <w:kern w:val="2"/>
                      <w:szCs w:val="24"/>
                    </w:rPr>
                  </w:pPr>
                  <w:r>
                    <w:rPr>
                      <w:color w:val="000000"/>
                      <w:kern w:val="2"/>
                      <w:szCs w:val="24"/>
                    </w:rPr>
                    <w:t>年平均浓度</w:t>
                  </w:r>
                </w:p>
              </w:tc>
              <w:tc>
                <w:tcPr>
                  <w:tcW w:w="1336" w:type="dxa"/>
                  <w:vAlign w:val="center"/>
                </w:tcPr>
                <w:p>
                  <w:pPr>
                    <w:pStyle w:val="37"/>
                    <w:rPr>
                      <w:color w:val="000000"/>
                      <w:kern w:val="2"/>
                      <w:szCs w:val="24"/>
                    </w:rPr>
                  </w:pPr>
                  <w:r>
                    <w:rPr>
                      <w:rFonts w:hint="eastAsia"/>
                      <w:color w:val="000000"/>
                      <w:kern w:val="2"/>
                      <w:szCs w:val="24"/>
                    </w:rPr>
                    <w:t>/</w:t>
                  </w:r>
                </w:p>
              </w:tc>
              <w:tc>
                <w:tcPr>
                  <w:tcW w:w="1112" w:type="dxa"/>
                  <w:vAlign w:val="center"/>
                </w:tcPr>
                <w:p>
                  <w:pPr>
                    <w:pStyle w:val="37"/>
                    <w:rPr>
                      <w:color w:val="000000"/>
                      <w:kern w:val="2"/>
                      <w:szCs w:val="24"/>
                    </w:rPr>
                  </w:pPr>
                  <w:r>
                    <w:rPr>
                      <w:rFonts w:hint="eastAsia"/>
                      <w:color w:val="000000"/>
                      <w:kern w:val="2"/>
                      <w:szCs w:val="24"/>
                    </w:rPr>
                    <w:t>55</w:t>
                  </w:r>
                </w:p>
              </w:tc>
              <w:tc>
                <w:tcPr>
                  <w:tcW w:w="1184" w:type="dxa"/>
                  <w:vAlign w:val="center"/>
                </w:tcPr>
                <w:p>
                  <w:pPr>
                    <w:pStyle w:val="37"/>
                    <w:rPr>
                      <w:color w:val="000000"/>
                      <w:kern w:val="2"/>
                      <w:szCs w:val="24"/>
                    </w:rPr>
                  </w:pPr>
                  <w:r>
                    <w:rPr>
                      <w:rFonts w:hint="eastAsia"/>
                      <w:color w:val="000000"/>
                      <w:kern w:val="2"/>
                      <w:szCs w:val="24"/>
                    </w:rPr>
                    <w:t>70</w:t>
                  </w:r>
                </w:p>
              </w:tc>
              <w:tc>
                <w:tcPr>
                  <w:tcW w:w="929" w:type="dxa"/>
                  <w:vAlign w:val="center"/>
                </w:tcPr>
                <w:p>
                  <w:pPr>
                    <w:pStyle w:val="37"/>
                  </w:pPr>
                  <w:r>
                    <w:t>78.57%</w:t>
                  </w:r>
                </w:p>
              </w:tc>
              <w:tc>
                <w:tcPr>
                  <w:tcW w:w="920" w:type="dxa"/>
                  <w:tcBorders>
                    <w:right w:val="single" w:color="auto" w:sz="4" w:space="0"/>
                  </w:tcBorders>
                  <w:vAlign w:val="center"/>
                </w:tcPr>
                <w:p>
                  <w:pPr>
                    <w:pStyle w:val="37"/>
                    <w:rPr>
                      <w:color w:val="000000"/>
                      <w:kern w:val="2"/>
                      <w:szCs w:val="24"/>
                    </w:rPr>
                  </w:pPr>
                  <w:r>
                    <w:rPr>
                      <w:color w:val="000000"/>
                      <w:kern w:val="2"/>
                      <w:szCs w:val="24"/>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128" w:type="dxa"/>
                  <w:tcBorders>
                    <w:left w:val="single" w:color="auto" w:sz="4" w:space="0"/>
                    <w:bottom w:val="single" w:color="auto" w:sz="4" w:space="0"/>
                  </w:tcBorders>
                  <w:vAlign w:val="center"/>
                </w:tcPr>
                <w:p>
                  <w:pPr>
                    <w:pStyle w:val="37"/>
                    <w:rPr>
                      <w:color w:val="000000"/>
                      <w:kern w:val="2"/>
                      <w:szCs w:val="24"/>
                    </w:rPr>
                  </w:pPr>
                  <w:r>
                    <w:rPr>
                      <w:color w:val="000000"/>
                      <w:kern w:val="2"/>
                      <w:szCs w:val="24"/>
                    </w:rPr>
                    <w:t>PM</w:t>
                  </w:r>
                  <w:r>
                    <w:rPr>
                      <w:color w:val="000000"/>
                      <w:kern w:val="2"/>
                      <w:szCs w:val="24"/>
                      <w:vertAlign w:val="subscript"/>
                    </w:rPr>
                    <w:t>2.5</w:t>
                  </w:r>
                </w:p>
              </w:tc>
              <w:tc>
                <w:tcPr>
                  <w:tcW w:w="1365" w:type="dxa"/>
                  <w:tcBorders>
                    <w:bottom w:val="single" w:color="auto" w:sz="4" w:space="0"/>
                  </w:tcBorders>
                  <w:vAlign w:val="center"/>
                </w:tcPr>
                <w:p>
                  <w:pPr>
                    <w:pStyle w:val="37"/>
                    <w:rPr>
                      <w:color w:val="000000"/>
                      <w:kern w:val="2"/>
                      <w:szCs w:val="24"/>
                    </w:rPr>
                  </w:pPr>
                  <w:r>
                    <w:rPr>
                      <w:color w:val="000000"/>
                      <w:kern w:val="2"/>
                      <w:szCs w:val="24"/>
                    </w:rPr>
                    <w:t>年平均浓度</w:t>
                  </w:r>
                </w:p>
              </w:tc>
              <w:tc>
                <w:tcPr>
                  <w:tcW w:w="1336" w:type="dxa"/>
                  <w:tcBorders>
                    <w:bottom w:val="single" w:color="auto" w:sz="4" w:space="0"/>
                  </w:tcBorders>
                  <w:vAlign w:val="center"/>
                </w:tcPr>
                <w:p>
                  <w:pPr>
                    <w:pStyle w:val="37"/>
                    <w:rPr>
                      <w:color w:val="000000"/>
                      <w:kern w:val="2"/>
                      <w:szCs w:val="24"/>
                    </w:rPr>
                  </w:pPr>
                  <w:r>
                    <w:rPr>
                      <w:rFonts w:hint="eastAsia"/>
                      <w:color w:val="000000"/>
                      <w:kern w:val="2"/>
                      <w:szCs w:val="24"/>
                    </w:rPr>
                    <w:t>/</w:t>
                  </w:r>
                </w:p>
              </w:tc>
              <w:tc>
                <w:tcPr>
                  <w:tcW w:w="1112" w:type="dxa"/>
                  <w:tcBorders>
                    <w:bottom w:val="single" w:color="auto" w:sz="4" w:space="0"/>
                  </w:tcBorders>
                  <w:vAlign w:val="center"/>
                </w:tcPr>
                <w:p>
                  <w:pPr>
                    <w:pStyle w:val="37"/>
                    <w:rPr>
                      <w:color w:val="000000"/>
                      <w:kern w:val="2"/>
                      <w:szCs w:val="24"/>
                    </w:rPr>
                  </w:pPr>
                  <w:r>
                    <w:rPr>
                      <w:rFonts w:hint="eastAsia"/>
                      <w:color w:val="000000"/>
                      <w:kern w:val="2"/>
                      <w:szCs w:val="24"/>
                    </w:rPr>
                    <w:t>28</w:t>
                  </w:r>
                </w:p>
              </w:tc>
              <w:tc>
                <w:tcPr>
                  <w:tcW w:w="1184" w:type="dxa"/>
                  <w:tcBorders>
                    <w:bottom w:val="single" w:color="auto" w:sz="4" w:space="0"/>
                  </w:tcBorders>
                  <w:vAlign w:val="center"/>
                </w:tcPr>
                <w:p>
                  <w:pPr>
                    <w:pStyle w:val="37"/>
                    <w:rPr>
                      <w:color w:val="000000"/>
                      <w:kern w:val="2"/>
                      <w:szCs w:val="24"/>
                    </w:rPr>
                  </w:pPr>
                  <w:r>
                    <w:rPr>
                      <w:rFonts w:hint="eastAsia"/>
                      <w:color w:val="000000"/>
                      <w:kern w:val="2"/>
                      <w:szCs w:val="24"/>
                    </w:rPr>
                    <w:t>35</w:t>
                  </w:r>
                </w:p>
              </w:tc>
              <w:tc>
                <w:tcPr>
                  <w:tcW w:w="929" w:type="dxa"/>
                  <w:tcBorders>
                    <w:bottom w:val="single" w:color="auto" w:sz="4" w:space="0"/>
                  </w:tcBorders>
                  <w:vAlign w:val="bottom"/>
                </w:tcPr>
                <w:p>
                  <w:pPr>
                    <w:pStyle w:val="37"/>
                  </w:pPr>
                  <w:r>
                    <w:t>80.00%</w:t>
                  </w:r>
                </w:p>
              </w:tc>
              <w:tc>
                <w:tcPr>
                  <w:tcW w:w="920" w:type="dxa"/>
                  <w:tcBorders>
                    <w:bottom w:val="single" w:color="auto" w:sz="4" w:space="0"/>
                    <w:right w:val="single" w:color="auto" w:sz="4" w:space="0"/>
                  </w:tcBorders>
                  <w:vAlign w:val="center"/>
                </w:tcPr>
                <w:p>
                  <w:pPr>
                    <w:pStyle w:val="37"/>
                    <w:rPr>
                      <w:color w:val="000000"/>
                      <w:kern w:val="2"/>
                      <w:szCs w:val="24"/>
                    </w:rPr>
                  </w:pPr>
                  <w:r>
                    <w:rPr>
                      <w:color w:val="000000"/>
                      <w:kern w:val="2"/>
                      <w:szCs w:val="24"/>
                    </w:rPr>
                    <w:t>达标</w:t>
                  </w:r>
                </w:p>
              </w:tc>
            </w:tr>
          </w:tbl>
          <w:p>
            <w:pPr>
              <w:ind w:firstLine="480"/>
              <w:rPr>
                <w:color w:val="000000"/>
              </w:rPr>
            </w:pPr>
            <w:r>
              <w:rPr>
                <w:color w:val="000000"/>
              </w:rPr>
              <w:t>由上表可知，20</w:t>
            </w:r>
            <w:r>
              <w:rPr>
                <w:rFonts w:hint="eastAsia"/>
                <w:color w:val="000000"/>
              </w:rPr>
              <w:t>22</w:t>
            </w:r>
            <w:r>
              <w:rPr>
                <w:color w:val="000000"/>
              </w:rPr>
              <w:t>年</w:t>
            </w:r>
            <w:r>
              <w:rPr>
                <w:rFonts w:hint="eastAsia"/>
                <w:color w:val="000000"/>
              </w:rPr>
              <w:t>南昌县环境空气六项基本因子</w:t>
            </w:r>
            <w:r>
              <w:rPr>
                <w:color w:val="000000"/>
              </w:rPr>
              <w:t>均可满足《环境质量空气标准》（GB3095-2012）二级标准要求，属于环境空气质量达标区</w:t>
            </w:r>
            <w:r>
              <w:rPr>
                <w:rFonts w:hint="eastAsia"/>
                <w:color w:val="000000"/>
              </w:rPr>
              <w:t>。</w:t>
            </w:r>
          </w:p>
          <w:p>
            <w:pPr>
              <w:ind w:firstLine="480"/>
              <w:rPr>
                <w:color w:val="000000"/>
              </w:rPr>
            </w:pPr>
            <w:r>
              <w:rPr>
                <w:rFonts w:hint="eastAsia"/>
                <w:color w:val="000000"/>
              </w:rPr>
              <w:t>2、特征污染物</w:t>
            </w:r>
          </w:p>
          <w:p>
            <w:pPr>
              <w:ind w:firstLine="480"/>
              <w:rPr>
                <w:color w:val="000000"/>
              </w:rPr>
            </w:pPr>
            <w:r>
              <w:rPr>
                <w:color w:val="000000"/>
              </w:rPr>
              <w:t>根据《建设项目环境影响报告表编制技术指南（污染影响类）》，“排放国家、地方环境空气质量标准中有标准限值要求的特征污染物时，引用建设项目周边5千米范围内近3年的现有监测数据，无相关数据的选择当季主导风向下风向1个点位补充不少于3天的监测数据。”</w:t>
            </w:r>
          </w:p>
          <w:p>
            <w:pPr>
              <w:ind w:firstLine="480"/>
              <w:rPr>
                <w:color w:val="000000"/>
              </w:rPr>
            </w:pPr>
            <w:r>
              <w:rPr>
                <w:color w:val="000000"/>
              </w:rPr>
              <w:t>本项目排放的特征污染物（</w:t>
            </w:r>
            <w:r>
              <w:rPr>
                <w:rFonts w:hint="eastAsia"/>
                <w:color w:val="000000"/>
              </w:rPr>
              <w:t>锡及其化合物</w:t>
            </w:r>
            <w:r>
              <w:rPr>
                <w:color w:val="000000"/>
              </w:rPr>
              <w:t>等）在国家、地方环境</w:t>
            </w:r>
            <w:r>
              <w:rPr>
                <w:rFonts w:hint="eastAsia"/>
                <w:color w:val="000000"/>
              </w:rPr>
              <w:t>控制</w:t>
            </w:r>
            <w:r>
              <w:rPr>
                <w:color w:val="000000"/>
              </w:rPr>
              <w:t>质量标准中无标准限值要求，故本项目无需开展特征污染物现状调查。</w:t>
            </w:r>
          </w:p>
          <w:p>
            <w:pPr>
              <w:ind w:firstLine="482"/>
              <w:rPr>
                <w:b/>
                <w:bCs/>
                <w:color w:val="000000"/>
              </w:rPr>
            </w:pPr>
            <w:r>
              <w:rPr>
                <w:rFonts w:hint="eastAsia"/>
                <w:b/>
                <w:bCs/>
                <w:color w:val="000000"/>
              </w:rPr>
              <w:t>（2）</w:t>
            </w:r>
            <w:r>
              <w:rPr>
                <w:b/>
                <w:bCs/>
                <w:color w:val="000000"/>
              </w:rPr>
              <w:t>地表水环境</w:t>
            </w:r>
          </w:p>
          <w:p>
            <w:pPr>
              <w:ind w:firstLine="464"/>
              <w:rPr>
                <w:color w:val="000000"/>
              </w:rPr>
            </w:pPr>
            <w:r>
              <w:rPr>
                <w:spacing w:val="-4"/>
              </w:rPr>
              <w:t>为了解项目所在地地表水环境现状，本次</w:t>
            </w:r>
            <w:r>
              <w:rPr>
                <w:rFonts w:hint="eastAsia"/>
                <w:spacing w:val="-4"/>
              </w:rPr>
              <w:t>评价</w:t>
            </w:r>
            <w:r>
              <w:rPr>
                <w:spacing w:val="-4"/>
              </w:rPr>
              <w:t>引用《铂瑞能源</w:t>
            </w:r>
            <w:r>
              <w:t>（南昌）有限公司100吨/天污泥掺烧处置项目》中铂瑞能源（南昌）</w:t>
            </w:r>
            <w:r>
              <w:rPr>
                <w:spacing w:val="-16"/>
              </w:rPr>
              <w:t>有限公司</w:t>
            </w:r>
            <w:r>
              <w:rPr>
                <w:spacing w:val="-5"/>
              </w:rPr>
              <w:t>委托江西贯通检测有限公司</w:t>
            </w:r>
            <w:r>
              <w:rPr>
                <w:rFonts w:hint="eastAsia"/>
                <w:spacing w:val="-5"/>
              </w:rPr>
              <w:t>于2021年</w:t>
            </w:r>
            <w:r>
              <w:t>11月3日～5日</w:t>
            </w:r>
            <w:r>
              <w:rPr>
                <w:spacing w:val="-5"/>
              </w:rPr>
              <w:t>布设</w:t>
            </w:r>
            <w:r>
              <w:t>6个地表水环境监测断面监测数据，其监测断面布设情况见下表。</w:t>
            </w:r>
            <w:r>
              <w:rPr>
                <w:rFonts w:hint="eastAsia"/>
              </w:rPr>
              <w:t>其</w:t>
            </w:r>
            <w:r>
              <w:t>废水排放去向</w:t>
            </w:r>
            <w:r>
              <w:rPr>
                <w:rFonts w:hint="eastAsia"/>
              </w:rPr>
              <w:t>与现有项目</w:t>
            </w:r>
            <w:r>
              <w:t>相同，均进入小蓝污水处理厂进行处理，经污水处理厂深度处理后外排雄溪河，因此引用的环境质量现状数据可以说明项目所在地现在的地表水环境质量状况</w:t>
            </w:r>
            <w:r>
              <w:rPr>
                <w:color w:val="000000"/>
              </w:rPr>
              <w:t>，</w:t>
            </w:r>
            <w:r>
              <w:rPr>
                <w:rFonts w:hint="eastAsia"/>
                <w:color w:val="000000"/>
              </w:rPr>
              <w:t>地表水水质监测断面监测数据</w:t>
            </w:r>
            <w:r>
              <w:rPr>
                <w:color w:val="000000"/>
              </w:rPr>
              <w:t>具体见</w:t>
            </w:r>
            <w:r>
              <w:rPr>
                <w:rFonts w:hint="eastAsia"/>
                <w:color w:val="000000"/>
              </w:rPr>
              <w:t>下表</w:t>
            </w:r>
            <w:r>
              <w:rPr>
                <w:color w:val="000000"/>
              </w:rPr>
              <w:t>。</w:t>
            </w:r>
          </w:p>
          <w:p>
            <w:pPr>
              <w:pStyle w:val="38"/>
            </w:pPr>
            <w:r>
              <w:t>表3-</w:t>
            </w:r>
            <w:r>
              <w:rPr>
                <w:rFonts w:hint="eastAsia"/>
              </w:rPr>
              <w:t>2</w:t>
            </w:r>
            <w:r>
              <w:t xml:space="preserve"> </w:t>
            </w:r>
            <w:r>
              <w:rPr>
                <w:rFonts w:hint="eastAsia"/>
              </w:rPr>
              <w:t xml:space="preserve"> </w:t>
            </w:r>
            <w:r>
              <w:t>地表水环境监测</w:t>
            </w:r>
            <w:r>
              <w:rPr>
                <w:rFonts w:hint="eastAsia"/>
              </w:rPr>
              <w:t>断面布置情况</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0"/>
              <w:gridCol w:w="2793"/>
              <w:gridCol w:w="912"/>
              <w:gridCol w:w="1467"/>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2" w:type="pct"/>
                  <w:tcBorders>
                    <w:tl2br w:val="nil"/>
                    <w:tr2bl w:val="nil"/>
                  </w:tcBorders>
                  <w:vAlign w:val="center"/>
                </w:tcPr>
                <w:p>
                  <w:pPr>
                    <w:pStyle w:val="37"/>
                    <w:rPr>
                      <w:b/>
                      <w:bCs/>
                    </w:rPr>
                  </w:pPr>
                  <w:r>
                    <w:rPr>
                      <w:rFonts w:hint="eastAsia"/>
                      <w:b/>
                      <w:bCs/>
                    </w:rPr>
                    <w:t>断面编</w:t>
                  </w:r>
                  <w:r>
                    <w:rPr>
                      <w:b/>
                      <w:bCs/>
                    </w:rPr>
                    <w:t>号</w:t>
                  </w:r>
                </w:p>
              </w:tc>
              <w:tc>
                <w:tcPr>
                  <w:tcW w:w="1748" w:type="pct"/>
                  <w:tcBorders>
                    <w:tl2br w:val="nil"/>
                    <w:tr2bl w:val="nil"/>
                  </w:tcBorders>
                  <w:vAlign w:val="center"/>
                </w:tcPr>
                <w:p>
                  <w:pPr>
                    <w:pStyle w:val="37"/>
                    <w:rPr>
                      <w:b/>
                      <w:bCs/>
                    </w:rPr>
                  </w:pPr>
                  <w:r>
                    <w:rPr>
                      <w:b/>
                      <w:bCs/>
                    </w:rPr>
                    <w:t>监测断面位置</w:t>
                  </w:r>
                </w:p>
              </w:tc>
              <w:tc>
                <w:tcPr>
                  <w:tcW w:w="571" w:type="pct"/>
                  <w:tcBorders>
                    <w:tl2br w:val="nil"/>
                    <w:tr2bl w:val="nil"/>
                  </w:tcBorders>
                  <w:vAlign w:val="center"/>
                </w:tcPr>
                <w:p>
                  <w:pPr>
                    <w:pStyle w:val="37"/>
                    <w:rPr>
                      <w:b/>
                      <w:bCs/>
                    </w:rPr>
                  </w:pPr>
                  <w:r>
                    <w:rPr>
                      <w:b/>
                      <w:bCs/>
                    </w:rPr>
                    <w:t>断面功能</w:t>
                  </w:r>
                </w:p>
              </w:tc>
              <w:tc>
                <w:tcPr>
                  <w:tcW w:w="918" w:type="pct"/>
                  <w:tcBorders>
                    <w:tl2br w:val="nil"/>
                    <w:tr2bl w:val="nil"/>
                  </w:tcBorders>
                  <w:vAlign w:val="center"/>
                </w:tcPr>
                <w:p>
                  <w:pPr>
                    <w:pStyle w:val="37"/>
                    <w:rPr>
                      <w:b/>
                      <w:bCs/>
                    </w:rPr>
                  </w:pPr>
                  <w:r>
                    <w:rPr>
                      <w:b/>
                      <w:bCs/>
                    </w:rPr>
                    <w:t>所在河流</w:t>
                  </w:r>
                </w:p>
              </w:tc>
              <w:tc>
                <w:tcPr>
                  <w:tcW w:w="1279" w:type="pct"/>
                  <w:tcBorders>
                    <w:tl2br w:val="nil"/>
                    <w:tr2bl w:val="nil"/>
                  </w:tcBorders>
                  <w:vAlign w:val="center"/>
                </w:tcPr>
                <w:p>
                  <w:pPr>
                    <w:pStyle w:val="37"/>
                    <w:rPr>
                      <w:b/>
                      <w:bCs/>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2" w:type="pct"/>
                  <w:tcBorders>
                    <w:tl2br w:val="nil"/>
                    <w:tr2bl w:val="nil"/>
                  </w:tcBorders>
                  <w:vAlign w:val="center"/>
                </w:tcPr>
                <w:p>
                  <w:pPr>
                    <w:pStyle w:val="37"/>
                  </w:pPr>
                  <w:r>
                    <w:t>SW1</w:t>
                  </w:r>
                </w:p>
              </w:tc>
              <w:tc>
                <w:tcPr>
                  <w:tcW w:w="1748" w:type="pct"/>
                  <w:tcBorders>
                    <w:tl2br w:val="nil"/>
                    <w:tr2bl w:val="nil"/>
                  </w:tcBorders>
                  <w:vAlign w:val="center"/>
                </w:tcPr>
                <w:p>
                  <w:pPr>
                    <w:pStyle w:val="37"/>
                  </w:pPr>
                  <w:r>
                    <w:t>小蓝污水处理厂废水进入雄溪河处上游500m</w:t>
                  </w:r>
                </w:p>
              </w:tc>
              <w:tc>
                <w:tcPr>
                  <w:tcW w:w="571" w:type="pct"/>
                  <w:tcBorders>
                    <w:tl2br w:val="nil"/>
                    <w:tr2bl w:val="nil"/>
                  </w:tcBorders>
                  <w:vAlign w:val="center"/>
                </w:tcPr>
                <w:p>
                  <w:pPr>
                    <w:pStyle w:val="37"/>
                  </w:pPr>
                  <w:r>
                    <w:t>对照断面</w:t>
                  </w:r>
                </w:p>
              </w:tc>
              <w:tc>
                <w:tcPr>
                  <w:tcW w:w="918" w:type="pct"/>
                  <w:tcBorders>
                    <w:tl2br w:val="nil"/>
                    <w:tr2bl w:val="nil"/>
                  </w:tcBorders>
                  <w:vAlign w:val="center"/>
                </w:tcPr>
                <w:p>
                  <w:pPr>
                    <w:pStyle w:val="37"/>
                  </w:pPr>
                  <w:r>
                    <w:t>雄溪河上支上半段</w:t>
                  </w:r>
                </w:p>
              </w:tc>
              <w:tc>
                <w:tcPr>
                  <w:tcW w:w="1279" w:type="pct"/>
                  <w:vMerge w:val="restart"/>
                  <w:tcBorders>
                    <w:tl2br w:val="nil"/>
                    <w:tr2bl w:val="nil"/>
                  </w:tcBorders>
                  <w:vAlign w:val="center"/>
                </w:tcPr>
                <w:p>
                  <w:pPr>
                    <w:pStyle w:val="37"/>
                  </w:pPr>
                  <w:r>
                    <w:t>《地表水环境质量标准》（GB3838-2002）Ⅳ类标准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2" w:type="pct"/>
                  <w:tcBorders>
                    <w:tl2br w:val="nil"/>
                    <w:tr2bl w:val="nil"/>
                  </w:tcBorders>
                  <w:vAlign w:val="center"/>
                </w:tcPr>
                <w:p>
                  <w:pPr>
                    <w:pStyle w:val="37"/>
                  </w:pPr>
                  <w:r>
                    <w:t>SW2</w:t>
                  </w:r>
                </w:p>
              </w:tc>
              <w:tc>
                <w:tcPr>
                  <w:tcW w:w="1748" w:type="pct"/>
                  <w:tcBorders>
                    <w:tl2br w:val="nil"/>
                    <w:tr2bl w:val="nil"/>
                  </w:tcBorders>
                  <w:vAlign w:val="center"/>
                </w:tcPr>
                <w:p>
                  <w:pPr>
                    <w:pStyle w:val="37"/>
                  </w:pPr>
                  <w:r>
                    <w:t>小蓝污水处理厂废水进入雄溪河处下游500m</w:t>
                  </w:r>
                </w:p>
              </w:tc>
              <w:tc>
                <w:tcPr>
                  <w:tcW w:w="571" w:type="pct"/>
                  <w:tcBorders>
                    <w:tl2br w:val="nil"/>
                    <w:tr2bl w:val="nil"/>
                  </w:tcBorders>
                  <w:vAlign w:val="center"/>
                </w:tcPr>
                <w:p>
                  <w:pPr>
                    <w:pStyle w:val="37"/>
                  </w:pPr>
                  <w:r>
                    <w:t>混合断面</w:t>
                  </w:r>
                </w:p>
              </w:tc>
              <w:tc>
                <w:tcPr>
                  <w:tcW w:w="918" w:type="pct"/>
                  <w:tcBorders>
                    <w:tl2br w:val="nil"/>
                    <w:tr2bl w:val="nil"/>
                  </w:tcBorders>
                  <w:vAlign w:val="center"/>
                </w:tcPr>
                <w:p>
                  <w:pPr>
                    <w:pStyle w:val="37"/>
                  </w:pPr>
                  <w:r>
                    <w:t>雄溪河上支下半段</w:t>
                  </w:r>
                </w:p>
              </w:tc>
              <w:tc>
                <w:tcPr>
                  <w:tcW w:w="1279" w:type="pct"/>
                  <w:vMerge w:val="continue"/>
                  <w:tcBorders>
                    <w:tl2br w:val="nil"/>
                    <w:tr2bl w:val="nil"/>
                  </w:tcBorders>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8" w:hRule="atLeast"/>
              </w:trPr>
              <w:tc>
                <w:tcPr>
                  <w:tcW w:w="482" w:type="pct"/>
                  <w:tcBorders>
                    <w:tl2br w:val="nil"/>
                    <w:tr2bl w:val="nil"/>
                  </w:tcBorders>
                  <w:vAlign w:val="center"/>
                </w:tcPr>
                <w:p>
                  <w:pPr>
                    <w:pStyle w:val="37"/>
                  </w:pPr>
                  <w:r>
                    <w:t>SW3</w:t>
                  </w:r>
                </w:p>
              </w:tc>
              <w:tc>
                <w:tcPr>
                  <w:tcW w:w="1748" w:type="pct"/>
                  <w:tcBorders>
                    <w:tl2br w:val="nil"/>
                    <w:tr2bl w:val="nil"/>
                  </w:tcBorders>
                  <w:vAlign w:val="center"/>
                </w:tcPr>
                <w:p>
                  <w:pPr>
                    <w:pStyle w:val="37"/>
                  </w:pPr>
                  <w:r>
                    <w:t>雄溪河与莲塘河交汇口</w:t>
                  </w:r>
                </w:p>
              </w:tc>
              <w:tc>
                <w:tcPr>
                  <w:tcW w:w="571" w:type="pct"/>
                  <w:tcBorders>
                    <w:tl2br w:val="nil"/>
                    <w:tr2bl w:val="nil"/>
                  </w:tcBorders>
                  <w:vAlign w:val="center"/>
                </w:tcPr>
                <w:p>
                  <w:pPr>
                    <w:pStyle w:val="37"/>
                  </w:pPr>
                  <w:r>
                    <w:t>混合断面</w:t>
                  </w:r>
                </w:p>
              </w:tc>
              <w:tc>
                <w:tcPr>
                  <w:tcW w:w="918" w:type="pct"/>
                  <w:tcBorders>
                    <w:tl2br w:val="nil"/>
                    <w:tr2bl w:val="nil"/>
                  </w:tcBorders>
                  <w:vAlign w:val="center"/>
                </w:tcPr>
                <w:p>
                  <w:pPr>
                    <w:pStyle w:val="37"/>
                  </w:pPr>
                  <w:r>
                    <w:t>莲塘河</w:t>
                  </w:r>
                </w:p>
              </w:tc>
              <w:tc>
                <w:tcPr>
                  <w:tcW w:w="1279" w:type="pct"/>
                  <w:vMerge w:val="continue"/>
                  <w:tcBorders>
                    <w:tl2br w:val="nil"/>
                    <w:tr2bl w:val="nil"/>
                  </w:tcBorders>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2" w:type="pct"/>
                  <w:tcBorders>
                    <w:tl2br w:val="nil"/>
                    <w:tr2bl w:val="nil"/>
                  </w:tcBorders>
                  <w:vAlign w:val="center"/>
                </w:tcPr>
                <w:p>
                  <w:pPr>
                    <w:pStyle w:val="37"/>
                  </w:pPr>
                  <w:r>
                    <w:t>SW4</w:t>
                  </w:r>
                </w:p>
              </w:tc>
              <w:tc>
                <w:tcPr>
                  <w:tcW w:w="1748" w:type="pct"/>
                  <w:tcBorders>
                    <w:tl2br w:val="nil"/>
                    <w:tr2bl w:val="nil"/>
                  </w:tcBorders>
                  <w:vAlign w:val="center"/>
                </w:tcPr>
                <w:p>
                  <w:pPr>
                    <w:pStyle w:val="37"/>
                  </w:pPr>
                  <w:r>
                    <w:t>雄溪河与莲塘河交汇口上游500m</w:t>
                  </w:r>
                </w:p>
              </w:tc>
              <w:tc>
                <w:tcPr>
                  <w:tcW w:w="571" w:type="pct"/>
                  <w:tcBorders>
                    <w:tl2br w:val="nil"/>
                    <w:tr2bl w:val="nil"/>
                  </w:tcBorders>
                  <w:vAlign w:val="center"/>
                </w:tcPr>
                <w:p>
                  <w:pPr>
                    <w:pStyle w:val="37"/>
                  </w:pPr>
                  <w:r>
                    <w:t>背景断面</w:t>
                  </w:r>
                </w:p>
              </w:tc>
              <w:tc>
                <w:tcPr>
                  <w:tcW w:w="918" w:type="pct"/>
                  <w:tcBorders>
                    <w:tl2br w:val="nil"/>
                    <w:tr2bl w:val="nil"/>
                  </w:tcBorders>
                  <w:vAlign w:val="center"/>
                </w:tcPr>
                <w:p>
                  <w:pPr>
                    <w:pStyle w:val="37"/>
                  </w:pPr>
                  <w:r>
                    <w:t>莲塘河</w:t>
                  </w:r>
                </w:p>
              </w:tc>
              <w:tc>
                <w:tcPr>
                  <w:tcW w:w="1279" w:type="pct"/>
                  <w:vMerge w:val="continue"/>
                  <w:tcBorders>
                    <w:tl2br w:val="nil"/>
                    <w:tr2bl w:val="nil"/>
                  </w:tcBorders>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2" w:type="pct"/>
                  <w:tcBorders>
                    <w:tl2br w:val="nil"/>
                    <w:tr2bl w:val="nil"/>
                  </w:tcBorders>
                  <w:vAlign w:val="center"/>
                </w:tcPr>
                <w:p>
                  <w:pPr>
                    <w:pStyle w:val="37"/>
                  </w:pPr>
                  <w:r>
                    <w:t>SW5</w:t>
                  </w:r>
                </w:p>
              </w:tc>
              <w:tc>
                <w:tcPr>
                  <w:tcW w:w="1748" w:type="pct"/>
                  <w:tcBorders>
                    <w:tl2br w:val="nil"/>
                    <w:tr2bl w:val="nil"/>
                  </w:tcBorders>
                  <w:vAlign w:val="center"/>
                </w:tcPr>
                <w:p>
                  <w:pPr>
                    <w:pStyle w:val="37"/>
                  </w:pPr>
                  <w:r>
                    <w:t>雄溪河与莲塘河交汇口下游500m</w:t>
                  </w:r>
                </w:p>
              </w:tc>
              <w:tc>
                <w:tcPr>
                  <w:tcW w:w="571" w:type="pct"/>
                  <w:tcBorders>
                    <w:tl2br w:val="nil"/>
                    <w:tr2bl w:val="nil"/>
                  </w:tcBorders>
                  <w:vAlign w:val="center"/>
                </w:tcPr>
                <w:p>
                  <w:pPr>
                    <w:pStyle w:val="37"/>
                  </w:pPr>
                  <w:r>
                    <w:t>混合断面</w:t>
                  </w:r>
                </w:p>
              </w:tc>
              <w:tc>
                <w:tcPr>
                  <w:tcW w:w="918" w:type="pct"/>
                  <w:tcBorders>
                    <w:tl2br w:val="nil"/>
                    <w:tr2bl w:val="nil"/>
                  </w:tcBorders>
                  <w:vAlign w:val="center"/>
                </w:tcPr>
                <w:p>
                  <w:pPr>
                    <w:pStyle w:val="37"/>
                  </w:pPr>
                  <w:r>
                    <w:t>莲塘河</w:t>
                  </w:r>
                </w:p>
              </w:tc>
              <w:tc>
                <w:tcPr>
                  <w:tcW w:w="1279" w:type="pct"/>
                  <w:vMerge w:val="continue"/>
                  <w:tcBorders>
                    <w:tl2br w:val="nil"/>
                    <w:tr2bl w:val="nil"/>
                  </w:tcBorders>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82" w:type="pct"/>
                  <w:tcBorders>
                    <w:tl2br w:val="nil"/>
                    <w:tr2bl w:val="nil"/>
                  </w:tcBorders>
                  <w:vAlign w:val="center"/>
                </w:tcPr>
                <w:p>
                  <w:pPr>
                    <w:pStyle w:val="37"/>
                  </w:pPr>
                  <w:r>
                    <w:t>SW6</w:t>
                  </w:r>
                </w:p>
              </w:tc>
              <w:tc>
                <w:tcPr>
                  <w:tcW w:w="1748" w:type="pct"/>
                  <w:tcBorders>
                    <w:tl2br w:val="nil"/>
                    <w:tr2bl w:val="nil"/>
                  </w:tcBorders>
                  <w:vAlign w:val="center"/>
                </w:tcPr>
                <w:p>
                  <w:pPr>
                    <w:pStyle w:val="37"/>
                  </w:pPr>
                  <w:r>
                    <w:t>雄溪河与莲塘河交汇口下游1500m</w:t>
                  </w:r>
                </w:p>
              </w:tc>
              <w:tc>
                <w:tcPr>
                  <w:tcW w:w="571" w:type="pct"/>
                  <w:tcBorders>
                    <w:tl2br w:val="nil"/>
                    <w:tr2bl w:val="nil"/>
                  </w:tcBorders>
                  <w:vAlign w:val="center"/>
                </w:tcPr>
                <w:p>
                  <w:pPr>
                    <w:pStyle w:val="37"/>
                  </w:pPr>
                  <w:r>
                    <w:t>消减断面</w:t>
                  </w:r>
                </w:p>
              </w:tc>
              <w:tc>
                <w:tcPr>
                  <w:tcW w:w="918" w:type="pct"/>
                  <w:tcBorders>
                    <w:tl2br w:val="nil"/>
                    <w:tr2bl w:val="nil"/>
                  </w:tcBorders>
                  <w:vAlign w:val="center"/>
                </w:tcPr>
                <w:p>
                  <w:pPr>
                    <w:pStyle w:val="37"/>
                  </w:pPr>
                  <w:r>
                    <w:t>莲塘河</w:t>
                  </w:r>
                </w:p>
              </w:tc>
              <w:tc>
                <w:tcPr>
                  <w:tcW w:w="1279" w:type="pct"/>
                  <w:vMerge w:val="continue"/>
                  <w:tcBorders>
                    <w:tl2br w:val="nil"/>
                    <w:tr2bl w:val="nil"/>
                  </w:tcBorders>
                  <w:vAlign w:val="center"/>
                </w:tcPr>
                <w:p>
                  <w:pPr>
                    <w:pStyle w:val="37"/>
                  </w:pPr>
                </w:p>
              </w:tc>
            </w:tr>
          </w:tbl>
          <w:p>
            <w:pPr>
              <w:pStyle w:val="17"/>
              <w:ind w:firstLine="360"/>
            </w:pPr>
            <w:r>
              <w:rPr>
                <w:rFonts w:hint="eastAsia"/>
              </w:rPr>
              <w:t>注：根据《南昌小蓝经济技术开发区规划环境影响报告书》，纳污水体雄溪河部分（小蓝污水厂排污口上游500米至莲塘河交汇处）、莲塘排渍道（莲塘河）达到《地表水环境质量标准》（GB3838-2002）IV类标准，逐步向Ⅲ类水体改善；其他河流水质达到《地表水环境质量标准》（GB3838-2002）Ⅲ类标准。</w:t>
            </w:r>
          </w:p>
          <w:p>
            <w:pPr>
              <w:pStyle w:val="38"/>
            </w:pPr>
            <w:r>
              <w:rPr>
                <w:rFonts w:hint="eastAsia"/>
              </w:rPr>
              <w:t xml:space="preserve">表3-3  </w:t>
            </w:r>
            <w:r>
              <w:t>地表水环境监测统计及评价结果表（单位：mg/L，pH</w:t>
            </w:r>
            <w:r>
              <w:rPr>
                <w:rFonts w:hint="eastAsia"/>
              </w:rPr>
              <w:t>无量纲</w:t>
            </w:r>
            <w:r>
              <w:t>）</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4"/>
              <w:gridCol w:w="871"/>
              <w:gridCol w:w="936"/>
              <w:gridCol w:w="936"/>
              <w:gridCol w:w="936"/>
              <w:gridCol w:w="936"/>
              <w:gridCol w:w="936"/>
              <w:gridCol w:w="941"/>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453" w:type="pct"/>
                  <w:vMerge w:val="restart"/>
                  <w:tcBorders>
                    <w:tl2br w:val="nil"/>
                    <w:tr2bl w:val="nil"/>
                  </w:tcBorders>
                  <w:vAlign w:val="center"/>
                </w:tcPr>
                <w:p>
                  <w:pPr>
                    <w:pStyle w:val="37"/>
                    <w:rPr>
                      <w:b/>
                      <w:bCs/>
                    </w:rPr>
                  </w:pPr>
                  <w:r>
                    <w:rPr>
                      <w:b/>
                      <w:bCs/>
                    </w:rPr>
                    <w:t>监测日期</w:t>
                  </w:r>
                </w:p>
              </w:tc>
              <w:tc>
                <w:tcPr>
                  <w:tcW w:w="545" w:type="pct"/>
                  <w:vMerge w:val="restart"/>
                  <w:tcBorders>
                    <w:tl2br w:val="nil"/>
                    <w:tr2bl w:val="nil"/>
                  </w:tcBorders>
                  <w:vAlign w:val="center"/>
                </w:tcPr>
                <w:p>
                  <w:pPr>
                    <w:pStyle w:val="37"/>
                    <w:rPr>
                      <w:b/>
                      <w:bCs/>
                    </w:rPr>
                  </w:pPr>
                  <w:r>
                    <w:rPr>
                      <w:b/>
                      <w:bCs/>
                    </w:rPr>
                    <w:t>监测项目</w:t>
                  </w:r>
                </w:p>
              </w:tc>
              <w:tc>
                <w:tcPr>
                  <w:tcW w:w="3519" w:type="pct"/>
                  <w:gridSpan w:val="6"/>
                  <w:tcBorders>
                    <w:tl2br w:val="nil"/>
                    <w:tr2bl w:val="nil"/>
                  </w:tcBorders>
                  <w:vAlign w:val="center"/>
                </w:tcPr>
                <w:p>
                  <w:pPr>
                    <w:pStyle w:val="37"/>
                    <w:rPr>
                      <w:b/>
                      <w:bCs/>
                    </w:rPr>
                  </w:pPr>
                  <w:r>
                    <w:rPr>
                      <w:b/>
                      <w:bCs/>
                    </w:rPr>
                    <w:t>监测结果</w:t>
                  </w:r>
                </w:p>
              </w:tc>
              <w:tc>
                <w:tcPr>
                  <w:tcW w:w="481" w:type="pct"/>
                  <w:vMerge w:val="restart"/>
                  <w:tcBorders>
                    <w:tl2br w:val="nil"/>
                    <w:tr2bl w:val="nil"/>
                  </w:tcBorders>
                  <w:vAlign w:val="center"/>
                </w:tcPr>
                <w:p>
                  <w:pPr>
                    <w:pStyle w:val="37"/>
                  </w:pPr>
                  <w:r>
                    <w:rPr>
                      <w:b/>
                      <w:bCs/>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453" w:type="pct"/>
                  <w:vMerge w:val="continue"/>
                  <w:tcBorders>
                    <w:tl2br w:val="nil"/>
                    <w:tr2bl w:val="nil"/>
                  </w:tcBorders>
                  <w:vAlign w:val="center"/>
                </w:tcPr>
                <w:p>
                  <w:pPr>
                    <w:pStyle w:val="37"/>
                    <w:rPr>
                      <w:b/>
                      <w:bCs/>
                    </w:rPr>
                  </w:pPr>
                </w:p>
              </w:tc>
              <w:tc>
                <w:tcPr>
                  <w:tcW w:w="545" w:type="pct"/>
                  <w:vMerge w:val="continue"/>
                  <w:tcBorders>
                    <w:tl2br w:val="nil"/>
                    <w:tr2bl w:val="nil"/>
                  </w:tcBorders>
                  <w:vAlign w:val="center"/>
                </w:tcPr>
                <w:p>
                  <w:pPr>
                    <w:pStyle w:val="37"/>
                    <w:rPr>
                      <w:b/>
                      <w:bCs/>
                    </w:rPr>
                  </w:pPr>
                </w:p>
              </w:tc>
              <w:tc>
                <w:tcPr>
                  <w:tcW w:w="586" w:type="pct"/>
                  <w:tcBorders>
                    <w:tl2br w:val="nil"/>
                    <w:tr2bl w:val="nil"/>
                  </w:tcBorders>
                  <w:vAlign w:val="center"/>
                </w:tcPr>
                <w:p>
                  <w:pPr>
                    <w:pStyle w:val="37"/>
                    <w:rPr>
                      <w:b/>
                      <w:bCs/>
                    </w:rPr>
                  </w:pPr>
                  <w:r>
                    <w:rPr>
                      <w:b/>
                      <w:bCs/>
                    </w:rPr>
                    <w:t>SW1</w:t>
                  </w:r>
                </w:p>
              </w:tc>
              <w:tc>
                <w:tcPr>
                  <w:tcW w:w="586" w:type="pct"/>
                  <w:tcBorders>
                    <w:tl2br w:val="nil"/>
                    <w:tr2bl w:val="nil"/>
                  </w:tcBorders>
                  <w:vAlign w:val="center"/>
                </w:tcPr>
                <w:p>
                  <w:pPr>
                    <w:pStyle w:val="37"/>
                    <w:rPr>
                      <w:b/>
                      <w:bCs/>
                    </w:rPr>
                  </w:pPr>
                  <w:r>
                    <w:rPr>
                      <w:b/>
                      <w:bCs/>
                    </w:rPr>
                    <w:t>SW2</w:t>
                  </w:r>
                </w:p>
              </w:tc>
              <w:tc>
                <w:tcPr>
                  <w:tcW w:w="586" w:type="pct"/>
                  <w:tcBorders>
                    <w:tl2br w:val="nil"/>
                    <w:tr2bl w:val="nil"/>
                  </w:tcBorders>
                  <w:vAlign w:val="center"/>
                </w:tcPr>
                <w:p>
                  <w:pPr>
                    <w:pStyle w:val="37"/>
                    <w:rPr>
                      <w:b/>
                      <w:bCs/>
                    </w:rPr>
                  </w:pPr>
                  <w:r>
                    <w:rPr>
                      <w:b/>
                      <w:bCs/>
                    </w:rPr>
                    <w:t>SW3</w:t>
                  </w:r>
                </w:p>
              </w:tc>
              <w:tc>
                <w:tcPr>
                  <w:tcW w:w="586" w:type="pct"/>
                  <w:tcBorders>
                    <w:tl2br w:val="nil"/>
                    <w:tr2bl w:val="nil"/>
                  </w:tcBorders>
                  <w:vAlign w:val="center"/>
                </w:tcPr>
                <w:p>
                  <w:pPr>
                    <w:pStyle w:val="37"/>
                    <w:rPr>
                      <w:b/>
                      <w:bCs/>
                    </w:rPr>
                  </w:pPr>
                  <w:r>
                    <w:rPr>
                      <w:b/>
                      <w:bCs/>
                    </w:rPr>
                    <w:t>SW4</w:t>
                  </w:r>
                </w:p>
              </w:tc>
              <w:tc>
                <w:tcPr>
                  <w:tcW w:w="586" w:type="pct"/>
                  <w:tcBorders>
                    <w:tl2br w:val="nil"/>
                    <w:tr2bl w:val="nil"/>
                  </w:tcBorders>
                  <w:vAlign w:val="center"/>
                </w:tcPr>
                <w:p>
                  <w:pPr>
                    <w:pStyle w:val="37"/>
                    <w:rPr>
                      <w:b/>
                      <w:bCs/>
                    </w:rPr>
                  </w:pPr>
                  <w:r>
                    <w:rPr>
                      <w:b/>
                      <w:bCs/>
                    </w:rPr>
                    <w:t>SW5</w:t>
                  </w:r>
                </w:p>
              </w:tc>
              <w:tc>
                <w:tcPr>
                  <w:tcW w:w="588" w:type="pct"/>
                  <w:tcBorders>
                    <w:tl2br w:val="nil"/>
                    <w:tr2bl w:val="nil"/>
                  </w:tcBorders>
                  <w:vAlign w:val="center"/>
                </w:tcPr>
                <w:p>
                  <w:pPr>
                    <w:pStyle w:val="37"/>
                    <w:rPr>
                      <w:b/>
                      <w:bCs/>
                    </w:rPr>
                  </w:pPr>
                  <w:r>
                    <w:rPr>
                      <w:b/>
                      <w:bCs/>
                    </w:rPr>
                    <w:t>SW6</w:t>
                  </w:r>
                </w:p>
              </w:tc>
              <w:tc>
                <w:tcPr>
                  <w:tcW w:w="481" w:type="pct"/>
                  <w:vMerge w:val="continue"/>
                  <w:tcBorders>
                    <w:tl2br w:val="nil"/>
                    <w:tr2bl w:val="nil"/>
                  </w:tcBorders>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restart"/>
                  <w:tcBorders>
                    <w:tl2br w:val="nil"/>
                    <w:tr2bl w:val="nil"/>
                  </w:tcBorders>
                  <w:vAlign w:val="center"/>
                </w:tcPr>
                <w:p>
                  <w:pPr>
                    <w:pStyle w:val="37"/>
                  </w:pPr>
                  <w:r>
                    <w:t>2021年</w:t>
                  </w:r>
                </w:p>
                <w:p>
                  <w:pPr>
                    <w:pStyle w:val="37"/>
                  </w:pPr>
                  <w:r>
                    <w:t>11月3日</w:t>
                  </w:r>
                </w:p>
              </w:tc>
              <w:tc>
                <w:tcPr>
                  <w:tcW w:w="545" w:type="pct"/>
                  <w:tcBorders>
                    <w:tl2br w:val="nil"/>
                    <w:tr2bl w:val="nil"/>
                  </w:tcBorders>
                  <w:vAlign w:val="center"/>
                </w:tcPr>
                <w:p>
                  <w:pPr>
                    <w:pStyle w:val="37"/>
                  </w:pPr>
                  <w:r>
                    <w:t>pH值</w:t>
                  </w:r>
                </w:p>
              </w:tc>
              <w:tc>
                <w:tcPr>
                  <w:tcW w:w="586" w:type="pct"/>
                  <w:tcBorders>
                    <w:tl2br w:val="nil"/>
                    <w:tr2bl w:val="nil"/>
                  </w:tcBorders>
                  <w:vAlign w:val="center"/>
                </w:tcPr>
                <w:p>
                  <w:pPr>
                    <w:pStyle w:val="37"/>
                  </w:pPr>
                  <w:r>
                    <w:t>7.3</w:t>
                  </w:r>
                </w:p>
              </w:tc>
              <w:tc>
                <w:tcPr>
                  <w:tcW w:w="586" w:type="pct"/>
                  <w:tcBorders>
                    <w:tl2br w:val="nil"/>
                    <w:tr2bl w:val="nil"/>
                  </w:tcBorders>
                  <w:vAlign w:val="center"/>
                </w:tcPr>
                <w:p>
                  <w:pPr>
                    <w:pStyle w:val="37"/>
                  </w:pPr>
                  <w:r>
                    <w:t>7.3</w:t>
                  </w:r>
                </w:p>
              </w:tc>
              <w:tc>
                <w:tcPr>
                  <w:tcW w:w="586" w:type="pct"/>
                  <w:tcBorders>
                    <w:tl2br w:val="nil"/>
                    <w:tr2bl w:val="nil"/>
                  </w:tcBorders>
                  <w:vAlign w:val="center"/>
                </w:tcPr>
                <w:p>
                  <w:pPr>
                    <w:pStyle w:val="37"/>
                  </w:pPr>
                  <w:r>
                    <w:t>7.4</w:t>
                  </w:r>
                </w:p>
              </w:tc>
              <w:tc>
                <w:tcPr>
                  <w:tcW w:w="586" w:type="pct"/>
                  <w:tcBorders>
                    <w:tl2br w:val="nil"/>
                    <w:tr2bl w:val="nil"/>
                  </w:tcBorders>
                  <w:vAlign w:val="center"/>
                </w:tcPr>
                <w:p>
                  <w:pPr>
                    <w:pStyle w:val="37"/>
                  </w:pPr>
                  <w:r>
                    <w:t>7.1</w:t>
                  </w:r>
                </w:p>
              </w:tc>
              <w:tc>
                <w:tcPr>
                  <w:tcW w:w="586" w:type="pct"/>
                  <w:tcBorders>
                    <w:tl2br w:val="nil"/>
                    <w:tr2bl w:val="nil"/>
                  </w:tcBorders>
                  <w:vAlign w:val="center"/>
                </w:tcPr>
                <w:p>
                  <w:pPr>
                    <w:pStyle w:val="37"/>
                  </w:pPr>
                  <w:r>
                    <w:t>7.0</w:t>
                  </w:r>
                </w:p>
              </w:tc>
              <w:tc>
                <w:tcPr>
                  <w:tcW w:w="588" w:type="pct"/>
                  <w:tcBorders>
                    <w:tl2br w:val="nil"/>
                    <w:tr2bl w:val="nil"/>
                  </w:tcBorders>
                  <w:vAlign w:val="center"/>
                </w:tcPr>
                <w:p>
                  <w:pPr>
                    <w:pStyle w:val="37"/>
                  </w:pPr>
                  <w:r>
                    <w:t>7.2</w:t>
                  </w:r>
                </w:p>
              </w:tc>
              <w:tc>
                <w:tcPr>
                  <w:tcW w:w="481" w:type="pct"/>
                  <w:tcBorders>
                    <w:tl2br w:val="nil"/>
                    <w:tr2bl w:val="nil"/>
                  </w:tcBorders>
                  <w:vAlign w:val="center"/>
                </w:tcPr>
                <w:p>
                  <w:pPr>
                    <w:pStyle w:val="37"/>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COD</w:t>
                  </w:r>
                  <w:r>
                    <w:rPr>
                      <w:vertAlign w:val="subscript"/>
                    </w:rPr>
                    <w:t>Cr</w:t>
                  </w:r>
                </w:p>
              </w:tc>
              <w:tc>
                <w:tcPr>
                  <w:tcW w:w="586" w:type="pct"/>
                  <w:tcBorders>
                    <w:tl2br w:val="nil"/>
                    <w:tr2bl w:val="nil"/>
                  </w:tcBorders>
                  <w:vAlign w:val="center"/>
                </w:tcPr>
                <w:p>
                  <w:pPr>
                    <w:pStyle w:val="37"/>
                  </w:pPr>
                  <w:r>
                    <w:t>17</w:t>
                  </w:r>
                </w:p>
              </w:tc>
              <w:tc>
                <w:tcPr>
                  <w:tcW w:w="586" w:type="pct"/>
                  <w:tcBorders>
                    <w:tl2br w:val="nil"/>
                    <w:tr2bl w:val="nil"/>
                  </w:tcBorders>
                  <w:vAlign w:val="center"/>
                </w:tcPr>
                <w:p>
                  <w:pPr>
                    <w:pStyle w:val="37"/>
                  </w:pPr>
                  <w:r>
                    <w:t>19</w:t>
                  </w:r>
                </w:p>
              </w:tc>
              <w:tc>
                <w:tcPr>
                  <w:tcW w:w="586" w:type="pct"/>
                  <w:tcBorders>
                    <w:tl2br w:val="nil"/>
                    <w:tr2bl w:val="nil"/>
                  </w:tcBorders>
                  <w:vAlign w:val="center"/>
                </w:tcPr>
                <w:p>
                  <w:pPr>
                    <w:pStyle w:val="37"/>
                  </w:pPr>
                  <w:r>
                    <w:t>14</w:t>
                  </w:r>
                </w:p>
              </w:tc>
              <w:tc>
                <w:tcPr>
                  <w:tcW w:w="586" w:type="pct"/>
                  <w:tcBorders>
                    <w:tl2br w:val="nil"/>
                    <w:tr2bl w:val="nil"/>
                  </w:tcBorders>
                  <w:vAlign w:val="center"/>
                </w:tcPr>
                <w:p>
                  <w:pPr>
                    <w:pStyle w:val="37"/>
                  </w:pPr>
                  <w:r>
                    <w:t>18</w:t>
                  </w:r>
                </w:p>
              </w:tc>
              <w:tc>
                <w:tcPr>
                  <w:tcW w:w="586" w:type="pct"/>
                  <w:tcBorders>
                    <w:tl2br w:val="nil"/>
                    <w:tr2bl w:val="nil"/>
                  </w:tcBorders>
                  <w:vAlign w:val="center"/>
                </w:tcPr>
                <w:p>
                  <w:pPr>
                    <w:pStyle w:val="37"/>
                  </w:pPr>
                  <w:r>
                    <w:t>24</w:t>
                  </w:r>
                </w:p>
              </w:tc>
              <w:tc>
                <w:tcPr>
                  <w:tcW w:w="588" w:type="pct"/>
                  <w:tcBorders>
                    <w:tl2br w:val="nil"/>
                    <w:tr2bl w:val="nil"/>
                  </w:tcBorders>
                  <w:vAlign w:val="center"/>
                </w:tcPr>
                <w:p>
                  <w:pPr>
                    <w:pStyle w:val="37"/>
                  </w:pPr>
                  <w:r>
                    <w:t>15</w:t>
                  </w:r>
                </w:p>
              </w:tc>
              <w:tc>
                <w:tcPr>
                  <w:tcW w:w="481" w:type="pct"/>
                  <w:tcBorders>
                    <w:tl2br w:val="nil"/>
                    <w:tr2bl w:val="nil"/>
                  </w:tcBorders>
                  <w:vAlign w:val="center"/>
                </w:tcPr>
                <w:p>
                  <w:pPr>
                    <w:pStyle w:val="37"/>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BOD</w:t>
                  </w:r>
                  <w:r>
                    <w:rPr>
                      <w:vertAlign w:val="subscript"/>
                    </w:rPr>
                    <w:t>5</w:t>
                  </w:r>
                </w:p>
              </w:tc>
              <w:tc>
                <w:tcPr>
                  <w:tcW w:w="586" w:type="pct"/>
                  <w:tcBorders>
                    <w:tl2br w:val="nil"/>
                    <w:tr2bl w:val="nil"/>
                  </w:tcBorders>
                  <w:vAlign w:val="center"/>
                </w:tcPr>
                <w:p>
                  <w:pPr>
                    <w:pStyle w:val="37"/>
                  </w:pPr>
                  <w:r>
                    <w:t>3.3</w:t>
                  </w:r>
                </w:p>
              </w:tc>
              <w:tc>
                <w:tcPr>
                  <w:tcW w:w="586" w:type="pct"/>
                  <w:tcBorders>
                    <w:tl2br w:val="nil"/>
                    <w:tr2bl w:val="nil"/>
                  </w:tcBorders>
                  <w:vAlign w:val="center"/>
                </w:tcPr>
                <w:p>
                  <w:pPr>
                    <w:pStyle w:val="37"/>
                  </w:pPr>
                  <w:r>
                    <w:t>3.8</w:t>
                  </w:r>
                </w:p>
              </w:tc>
              <w:tc>
                <w:tcPr>
                  <w:tcW w:w="586" w:type="pct"/>
                  <w:tcBorders>
                    <w:tl2br w:val="nil"/>
                    <w:tr2bl w:val="nil"/>
                  </w:tcBorders>
                  <w:vAlign w:val="center"/>
                </w:tcPr>
                <w:p>
                  <w:pPr>
                    <w:pStyle w:val="37"/>
                  </w:pPr>
                  <w:r>
                    <w:t>2.8</w:t>
                  </w:r>
                </w:p>
              </w:tc>
              <w:tc>
                <w:tcPr>
                  <w:tcW w:w="586" w:type="pct"/>
                  <w:tcBorders>
                    <w:tl2br w:val="nil"/>
                    <w:tr2bl w:val="nil"/>
                  </w:tcBorders>
                  <w:vAlign w:val="center"/>
                </w:tcPr>
                <w:p>
                  <w:pPr>
                    <w:pStyle w:val="37"/>
                  </w:pPr>
                  <w:r>
                    <w:t>3.6</w:t>
                  </w:r>
                </w:p>
              </w:tc>
              <w:tc>
                <w:tcPr>
                  <w:tcW w:w="586" w:type="pct"/>
                  <w:tcBorders>
                    <w:tl2br w:val="nil"/>
                    <w:tr2bl w:val="nil"/>
                  </w:tcBorders>
                  <w:vAlign w:val="center"/>
                </w:tcPr>
                <w:p>
                  <w:pPr>
                    <w:pStyle w:val="37"/>
                  </w:pPr>
                  <w:r>
                    <w:t>4.9</w:t>
                  </w:r>
                </w:p>
              </w:tc>
              <w:tc>
                <w:tcPr>
                  <w:tcW w:w="588" w:type="pct"/>
                  <w:tcBorders>
                    <w:tl2br w:val="nil"/>
                    <w:tr2bl w:val="nil"/>
                  </w:tcBorders>
                  <w:vAlign w:val="center"/>
                </w:tcPr>
                <w:p>
                  <w:pPr>
                    <w:pStyle w:val="37"/>
                  </w:pPr>
                  <w:r>
                    <w:t>3.0</w:t>
                  </w:r>
                </w:p>
              </w:tc>
              <w:tc>
                <w:tcPr>
                  <w:tcW w:w="481" w:type="pct"/>
                  <w:tcBorders>
                    <w:tl2br w:val="nil"/>
                    <w:tr2bl w:val="nil"/>
                  </w:tcBorders>
                  <w:vAlign w:val="center"/>
                </w:tcPr>
                <w:p>
                  <w:pPr>
                    <w:pStyle w:val="37"/>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SS</w:t>
                  </w:r>
                </w:p>
              </w:tc>
              <w:tc>
                <w:tcPr>
                  <w:tcW w:w="586" w:type="pct"/>
                  <w:tcBorders>
                    <w:tl2br w:val="nil"/>
                    <w:tr2bl w:val="nil"/>
                  </w:tcBorders>
                  <w:vAlign w:val="center"/>
                </w:tcPr>
                <w:p>
                  <w:pPr>
                    <w:pStyle w:val="37"/>
                  </w:pPr>
                  <w:r>
                    <w:t>16</w:t>
                  </w:r>
                </w:p>
              </w:tc>
              <w:tc>
                <w:tcPr>
                  <w:tcW w:w="586" w:type="pct"/>
                  <w:tcBorders>
                    <w:tl2br w:val="nil"/>
                    <w:tr2bl w:val="nil"/>
                  </w:tcBorders>
                  <w:vAlign w:val="center"/>
                </w:tcPr>
                <w:p>
                  <w:pPr>
                    <w:pStyle w:val="37"/>
                  </w:pPr>
                  <w:r>
                    <w:t>15</w:t>
                  </w:r>
                </w:p>
              </w:tc>
              <w:tc>
                <w:tcPr>
                  <w:tcW w:w="586" w:type="pct"/>
                  <w:tcBorders>
                    <w:tl2br w:val="nil"/>
                    <w:tr2bl w:val="nil"/>
                  </w:tcBorders>
                  <w:vAlign w:val="center"/>
                </w:tcPr>
                <w:p>
                  <w:pPr>
                    <w:pStyle w:val="37"/>
                  </w:pPr>
                  <w:r>
                    <w:t>13</w:t>
                  </w:r>
                </w:p>
              </w:tc>
              <w:tc>
                <w:tcPr>
                  <w:tcW w:w="586" w:type="pct"/>
                  <w:tcBorders>
                    <w:tl2br w:val="nil"/>
                    <w:tr2bl w:val="nil"/>
                  </w:tcBorders>
                  <w:vAlign w:val="center"/>
                </w:tcPr>
                <w:p>
                  <w:pPr>
                    <w:pStyle w:val="37"/>
                  </w:pPr>
                  <w:r>
                    <w:t>12</w:t>
                  </w:r>
                </w:p>
              </w:tc>
              <w:tc>
                <w:tcPr>
                  <w:tcW w:w="586" w:type="pct"/>
                  <w:tcBorders>
                    <w:tl2br w:val="nil"/>
                    <w:tr2bl w:val="nil"/>
                  </w:tcBorders>
                  <w:vAlign w:val="center"/>
                </w:tcPr>
                <w:p>
                  <w:pPr>
                    <w:pStyle w:val="37"/>
                  </w:pPr>
                  <w:r>
                    <w:t>14</w:t>
                  </w:r>
                </w:p>
              </w:tc>
              <w:tc>
                <w:tcPr>
                  <w:tcW w:w="588" w:type="pct"/>
                  <w:tcBorders>
                    <w:tl2br w:val="nil"/>
                    <w:tr2bl w:val="nil"/>
                  </w:tcBorders>
                  <w:vAlign w:val="center"/>
                </w:tcPr>
                <w:p>
                  <w:pPr>
                    <w:pStyle w:val="37"/>
                  </w:pPr>
                  <w:r>
                    <w:t>11</w:t>
                  </w:r>
                </w:p>
              </w:tc>
              <w:tc>
                <w:tcPr>
                  <w:tcW w:w="481" w:type="pct"/>
                  <w:tcBorders>
                    <w:tl2br w:val="nil"/>
                    <w:tr2bl w:val="nil"/>
                  </w:tcBorders>
                  <w:vAlign w:val="center"/>
                </w:tcPr>
                <w:p>
                  <w:pPr>
                    <w:pStyle w:val="37"/>
                  </w:pPr>
                  <w:r>
                    <w:t>60</w:t>
                  </w:r>
                </w:p>
              </w:tc>
            </w:tr>
            <w:tr>
              <w:tblPrEx>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NH</w:t>
                  </w:r>
                  <w:r>
                    <w:rPr>
                      <w:vertAlign w:val="subscript"/>
                    </w:rPr>
                    <w:t>3</w:t>
                  </w:r>
                  <w:r>
                    <w:t>-N</w:t>
                  </w:r>
                </w:p>
              </w:tc>
              <w:tc>
                <w:tcPr>
                  <w:tcW w:w="586" w:type="pct"/>
                  <w:tcBorders>
                    <w:tl2br w:val="nil"/>
                    <w:tr2bl w:val="nil"/>
                  </w:tcBorders>
                  <w:vAlign w:val="center"/>
                </w:tcPr>
                <w:p>
                  <w:pPr>
                    <w:pStyle w:val="37"/>
                  </w:pPr>
                  <w:r>
                    <w:t>0.150</w:t>
                  </w:r>
                </w:p>
              </w:tc>
              <w:tc>
                <w:tcPr>
                  <w:tcW w:w="586" w:type="pct"/>
                  <w:tcBorders>
                    <w:tl2br w:val="nil"/>
                    <w:tr2bl w:val="nil"/>
                  </w:tcBorders>
                  <w:vAlign w:val="center"/>
                </w:tcPr>
                <w:p>
                  <w:pPr>
                    <w:pStyle w:val="37"/>
                  </w:pPr>
                  <w:r>
                    <w:t>0.748</w:t>
                  </w:r>
                </w:p>
              </w:tc>
              <w:tc>
                <w:tcPr>
                  <w:tcW w:w="586" w:type="pct"/>
                  <w:tcBorders>
                    <w:tl2br w:val="nil"/>
                    <w:tr2bl w:val="nil"/>
                  </w:tcBorders>
                  <w:vAlign w:val="center"/>
                </w:tcPr>
                <w:p>
                  <w:pPr>
                    <w:pStyle w:val="37"/>
                  </w:pPr>
                  <w:r>
                    <w:t>0.129</w:t>
                  </w:r>
                </w:p>
              </w:tc>
              <w:tc>
                <w:tcPr>
                  <w:tcW w:w="586" w:type="pct"/>
                  <w:tcBorders>
                    <w:tl2br w:val="nil"/>
                    <w:tr2bl w:val="nil"/>
                  </w:tcBorders>
                  <w:vAlign w:val="center"/>
                </w:tcPr>
                <w:p>
                  <w:pPr>
                    <w:pStyle w:val="37"/>
                  </w:pPr>
                  <w:r>
                    <w:t>0.104</w:t>
                  </w:r>
                </w:p>
              </w:tc>
              <w:tc>
                <w:tcPr>
                  <w:tcW w:w="586" w:type="pct"/>
                  <w:tcBorders>
                    <w:tl2br w:val="nil"/>
                    <w:tr2bl w:val="nil"/>
                  </w:tcBorders>
                  <w:vAlign w:val="center"/>
                </w:tcPr>
                <w:p>
                  <w:pPr>
                    <w:pStyle w:val="37"/>
                  </w:pPr>
                  <w:r>
                    <w:t>1.35</w:t>
                  </w:r>
                </w:p>
              </w:tc>
              <w:tc>
                <w:tcPr>
                  <w:tcW w:w="588" w:type="pct"/>
                  <w:tcBorders>
                    <w:tl2br w:val="nil"/>
                    <w:tr2bl w:val="nil"/>
                  </w:tcBorders>
                  <w:vAlign w:val="center"/>
                </w:tcPr>
                <w:p>
                  <w:pPr>
                    <w:pStyle w:val="37"/>
                  </w:pPr>
                  <w:r>
                    <w:t>0.169</w:t>
                  </w:r>
                </w:p>
              </w:tc>
              <w:tc>
                <w:tcPr>
                  <w:tcW w:w="481" w:type="pct"/>
                  <w:tcBorders>
                    <w:tl2br w:val="nil"/>
                    <w:tr2bl w:val="nil"/>
                  </w:tcBorders>
                  <w:vAlign w:val="center"/>
                </w:tcPr>
                <w:p>
                  <w:pPr>
                    <w:pStyle w:val="37"/>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TP</w:t>
                  </w:r>
                </w:p>
              </w:tc>
              <w:tc>
                <w:tcPr>
                  <w:tcW w:w="586" w:type="pct"/>
                  <w:tcBorders>
                    <w:tl2br w:val="nil"/>
                    <w:tr2bl w:val="nil"/>
                  </w:tcBorders>
                  <w:vAlign w:val="center"/>
                </w:tcPr>
                <w:p>
                  <w:pPr>
                    <w:pStyle w:val="37"/>
                  </w:pPr>
                  <w:r>
                    <w:t>0.12</w:t>
                  </w:r>
                </w:p>
              </w:tc>
              <w:tc>
                <w:tcPr>
                  <w:tcW w:w="586" w:type="pct"/>
                  <w:tcBorders>
                    <w:tl2br w:val="nil"/>
                    <w:tr2bl w:val="nil"/>
                  </w:tcBorders>
                  <w:vAlign w:val="center"/>
                </w:tcPr>
                <w:p>
                  <w:pPr>
                    <w:pStyle w:val="37"/>
                  </w:pPr>
                  <w:r>
                    <w:t>0.06</w:t>
                  </w:r>
                </w:p>
              </w:tc>
              <w:tc>
                <w:tcPr>
                  <w:tcW w:w="586" w:type="pct"/>
                  <w:tcBorders>
                    <w:tl2br w:val="nil"/>
                    <w:tr2bl w:val="nil"/>
                  </w:tcBorders>
                  <w:vAlign w:val="center"/>
                </w:tcPr>
                <w:p>
                  <w:pPr>
                    <w:pStyle w:val="37"/>
                  </w:pPr>
                  <w:r>
                    <w:t>0.11</w:t>
                  </w:r>
                </w:p>
              </w:tc>
              <w:tc>
                <w:tcPr>
                  <w:tcW w:w="586" w:type="pct"/>
                  <w:tcBorders>
                    <w:tl2br w:val="nil"/>
                    <w:tr2bl w:val="nil"/>
                  </w:tcBorders>
                  <w:vAlign w:val="center"/>
                </w:tcPr>
                <w:p>
                  <w:pPr>
                    <w:pStyle w:val="37"/>
                  </w:pPr>
                  <w:r>
                    <w:t>0.06</w:t>
                  </w:r>
                </w:p>
              </w:tc>
              <w:tc>
                <w:tcPr>
                  <w:tcW w:w="586" w:type="pct"/>
                  <w:tcBorders>
                    <w:tl2br w:val="nil"/>
                    <w:tr2bl w:val="nil"/>
                  </w:tcBorders>
                  <w:vAlign w:val="center"/>
                </w:tcPr>
                <w:p>
                  <w:pPr>
                    <w:pStyle w:val="37"/>
                  </w:pPr>
                  <w:r>
                    <w:t>0.25</w:t>
                  </w:r>
                </w:p>
              </w:tc>
              <w:tc>
                <w:tcPr>
                  <w:tcW w:w="588" w:type="pct"/>
                  <w:tcBorders>
                    <w:tl2br w:val="nil"/>
                    <w:tr2bl w:val="nil"/>
                  </w:tcBorders>
                  <w:vAlign w:val="center"/>
                </w:tcPr>
                <w:p>
                  <w:pPr>
                    <w:pStyle w:val="37"/>
                  </w:pPr>
                  <w:r>
                    <w:t>0.14</w:t>
                  </w:r>
                </w:p>
              </w:tc>
              <w:tc>
                <w:tcPr>
                  <w:tcW w:w="481" w:type="pct"/>
                  <w:tcBorders>
                    <w:tl2br w:val="nil"/>
                    <w:tr2bl w:val="nil"/>
                  </w:tcBorders>
                  <w:vAlign w:val="center"/>
                </w:tcPr>
                <w:p>
                  <w:pPr>
                    <w:pStyle w:val="37"/>
                  </w:pPr>
                  <w: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TN</w:t>
                  </w:r>
                </w:p>
              </w:tc>
              <w:tc>
                <w:tcPr>
                  <w:tcW w:w="586" w:type="pct"/>
                  <w:tcBorders>
                    <w:tl2br w:val="nil"/>
                    <w:tr2bl w:val="nil"/>
                  </w:tcBorders>
                  <w:vAlign w:val="center"/>
                </w:tcPr>
                <w:p>
                  <w:pPr>
                    <w:pStyle w:val="37"/>
                  </w:pPr>
                  <w:r>
                    <w:t>4.55</w:t>
                  </w:r>
                </w:p>
              </w:tc>
              <w:tc>
                <w:tcPr>
                  <w:tcW w:w="586" w:type="pct"/>
                  <w:tcBorders>
                    <w:tl2br w:val="nil"/>
                    <w:tr2bl w:val="nil"/>
                  </w:tcBorders>
                  <w:vAlign w:val="center"/>
                </w:tcPr>
                <w:p>
                  <w:pPr>
                    <w:pStyle w:val="37"/>
                  </w:pPr>
                  <w:r>
                    <w:t>6.50</w:t>
                  </w:r>
                </w:p>
              </w:tc>
              <w:tc>
                <w:tcPr>
                  <w:tcW w:w="586" w:type="pct"/>
                  <w:tcBorders>
                    <w:tl2br w:val="nil"/>
                    <w:tr2bl w:val="nil"/>
                  </w:tcBorders>
                  <w:vAlign w:val="center"/>
                </w:tcPr>
                <w:p>
                  <w:pPr>
                    <w:pStyle w:val="37"/>
                  </w:pPr>
                  <w:r>
                    <w:t>4.34</w:t>
                  </w:r>
                </w:p>
              </w:tc>
              <w:tc>
                <w:tcPr>
                  <w:tcW w:w="586" w:type="pct"/>
                  <w:tcBorders>
                    <w:tl2br w:val="nil"/>
                    <w:tr2bl w:val="nil"/>
                  </w:tcBorders>
                  <w:vAlign w:val="center"/>
                </w:tcPr>
                <w:p>
                  <w:pPr>
                    <w:pStyle w:val="37"/>
                  </w:pPr>
                  <w:r>
                    <w:t>3.64</w:t>
                  </w:r>
                </w:p>
              </w:tc>
              <w:tc>
                <w:tcPr>
                  <w:tcW w:w="586" w:type="pct"/>
                  <w:tcBorders>
                    <w:tl2br w:val="nil"/>
                    <w:tr2bl w:val="nil"/>
                  </w:tcBorders>
                  <w:vAlign w:val="center"/>
                </w:tcPr>
                <w:p>
                  <w:pPr>
                    <w:pStyle w:val="37"/>
                  </w:pPr>
                  <w:r>
                    <w:t>6.29</w:t>
                  </w:r>
                </w:p>
              </w:tc>
              <w:tc>
                <w:tcPr>
                  <w:tcW w:w="588" w:type="pct"/>
                  <w:tcBorders>
                    <w:tl2br w:val="nil"/>
                    <w:tr2bl w:val="nil"/>
                  </w:tcBorders>
                  <w:vAlign w:val="center"/>
                </w:tcPr>
                <w:p>
                  <w:pPr>
                    <w:pStyle w:val="37"/>
                  </w:pPr>
                  <w:r>
                    <w:t>4.74</w:t>
                  </w:r>
                </w:p>
              </w:tc>
              <w:tc>
                <w:tcPr>
                  <w:tcW w:w="481"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石油类</w:t>
                  </w:r>
                </w:p>
              </w:tc>
              <w:tc>
                <w:tcPr>
                  <w:tcW w:w="586" w:type="pct"/>
                  <w:tcBorders>
                    <w:tl2br w:val="nil"/>
                    <w:tr2bl w:val="nil"/>
                  </w:tcBorders>
                  <w:vAlign w:val="center"/>
                </w:tcPr>
                <w:p>
                  <w:pPr>
                    <w:pStyle w:val="37"/>
                  </w:pPr>
                  <w:r>
                    <w:t>0.02</w:t>
                  </w:r>
                </w:p>
              </w:tc>
              <w:tc>
                <w:tcPr>
                  <w:tcW w:w="586" w:type="pct"/>
                  <w:tcBorders>
                    <w:tl2br w:val="nil"/>
                    <w:tr2bl w:val="nil"/>
                  </w:tcBorders>
                  <w:vAlign w:val="center"/>
                </w:tcPr>
                <w:p>
                  <w:pPr>
                    <w:pStyle w:val="37"/>
                  </w:pPr>
                  <w:r>
                    <w:t>0.01L</w:t>
                  </w:r>
                </w:p>
              </w:tc>
              <w:tc>
                <w:tcPr>
                  <w:tcW w:w="586" w:type="pct"/>
                  <w:tcBorders>
                    <w:tl2br w:val="nil"/>
                    <w:tr2bl w:val="nil"/>
                  </w:tcBorders>
                  <w:vAlign w:val="center"/>
                </w:tcPr>
                <w:p>
                  <w:pPr>
                    <w:pStyle w:val="37"/>
                  </w:pPr>
                  <w:r>
                    <w:t>0.03</w:t>
                  </w:r>
                </w:p>
              </w:tc>
              <w:tc>
                <w:tcPr>
                  <w:tcW w:w="586" w:type="pct"/>
                  <w:tcBorders>
                    <w:tl2br w:val="nil"/>
                    <w:tr2bl w:val="nil"/>
                  </w:tcBorders>
                  <w:vAlign w:val="center"/>
                </w:tcPr>
                <w:p>
                  <w:pPr>
                    <w:pStyle w:val="37"/>
                  </w:pPr>
                  <w:r>
                    <w:t>0.03</w:t>
                  </w:r>
                </w:p>
              </w:tc>
              <w:tc>
                <w:tcPr>
                  <w:tcW w:w="586" w:type="pct"/>
                  <w:tcBorders>
                    <w:tl2br w:val="nil"/>
                    <w:tr2bl w:val="nil"/>
                  </w:tcBorders>
                  <w:vAlign w:val="center"/>
                </w:tcPr>
                <w:p>
                  <w:pPr>
                    <w:pStyle w:val="37"/>
                  </w:pPr>
                  <w:r>
                    <w:t>0.01</w:t>
                  </w:r>
                </w:p>
              </w:tc>
              <w:tc>
                <w:tcPr>
                  <w:tcW w:w="588" w:type="pct"/>
                  <w:tcBorders>
                    <w:tl2br w:val="nil"/>
                    <w:tr2bl w:val="nil"/>
                  </w:tcBorders>
                  <w:vAlign w:val="center"/>
                </w:tcPr>
                <w:p>
                  <w:pPr>
                    <w:pStyle w:val="37"/>
                  </w:pPr>
                  <w:r>
                    <w:t>0.02</w:t>
                  </w:r>
                </w:p>
              </w:tc>
              <w:tc>
                <w:tcPr>
                  <w:tcW w:w="481" w:type="pct"/>
                  <w:tcBorders>
                    <w:tl2br w:val="nil"/>
                    <w:tr2bl w:val="nil"/>
                  </w:tcBorders>
                  <w:vAlign w:val="center"/>
                </w:tcPr>
                <w:p>
                  <w:pPr>
                    <w:pStyle w:val="37"/>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氟化物</w:t>
                  </w:r>
                </w:p>
              </w:tc>
              <w:tc>
                <w:tcPr>
                  <w:tcW w:w="586" w:type="pct"/>
                  <w:tcBorders>
                    <w:tl2br w:val="nil"/>
                    <w:tr2bl w:val="nil"/>
                  </w:tcBorders>
                  <w:vAlign w:val="center"/>
                </w:tcPr>
                <w:p>
                  <w:pPr>
                    <w:pStyle w:val="37"/>
                  </w:pPr>
                  <w:r>
                    <w:t>0.36</w:t>
                  </w:r>
                </w:p>
              </w:tc>
              <w:tc>
                <w:tcPr>
                  <w:tcW w:w="586" w:type="pct"/>
                  <w:tcBorders>
                    <w:tl2br w:val="nil"/>
                    <w:tr2bl w:val="nil"/>
                  </w:tcBorders>
                  <w:vAlign w:val="center"/>
                </w:tcPr>
                <w:p>
                  <w:pPr>
                    <w:pStyle w:val="37"/>
                  </w:pPr>
                  <w:r>
                    <w:t>0.64</w:t>
                  </w:r>
                </w:p>
              </w:tc>
              <w:tc>
                <w:tcPr>
                  <w:tcW w:w="586" w:type="pct"/>
                  <w:tcBorders>
                    <w:tl2br w:val="nil"/>
                    <w:tr2bl w:val="nil"/>
                  </w:tcBorders>
                  <w:vAlign w:val="center"/>
                </w:tcPr>
                <w:p>
                  <w:pPr>
                    <w:pStyle w:val="37"/>
                  </w:pPr>
                  <w:r>
                    <w:t>0.47</w:t>
                  </w:r>
                </w:p>
              </w:tc>
              <w:tc>
                <w:tcPr>
                  <w:tcW w:w="586" w:type="pct"/>
                  <w:tcBorders>
                    <w:tl2br w:val="nil"/>
                    <w:tr2bl w:val="nil"/>
                  </w:tcBorders>
                  <w:vAlign w:val="center"/>
                </w:tcPr>
                <w:p>
                  <w:pPr>
                    <w:pStyle w:val="37"/>
                  </w:pPr>
                  <w:r>
                    <w:t>0.44</w:t>
                  </w:r>
                </w:p>
              </w:tc>
              <w:tc>
                <w:tcPr>
                  <w:tcW w:w="586" w:type="pct"/>
                  <w:tcBorders>
                    <w:tl2br w:val="nil"/>
                    <w:tr2bl w:val="nil"/>
                  </w:tcBorders>
                  <w:vAlign w:val="center"/>
                </w:tcPr>
                <w:p>
                  <w:pPr>
                    <w:pStyle w:val="37"/>
                  </w:pPr>
                  <w:r>
                    <w:t>0.40</w:t>
                  </w:r>
                </w:p>
              </w:tc>
              <w:tc>
                <w:tcPr>
                  <w:tcW w:w="588" w:type="pct"/>
                  <w:tcBorders>
                    <w:tl2br w:val="nil"/>
                    <w:tr2bl w:val="nil"/>
                  </w:tcBorders>
                  <w:vAlign w:val="center"/>
                </w:tcPr>
                <w:p>
                  <w:pPr>
                    <w:pStyle w:val="37"/>
                  </w:pPr>
                  <w:r>
                    <w:t>0.59</w:t>
                  </w:r>
                </w:p>
              </w:tc>
              <w:tc>
                <w:tcPr>
                  <w:tcW w:w="481" w:type="pct"/>
                  <w:tcBorders>
                    <w:tl2br w:val="nil"/>
                    <w:tr2bl w:val="nil"/>
                  </w:tcBorders>
                  <w:vAlign w:val="center"/>
                </w:tcPr>
                <w:p>
                  <w:pPr>
                    <w:pStyle w:val="37"/>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铬</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8" w:type="pct"/>
                  <w:tcBorders>
                    <w:tl2br w:val="nil"/>
                    <w:tr2bl w:val="nil"/>
                  </w:tcBorders>
                  <w:vAlign w:val="center"/>
                </w:tcPr>
                <w:p>
                  <w:pPr>
                    <w:pStyle w:val="37"/>
                  </w:pPr>
                  <w:r>
                    <w:t>0.03L</w:t>
                  </w:r>
                </w:p>
              </w:tc>
              <w:tc>
                <w:tcPr>
                  <w:tcW w:w="481" w:type="pct"/>
                  <w:tcBorders>
                    <w:tl2br w:val="nil"/>
                    <w:tr2bl w:val="nil"/>
                  </w:tcBorders>
                  <w:vAlign w:val="center"/>
                </w:tcPr>
                <w:p>
                  <w:pPr>
                    <w:pStyle w:val="37"/>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砷</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8" w:type="pct"/>
                  <w:tcBorders>
                    <w:tl2br w:val="nil"/>
                    <w:tr2bl w:val="nil"/>
                  </w:tcBorders>
                  <w:vAlign w:val="center"/>
                </w:tcPr>
                <w:p>
                  <w:pPr>
                    <w:pStyle w:val="37"/>
                  </w:pPr>
                  <w:r>
                    <w:t>3×10</w:t>
                  </w:r>
                  <w:r>
                    <w:rPr>
                      <w:vertAlign w:val="superscript"/>
                    </w:rPr>
                    <w:t>-4</w:t>
                  </w:r>
                  <w:r>
                    <w:t>L</w:t>
                  </w:r>
                </w:p>
              </w:tc>
              <w:tc>
                <w:tcPr>
                  <w:tcW w:w="481" w:type="pct"/>
                  <w:tcBorders>
                    <w:tl2br w:val="nil"/>
                    <w:tr2bl w:val="nil"/>
                  </w:tcBorders>
                  <w:vAlign w:val="center"/>
                </w:tcPr>
                <w:p>
                  <w:pPr>
                    <w:pStyle w:val="37"/>
                  </w:pPr>
                  <w: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汞</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8" w:type="pct"/>
                  <w:tcBorders>
                    <w:tl2br w:val="nil"/>
                    <w:tr2bl w:val="nil"/>
                  </w:tcBorders>
                  <w:vAlign w:val="center"/>
                </w:tcPr>
                <w:p>
                  <w:pPr>
                    <w:pStyle w:val="37"/>
                  </w:pPr>
                  <w:r>
                    <w:t>4×10</w:t>
                  </w:r>
                  <w:r>
                    <w:rPr>
                      <w:vertAlign w:val="superscript"/>
                    </w:rPr>
                    <w:t>-5</w:t>
                  </w:r>
                  <w:r>
                    <w:t>L</w:t>
                  </w:r>
                </w:p>
              </w:tc>
              <w:tc>
                <w:tcPr>
                  <w:tcW w:w="481" w:type="pct"/>
                  <w:tcBorders>
                    <w:tl2br w:val="nil"/>
                    <w:tr2bl w:val="nil"/>
                  </w:tcBorders>
                  <w:vAlign w:val="center"/>
                </w:tcPr>
                <w:p>
                  <w:pPr>
                    <w:pStyle w:val="37"/>
                  </w:pPr>
                  <w: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铅</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8" w:type="pct"/>
                  <w:tcBorders>
                    <w:tl2br w:val="nil"/>
                    <w:tr2bl w:val="nil"/>
                  </w:tcBorders>
                  <w:vAlign w:val="center"/>
                </w:tcPr>
                <w:p>
                  <w:pPr>
                    <w:pStyle w:val="37"/>
                  </w:pPr>
                  <w:r>
                    <w:t>1×10</w:t>
                  </w:r>
                  <w:r>
                    <w:rPr>
                      <w:vertAlign w:val="superscript"/>
                    </w:rPr>
                    <w:t>-3</w:t>
                  </w:r>
                  <w:r>
                    <w:t>L</w:t>
                  </w:r>
                </w:p>
              </w:tc>
              <w:tc>
                <w:tcPr>
                  <w:tcW w:w="481" w:type="pct"/>
                  <w:tcBorders>
                    <w:tl2br w:val="nil"/>
                    <w:tr2bl w:val="nil"/>
                  </w:tcBorders>
                  <w:vAlign w:val="center"/>
                </w:tcPr>
                <w:p>
                  <w:pPr>
                    <w:pStyle w:val="37"/>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镉</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8" w:type="pct"/>
                  <w:tcBorders>
                    <w:tl2br w:val="nil"/>
                    <w:tr2bl w:val="nil"/>
                  </w:tcBorders>
                  <w:vAlign w:val="center"/>
                </w:tcPr>
                <w:p>
                  <w:pPr>
                    <w:pStyle w:val="37"/>
                  </w:pPr>
                  <w:r>
                    <w:t>1×10</w:t>
                  </w:r>
                  <w:r>
                    <w:rPr>
                      <w:vertAlign w:val="superscript"/>
                    </w:rPr>
                    <w:t>-4</w:t>
                  </w:r>
                  <w:r>
                    <w:t>L</w:t>
                  </w:r>
                </w:p>
              </w:tc>
              <w:tc>
                <w:tcPr>
                  <w:tcW w:w="481" w:type="pct"/>
                  <w:tcBorders>
                    <w:tl2br w:val="nil"/>
                    <w:tr2bl w:val="nil"/>
                  </w:tcBorders>
                  <w:vAlign w:val="center"/>
                </w:tcPr>
                <w:p>
                  <w:pPr>
                    <w:pStyle w:val="37"/>
                  </w:pPr>
                  <w: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restart"/>
                  <w:tcBorders>
                    <w:tl2br w:val="nil"/>
                    <w:tr2bl w:val="nil"/>
                  </w:tcBorders>
                  <w:vAlign w:val="center"/>
                </w:tcPr>
                <w:p>
                  <w:pPr>
                    <w:pStyle w:val="37"/>
                  </w:pPr>
                  <w:r>
                    <w:t>2021年</w:t>
                  </w:r>
                </w:p>
                <w:p>
                  <w:pPr>
                    <w:pStyle w:val="37"/>
                  </w:pPr>
                  <w:r>
                    <w:t>11月4日</w:t>
                  </w:r>
                </w:p>
              </w:tc>
              <w:tc>
                <w:tcPr>
                  <w:tcW w:w="545" w:type="pct"/>
                  <w:tcBorders>
                    <w:tl2br w:val="nil"/>
                    <w:tr2bl w:val="nil"/>
                  </w:tcBorders>
                  <w:vAlign w:val="center"/>
                </w:tcPr>
                <w:p>
                  <w:pPr>
                    <w:pStyle w:val="37"/>
                  </w:pPr>
                  <w:r>
                    <w:t>pH值</w:t>
                  </w:r>
                </w:p>
              </w:tc>
              <w:tc>
                <w:tcPr>
                  <w:tcW w:w="586" w:type="pct"/>
                  <w:tcBorders>
                    <w:tl2br w:val="nil"/>
                    <w:tr2bl w:val="nil"/>
                  </w:tcBorders>
                  <w:vAlign w:val="center"/>
                </w:tcPr>
                <w:p>
                  <w:pPr>
                    <w:pStyle w:val="37"/>
                  </w:pPr>
                  <w:r>
                    <w:t>7.3</w:t>
                  </w:r>
                </w:p>
              </w:tc>
              <w:tc>
                <w:tcPr>
                  <w:tcW w:w="586" w:type="pct"/>
                  <w:tcBorders>
                    <w:tl2br w:val="nil"/>
                    <w:tr2bl w:val="nil"/>
                  </w:tcBorders>
                  <w:vAlign w:val="center"/>
                </w:tcPr>
                <w:p>
                  <w:pPr>
                    <w:pStyle w:val="37"/>
                  </w:pPr>
                  <w:r>
                    <w:t>7.3</w:t>
                  </w:r>
                </w:p>
              </w:tc>
              <w:tc>
                <w:tcPr>
                  <w:tcW w:w="586" w:type="pct"/>
                  <w:tcBorders>
                    <w:tl2br w:val="nil"/>
                    <w:tr2bl w:val="nil"/>
                  </w:tcBorders>
                  <w:vAlign w:val="center"/>
                </w:tcPr>
                <w:p>
                  <w:pPr>
                    <w:pStyle w:val="37"/>
                  </w:pPr>
                  <w:r>
                    <w:t>7.4</w:t>
                  </w:r>
                </w:p>
              </w:tc>
              <w:tc>
                <w:tcPr>
                  <w:tcW w:w="586" w:type="pct"/>
                  <w:tcBorders>
                    <w:tl2br w:val="nil"/>
                    <w:tr2bl w:val="nil"/>
                  </w:tcBorders>
                  <w:vAlign w:val="center"/>
                </w:tcPr>
                <w:p>
                  <w:pPr>
                    <w:pStyle w:val="37"/>
                  </w:pPr>
                  <w:r>
                    <w:t>7.1</w:t>
                  </w:r>
                </w:p>
              </w:tc>
              <w:tc>
                <w:tcPr>
                  <w:tcW w:w="586" w:type="pct"/>
                  <w:tcBorders>
                    <w:tl2br w:val="nil"/>
                    <w:tr2bl w:val="nil"/>
                  </w:tcBorders>
                  <w:vAlign w:val="center"/>
                </w:tcPr>
                <w:p>
                  <w:pPr>
                    <w:pStyle w:val="37"/>
                  </w:pPr>
                  <w:r>
                    <w:t>6.8</w:t>
                  </w:r>
                </w:p>
              </w:tc>
              <w:tc>
                <w:tcPr>
                  <w:tcW w:w="588" w:type="pct"/>
                  <w:tcBorders>
                    <w:tl2br w:val="nil"/>
                    <w:tr2bl w:val="nil"/>
                  </w:tcBorders>
                  <w:vAlign w:val="center"/>
                </w:tcPr>
                <w:p>
                  <w:pPr>
                    <w:pStyle w:val="37"/>
                  </w:pPr>
                  <w:r>
                    <w:t>7.1</w:t>
                  </w:r>
                </w:p>
              </w:tc>
              <w:tc>
                <w:tcPr>
                  <w:tcW w:w="481" w:type="pct"/>
                  <w:tcBorders>
                    <w:tl2br w:val="nil"/>
                    <w:tr2bl w:val="nil"/>
                  </w:tcBorders>
                  <w:vAlign w:val="center"/>
                </w:tcPr>
                <w:p>
                  <w:pPr>
                    <w:pStyle w:val="37"/>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COD</w:t>
                  </w:r>
                  <w:r>
                    <w:rPr>
                      <w:vertAlign w:val="subscript"/>
                    </w:rPr>
                    <w:t>Cr</w:t>
                  </w:r>
                </w:p>
              </w:tc>
              <w:tc>
                <w:tcPr>
                  <w:tcW w:w="586" w:type="pct"/>
                  <w:tcBorders>
                    <w:tl2br w:val="nil"/>
                    <w:tr2bl w:val="nil"/>
                  </w:tcBorders>
                  <w:vAlign w:val="center"/>
                </w:tcPr>
                <w:p>
                  <w:pPr>
                    <w:pStyle w:val="37"/>
                  </w:pPr>
                  <w:r>
                    <w:t>16</w:t>
                  </w:r>
                </w:p>
              </w:tc>
              <w:tc>
                <w:tcPr>
                  <w:tcW w:w="586" w:type="pct"/>
                  <w:tcBorders>
                    <w:tl2br w:val="nil"/>
                    <w:tr2bl w:val="nil"/>
                  </w:tcBorders>
                  <w:vAlign w:val="center"/>
                </w:tcPr>
                <w:p>
                  <w:pPr>
                    <w:pStyle w:val="37"/>
                  </w:pPr>
                  <w:r>
                    <w:t>19</w:t>
                  </w:r>
                </w:p>
              </w:tc>
              <w:tc>
                <w:tcPr>
                  <w:tcW w:w="586" w:type="pct"/>
                  <w:tcBorders>
                    <w:tl2br w:val="nil"/>
                    <w:tr2bl w:val="nil"/>
                  </w:tcBorders>
                  <w:vAlign w:val="center"/>
                </w:tcPr>
                <w:p>
                  <w:pPr>
                    <w:pStyle w:val="37"/>
                  </w:pPr>
                  <w:r>
                    <w:t>14</w:t>
                  </w:r>
                </w:p>
              </w:tc>
              <w:tc>
                <w:tcPr>
                  <w:tcW w:w="586" w:type="pct"/>
                  <w:tcBorders>
                    <w:tl2br w:val="nil"/>
                    <w:tr2bl w:val="nil"/>
                  </w:tcBorders>
                  <w:vAlign w:val="center"/>
                </w:tcPr>
                <w:p>
                  <w:pPr>
                    <w:pStyle w:val="37"/>
                  </w:pPr>
                  <w:r>
                    <w:t>17</w:t>
                  </w:r>
                </w:p>
              </w:tc>
              <w:tc>
                <w:tcPr>
                  <w:tcW w:w="586" w:type="pct"/>
                  <w:tcBorders>
                    <w:tl2br w:val="nil"/>
                    <w:tr2bl w:val="nil"/>
                  </w:tcBorders>
                  <w:vAlign w:val="center"/>
                </w:tcPr>
                <w:p>
                  <w:pPr>
                    <w:pStyle w:val="37"/>
                  </w:pPr>
                  <w:r>
                    <w:t>23</w:t>
                  </w:r>
                </w:p>
              </w:tc>
              <w:tc>
                <w:tcPr>
                  <w:tcW w:w="588" w:type="pct"/>
                  <w:tcBorders>
                    <w:tl2br w:val="nil"/>
                    <w:tr2bl w:val="nil"/>
                  </w:tcBorders>
                  <w:vAlign w:val="center"/>
                </w:tcPr>
                <w:p>
                  <w:pPr>
                    <w:pStyle w:val="37"/>
                  </w:pPr>
                  <w:r>
                    <w:t>16</w:t>
                  </w:r>
                </w:p>
              </w:tc>
              <w:tc>
                <w:tcPr>
                  <w:tcW w:w="481" w:type="pct"/>
                  <w:tcBorders>
                    <w:tl2br w:val="nil"/>
                    <w:tr2bl w:val="nil"/>
                  </w:tcBorders>
                  <w:vAlign w:val="center"/>
                </w:tcPr>
                <w:p>
                  <w:pPr>
                    <w:pStyle w:val="37"/>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BOD</w:t>
                  </w:r>
                  <w:r>
                    <w:rPr>
                      <w:vertAlign w:val="subscript"/>
                    </w:rPr>
                    <w:t>5</w:t>
                  </w:r>
                </w:p>
              </w:tc>
              <w:tc>
                <w:tcPr>
                  <w:tcW w:w="586" w:type="pct"/>
                  <w:tcBorders>
                    <w:tl2br w:val="nil"/>
                    <w:tr2bl w:val="nil"/>
                  </w:tcBorders>
                  <w:vAlign w:val="center"/>
                </w:tcPr>
                <w:p>
                  <w:pPr>
                    <w:pStyle w:val="37"/>
                  </w:pPr>
                  <w:r>
                    <w:t>3.2</w:t>
                  </w:r>
                </w:p>
              </w:tc>
              <w:tc>
                <w:tcPr>
                  <w:tcW w:w="586" w:type="pct"/>
                  <w:tcBorders>
                    <w:tl2br w:val="nil"/>
                    <w:tr2bl w:val="nil"/>
                  </w:tcBorders>
                  <w:vAlign w:val="center"/>
                </w:tcPr>
                <w:p>
                  <w:pPr>
                    <w:pStyle w:val="37"/>
                  </w:pPr>
                  <w:r>
                    <w:t>3.8</w:t>
                  </w:r>
                </w:p>
              </w:tc>
              <w:tc>
                <w:tcPr>
                  <w:tcW w:w="586" w:type="pct"/>
                  <w:tcBorders>
                    <w:tl2br w:val="nil"/>
                    <w:tr2bl w:val="nil"/>
                  </w:tcBorders>
                  <w:vAlign w:val="center"/>
                </w:tcPr>
                <w:p>
                  <w:pPr>
                    <w:pStyle w:val="37"/>
                  </w:pPr>
                  <w:r>
                    <w:t>2.7</w:t>
                  </w:r>
                </w:p>
              </w:tc>
              <w:tc>
                <w:tcPr>
                  <w:tcW w:w="586" w:type="pct"/>
                  <w:tcBorders>
                    <w:tl2br w:val="nil"/>
                    <w:tr2bl w:val="nil"/>
                  </w:tcBorders>
                  <w:vAlign w:val="center"/>
                </w:tcPr>
                <w:p>
                  <w:pPr>
                    <w:pStyle w:val="37"/>
                  </w:pPr>
                  <w:r>
                    <w:t>3.4</w:t>
                  </w:r>
                </w:p>
              </w:tc>
              <w:tc>
                <w:tcPr>
                  <w:tcW w:w="586" w:type="pct"/>
                  <w:tcBorders>
                    <w:tl2br w:val="nil"/>
                    <w:tr2bl w:val="nil"/>
                  </w:tcBorders>
                  <w:vAlign w:val="center"/>
                </w:tcPr>
                <w:p>
                  <w:pPr>
                    <w:pStyle w:val="37"/>
                  </w:pPr>
                  <w:r>
                    <w:t>4.7</w:t>
                  </w:r>
                </w:p>
              </w:tc>
              <w:tc>
                <w:tcPr>
                  <w:tcW w:w="588" w:type="pct"/>
                  <w:tcBorders>
                    <w:tl2br w:val="nil"/>
                    <w:tr2bl w:val="nil"/>
                  </w:tcBorders>
                  <w:vAlign w:val="center"/>
                </w:tcPr>
                <w:p>
                  <w:pPr>
                    <w:pStyle w:val="37"/>
                  </w:pPr>
                  <w:r>
                    <w:t>3.2</w:t>
                  </w:r>
                </w:p>
              </w:tc>
              <w:tc>
                <w:tcPr>
                  <w:tcW w:w="481" w:type="pct"/>
                  <w:tcBorders>
                    <w:tl2br w:val="nil"/>
                    <w:tr2bl w:val="nil"/>
                  </w:tcBorders>
                  <w:vAlign w:val="center"/>
                </w:tcPr>
                <w:p>
                  <w:pPr>
                    <w:pStyle w:val="37"/>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SS</w:t>
                  </w:r>
                </w:p>
              </w:tc>
              <w:tc>
                <w:tcPr>
                  <w:tcW w:w="586" w:type="pct"/>
                  <w:tcBorders>
                    <w:tl2br w:val="nil"/>
                    <w:tr2bl w:val="nil"/>
                  </w:tcBorders>
                  <w:vAlign w:val="center"/>
                </w:tcPr>
                <w:p>
                  <w:pPr>
                    <w:pStyle w:val="37"/>
                  </w:pPr>
                  <w:r>
                    <w:t>17</w:t>
                  </w:r>
                </w:p>
              </w:tc>
              <w:tc>
                <w:tcPr>
                  <w:tcW w:w="586" w:type="pct"/>
                  <w:tcBorders>
                    <w:tl2br w:val="nil"/>
                    <w:tr2bl w:val="nil"/>
                  </w:tcBorders>
                  <w:vAlign w:val="center"/>
                </w:tcPr>
                <w:p>
                  <w:pPr>
                    <w:pStyle w:val="37"/>
                  </w:pPr>
                  <w:r>
                    <w:t>14</w:t>
                  </w:r>
                </w:p>
              </w:tc>
              <w:tc>
                <w:tcPr>
                  <w:tcW w:w="586" w:type="pct"/>
                  <w:tcBorders>
                    <w:tl2br w:val="nil"/>
                    <w:tr2bl w:val="nil"/>
                  </w:tcBorders>
                  <w:vAlign w:val="center"/>
                </w:tcPr>
                <w:p>
                  <w:pPr>
                    <w:pStyle w:val="37"/>
                  </w:pPr>
                  <w:r>
                    <w:t>15</w:t>
                  </w:r>
                </w:p>
              </w:tc>
              <w:tc>
                <w:tcPr>
                  <w:tcW w:w="586" w:type="pct"/>
                  <w:tcBorders>
                    <w:tl2br w:val="nil"/>
                    <w:tr2bl w:val="nil"/>
                  </w:tcBorders>
                  <w:vAlign w:val="center"/>
                </w:tcPr>
                <w:p>
                  <w:pPr>
                    <w:pStyle w:val="37"/>
                  </w:pPr>
                  <w:r>
                    <w:t>14</w:t>
                  </w:r>
                </w:p>
              </w:tc>
              <w:tc>
                <w:tcPr>
                  <w:tcW w:w="586" w:type="pct"/>
                  <w:tcBorders>
                    <w:tl2br w:val="nil"/>
                    <w:tr2bl w:val="nil"/>
                  </w:tcBorders>
                  <w:vAlign w:val="center"/>
                </w:tcPr>
                <w:p>
                  <w:pPr>
                    <w:pStyle w:val="37"/>
                  </w:pPr>
                  <w:r>
                    <w:t>15</w:t>
                  </w:r>
                </w:p>
              </w:tc>
              <w:tc>
                <w:tcPr>
                  <w:tcW w:w="588" w:type="pct"/>
                  <w:tcBorders>
                    <w:tl2br w:val="nil"/>
                    <w:tr2bl w:val="nil"/>
                  </w:tcBorders>
                  <w:vAlign w:val="center"/>
                </w:tcPr>
                <w:p>
                  <w:pPr>
                    <w:pStyle w:val="37"/>
                  </w:pPr>
                  <w:r>
                    <w:t>12</w:t>
                  </w:r>
                </w:p>
              </w:tc>
              <w:tc>
                <w:tcPr>
                  <w:tcW w:w="481" w:type="pct"/>
                  <w:tcBorders>
                    <w:tl2br w:val="nil"/>
                    <w:tr2bl w:val="nil"/>
                  </w:tcBorders>
                  <w:vAlign w:val="center"/>
                </w:tcPr>
                <w:p>
                  <w:pPr>
                    <w:pStyle w:val="37"/>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NH</w:t>
                  </w:r>
                  <w:r>
                    <w:rPr>
                      <w:vertAlign w:val="subscript"/>
                    </w:rPr>
                    <w:t>3</w:t>
                  </w:r>
                  <w:r>
                    <w:t>-N</w:t>
                  </w:r>
                </w:p>
              </w:tc>
              <w:tc>
                <w:tcPr>
                  <w:tcW w:w="586" w:type="pct"/>
                  <w:tcBorders>
                    <w:tl2br w:val="nil"/>
                    <w:tr2bl w:val="nil"/>
                  </w:tcBorders>
                  <w:vAlign w:val="center"/>
                </w:tcPr>
                <w:p>
                  <w:pPr>
                    <w:pStyle w:val="37"/>
                  </w:pPr>
                  <w:r>
                    <w:t>0.161</w:t>
                  </w:r>
                </w:p>
              </w:tc>
              <w:tc>
                <w:tcPr>
                  <w:tcW w:w="586" w:type="pct"/>
                  <w:tcBorders>
                    <w:tl2br w:val="nil"/>
                    <w:tr2bl w:val="nil"/>
                  </w:tcBorders>
                  <w:vAlign w:val="center"/>
                </w:tcPr>
                <w:p>
                  <w:pPr>
                    <w:pStyle w:val="37"/>
                  </w:pPr>
                  <w:r>
                    <w:t>0.775</w:t>
                  </w:r>
                </w:p>
              </w:tc>
              <w:tc>
                <w:tcPr>
                  <w:tcW w:w="586" w:type="pct"/>
                  <w:tcBorders>
                    <w:tl2br w:val="nil"/>
                    <w:tr2bl w:val="nil"/>
                  </w:tcBorders>
                  <w:vAlign w:val="center"/>
                </w:tcPr>
                <w:p>
                  <w:pPr>
                    <w:pStyle w:val="37"/>
                  </w:pPr>
                  <w:r>
                    <w:t>0.151</w:t>
                  </w:r>
                </w:p>
              </w:tc>
              <w:tc>
                <w:tcPr>
                  <w:tcW w:w="586" w:type="pct"/>
                  <w:tcBorders>
                    <w:tl2br w:val="nil"/>
                    <w:tr2bl w:val="nil"/>
                  </w:tcBorders>
                  <w:vAlign w:val="center"/>
                </w:tcPr>
                <w:p>
                  <w:pPr>
                    <w:pStyle w:val="37"/>
                  </w:pPr>
                  <w:r>
                    <w:t>0.117</w:t>
                  </w:r>
                </w:p>
              </w:tc>
              <w:tc>
                <w:tcPr>
                  <w:tcW w:w="586" w:type="pct"/>
                  <w:tcBorders>
                    <w:tl2br w:val="nil"/>
                    <w:tr2bl w:val="nil"/>
                  </w:tcBorders>
                  <w:vAlign w:val="center"/>
                </w:tcPr>
                <w:p>
                  <w:pPr>
                    <w:pStyle w:val="37"/>
                  </w:pPr>
                  <w:r>
                    <w:t>1.37</w:t>
                  </w:r>
                </w:p>
              </w:tc>
              <w:tc>
                <w:tcPr>
                  <w:tcW w:w="588" w:type="pct"/>
                  <w:tcBorders>
                    <w:tl2br w:val="nil"/>
                    <w:tr2bl w:val="nil"/>
                  </w:tcBorders>
                  <w:vAlign w:val="center"/>
                </w:tcPr>
                <w:p>
                  <w:pPr>
                    <w:pStyle w:val="37"/>
                  </w:pPr>
                  <w:r>
                    <w:t>0.209</w:t>
                  </w:r>
                </w:p>
              </w:tc>
              <w:tc>
                <w:tcPr>
                  <w:tcW w:w="481" w:type="pct"/>
                  <w:tcBorders>
                    <w:tl2br w:val="nil"/>
                    <w:tr2bl w:val="nil"/>
                  </w:tcBorders>
                  <w:vAlign w:val="center"/>
                </w:tcPr>
                <w:p>
                  <w:pPr>
                    <w:pStyle w:val="37"/>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TP</w:t>
                  </w:r>
                </w:p>
              </w:tc>
              <w:tc>
                <w:tcPr>
                  <w:tcW w:w="586" w:type="pct"/>
                  <w:tcBorders>
                    <w:tl2br w:val="nil"/>
                    <w:tr2bl w:val="nil"/>
                  </w:tcBorders>
                  <w:vAlign w:val="center"/>
                </w:tcPr>
                <w:p>
                  <w:pPr>
                    <w:pStyle w:val="37"/>
                  </w:pPr>
                  <w:r>
                    <w:t>0.11</w:t>
                  </w:r>
                </w:p>
              </w:tc>
              <w:tc>
                <w:tcPr>
                  <w:tcW w:w="586" w:type="pct"/>
                  <w:tcBorders>
                    <w:tl2br w:val="nil"/>
                    <w:tr2bl w:val="nil"/>
                  </w:tcBorders>
                  <w:vAlign w:val="center"/>
                </w:tcPr>
                <w:p>
                  <w:pPr>
                    <w:pStyle w:val="37"/>
                  </w:pPr>
                  <w:r>
                    <w:t>0.06</w:t>
                  </w:r>
                </w:p>
              </w:tc>
              <w:tc>
                <w:tcPr>
                  <w:tcW w:w="586" w:type="pct"/>
                  <w:tcBorders>
                    <w:tl2br w:val="nil"/>
                    <w:tr2bl w:val="nil"/>
                  </w:tcBorders>
                  <w:vAlign w:val="center"/>
                </w:tcPr>
                <w:p>
                  <w:pPr>
                    <w:pStyle w:val="37"/>
                  </w:pPr>
                  <w:r>
                    <w:t>0.10</w:t>
                  </w:r>
                </w:p>
              </w:tc>
              <w:tc>
                <w:tcPr>
                  <w:tcW w:w="586" w:type="pct"/>
                  <w:tcBorders>
                    <w:tl2br w:val="nil"/>
                    <w:tr2bl w:val="nil"/>
                  </w:tcBorders>
                  <w:vAlign w:val="center"/>
                </w:tcPr>
                <w:p>
                  <w:pPr>
                    <w:pStyle w:val="37"/>
                  </w:pPr>
                  <w:r>
                    <w:t>0.06</w:t>
                  </w:r>
                </w:p>
              </w:tc>
              <w:tc>
                <w:tcPr>
                  <w:tcW w:w="586" w:type="pct"/>
                  <w:tcBorders>
                    <w:tl2br w:val="nil"/>
                    <w:tr2bl w:val="nil"/>
                  </w:tcBorders>
                  <w:vAlign w:val="center"/>
                </w:tcPr>
                <w:p>
                  <w:pPr>
                    <w:pStyle w:val="37"/>
                  </w:pPr>
                  <w:r>
                    <w:t>0.25</w:t>
                  </w:r>
                </w:p>
              </w:tc>
              <w:tc>
                <w:tcPr>
                  <w:tcW w:w="588" w:type="pct"/>
                  <w:tcBorders>
                    <w:tl2br w:val="nil"/>
                    <w:tr2bl w:val="nil"/>
                  </w:tcBorders>
                  <w:vAlign w:val="center"/>
                </w:tcPr>
                <w:p>
                  <w:pPr>
                    <w:pStyle w:val="37"/>
                  </w:pPr>
                  <w:r>
                    <w:t>0.13</w:t>
                  </w:r>
                </w:p>
              </w:tc>
              <w:tc>
                <w:tcPr>
                  <w:tcW w:w="481" w:type="pct"/>
                  <w:tcBorders>
                    <w:tl2br w:val="nil"/>
                    <w:tr2bl w:val="nil"/>
                  </w:tcBorders>
                  <w:vAlign w:val="center"/>
                </w:tcPr>
                <w:p>
                  <w:pPr>
                    <w:pStyle w:val="37"/>
                  </w:pPr>
                  <w: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TN</w:t>
                  </w:r>
                </w:p>
              </w:tc>
              <w:tc>
                <w:tcPr>
                  <w:tcW w:w="586" w:type="pct"/>
                  <w:tcBorders>
                    <w:tl2br w:val="nil"/>
                    <w:tr2bl w:val="nil"/>
                  </w:tcBorders>
                  <w:vAlign w:val="center"/>
                </w:tcPr>
                <w:p>
                  <w:pPr>
                    <w:pStyle w:val="37"/>
                  </w:pPr>
                  <w:r>
                    <w:t>4.57</w:t>
                  </w:r>
                </w:p>
              </w:tc>
              <w:tc>
                <w:tcPr>
                  <w:tcW w:w="586" w:type="pct"/>
                  <w:tcBorders>
                    <w:tl2br w:val="nil"/>
                    <w:tr2bl w:val="nil"/>
                  </w:tcBorders>
                  <w:vAlign w:val="center"/>
                </w:tcPr>
                <w:p>
                  <w:pPr>
                    <w:pStyle w:val="37"/>
                  </w:pPr>
                  <w:r>
                    <w:t>6.54</w:t>
                  </w:r>
                </w:p>
              </w:tc>
              <w:tc>
                <w:tcPr>
                  <w:tcW w:w="586" w:type="pct"/>
                  <w:tcBorders>
                    <w:tl2br w:val="nil"/>
                    <w:tr2bl w:val="nil"/>
                  </w:tcBorders>
                  <w:vAlign w:val="center"/>
                </w:tcPr>
                <w:p>
                  <w:pPr>
                    <w:pStyle w:val="37"/>
                  </w:pPr>
                  <w:r>
                    <w:t>4.37</w:t>
                  </w:r>
                </w:p>
              </w:tc>
              <w:tc>
                <w:tcPr>
                  <w:tcW w:w="586" w:type="pct"/>
                  <w:tcBorders>
                    <w:tl2br w:val="nil"/>
                    <w:tr2bl w:val="nil"/>
                  </w:tcBorders>
                  <w:vAlign w:val="center"/>
                </w:tcPr>
                <w:p>
                  <w:pPr>
                    <w:pStyle w:val="37"/>
                  </w:pPr>
                  <w:r>
                    <w:t>3.67</w:t>
                  </w:r>
                </w:p>
              </w:tc>
              <w:tc>
                <w:tcPr>
                  <w:tcW w:w="586" w:type="pct"/>
                  <w:tcBorders>
                    <w:tl2br w:val="nil"/>
                    <w:tr2bl w:val="nil"/>
                  </w:tcBorders>
                  <w:vAlign w:val="center"/>
                </w:tcPr>
                <w:p>
                  <w:pPr>
                    <w:pStyle w:val="37"/>
                  </w:pPr>
                  <w:r>
                    <w:t>6.33</w:t>
                  </w:r>
                </w:p>
              </w:tc>
              <w:tc>
                <w:tcPr>
                  <w:tcW w:w="588" w:type="pct"/>
                  <w:tcBorders>
                    <w:tl2br w:val="nil"/>
                    <w:tr2bl w:val="nil"/>
                  </w:tcBorders>
                  <w:vAlign w:val="center"/>
                </w:tcPr>
                <w:p>
                  <w:pPr>
                    <w:pStyle w:val="37"/>
                  </w:pPr>
                  <w:r>
                    <w:t>4.77</w:t>
                  </w:r>
                </w:p>
              </w:tc>
              <w:tc>
                <w:tcPr>
                  <w:tcW w:w="481" w:type="pct"/>
                  <w:tcBorders>
                    <w:tl2br w:val="nil"/>
                    <w:tr2bl w:val="nil"/>
                  </w:tcBorders>
                  <w:vAlign w:val="center"/>
                </w:tcPr>
                <w:p>
                  <w:pPr>
                    <w:pStyle w:val="37"/>
                  </w:pPr>
                  <w:r>
                    <w:t>/</w:t>
                  </w:r>
                </w:p>
              </w:tc>
            </w:tr>
            <w:tr>
              <w:tblPrEx>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石油类</w:t>
                  </w:r>
                </w:p>
              </w:tc>
              <w:tc>
                <w:tcPr>
                  <w:tcW w:w="586" w:type="pct"/>
                  <w:tcBorders>
                    <w:tl2br w:val="nil"/>
                    <w:tr2bl w:val="nil"/>
                  </w:tcBorders>
                  <w:vAlign w:val="center"/>
                </w:tcPr>
                <w:p>
                  <w:pPr>
                    <w:pStyle w:val="37"/>
                  </w:pPr>
                  <w:r>
                    <w:t>0.02</w:t>
                  </w:r>
                </w:p>
              </w:tc>
              <w:tc>
                <w:tcPr>
                  <w:tcW w:w="586" w:type="pct"/>
                  <w:tcBorders>
                    <w:tl2br w:val="nil"/>
                    <w:tr2bl w:val="nil"/>
                  </w:tcBorders>
                  <w:vAlign w:val="center"/>
                </w:tcPr>
                <w:p>
                  <w:pPr>
                    <w:pStyle w:val="37"/>
                  </w:pPr>
                  <w:r>
                    <w:t>0.02</w:t>
                  </w:r>
                </w:p>
              </w:tc>
              <w:tc>
                <w:tcPr>
                  <w:tcW w:w="586" w:type="pct"/>
                  <w:tcBorders>
                    <w:tl2br w:val="nil"/>
                    <w:tr2bl w:val="nil"/>
                  </w:tcBorders>
                  <w:vAlign w:val="center"/>
                </w:tcPr>
                <w:p>
                  <w:pPr>
                    <w:pStyle w:val="37"/>
                  </w:pPr>
                  <w:r>
                    <w:t>0.02</w:t>
                  </w:r>
                </w:p>
              </w:tc>
              <w:tc>
                <w:tcPr>
                  <w:tcW w:w="586" w:type="pct"/>
                  <w:tcBorders>
                    <w:tl2br w:val="nil"/>
                    <w:tr2bl w:val="nil"/>
                  </w:tcBorders>
                  <w:vAlign w:val="center"/>
                </w:tcPr>
                <w:p>
                  <w:pPr>
                    <w:pStyle w:val="37"/>
                  </w:pPr>
                  <w:r>
                    <w:t>0.01L</w:t>
                  </w:r>
                </w:p>
              </w:tc>
              <w:tc>
                <w:tcPr>
                  <w:tcW w:w="586" w:type="pct"/>
                  <w:tcBorders>
                    <w:tl2br w:val="nil"/>
                    <w:tr2bl w:val="nil"/>
                  </w:tcBorders>
                  <w:vAlign w:val="center"/>
                </w:tcPr>
                <w:p>
                  <w:pPr>
                    <w:pStyle w:val="37"/>
                  </w:pPr>
                  <w:r>
                    <w:t>0.01</w:t>
                  </w:r>
                </w:p>
              </w:tc>
              <w:tc>
                <w:tcPr>
                  <w:tcW w:w="588" w:type="pct"/>
                  <w:tcBorders>
                    <w:tl2br w:val="nil"/>
                    <w:tr2bl w:val="nil"/>
                  </w:tcBorders>
                  <w:vAlign w:val="center"/>
                </w:tcPr>
                <w:p>
                  <w:pPr>
                    <w:pStyle w:val="37"/>
                  </w:pPr>
                  <w:r>
                    <w:t>0.02</w:t>
                  </w:r>
                </w:p>
              </w:tc>
              <w:tc>
                <w:tcPr>
                  <w:tcW w:w="481" w:type="pct"/>
                  <w:tcBorders>
                    <w:tl2br w:val="nil"/>
                    <w:tr2bl w:val="nil"/>
                  </w:tcBorders>
                  <w:vAlign w:val="center"/>
                </w:tcPr>
                <w:p>
                  <w:pPr>
                    <w:pStyle w:val="37"/>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氟化物</w:t>
                  </w:r>
                </w:p>
              </w:tc>
              <w:tc>
                <w:tcPr>
                  <w:tcW w:w="586" w:type="pct"/>
                  <w:tcBorders>
                    <w:tl2br w:val="nil"/>
                    <w:tr2bl w:val="nil"/>
                  </w:tcBorders>
                  <w:vAlign w:val="center"/>
                </w:tcPr>
                <w:p>
                  <w:pPr>
                    <w:pStyle w:val="37"/>
                  </w:pPr>
                  <w:r>
                    <w:t>0.34</w:t>
                  </w:r>
                </w:p>
              </w:tc>
              <w:tc>
                <w:tcPr>
                  <w:tcW w:w="586" w:type="pct"/>
                  <w:tcBorders>
                    <w:tl2br w:val="nil"/>
                    <w:tr2bl w:val="nil"/>
                  </w:tcBorders>
                  <w:vAlign w:val="center"/>
                </w:tcPr>
                <w:p>
                  <w:pPr>
                    <w:pStyle w:val="37"/>
                  </w:pPr>
                  <w:r>
                    <w:t>0.62</w:t>
                  </w:r>
                </w:p>
              </w:tc>
              <w:tc>
                <w:tcPr>
                  <w:tcW w:w="586" w:type="pct"/>
                  <w:tcBorders>
                    <w:tl2br w:val="nil"/>
                    <w:tr2bl w:val="nil"/>
                  </w:tcBorders>
                  <w:vAlign w:val="center"/>
                </w:tcPr>
                <w:p>
                  <w:pPr>
                    <w:pStyle w:val="37"/>
                  </w:pPr>
                  <w:r>
                    <w:t>0.45</w:t>
                  </w:r>
                </w:p>
              </w:tc>
              <w:tc>
                <w:tcPr>
                  <w:tcW w:w="586" w:type="pct"/>
                  <w:tcBorders>
                    <w:tl2br w:val="nil"/>
                    <w:tr2bl w:val="nil"/>
                  </w:tcBorders>
                  <w:vAlign w:val="center"/>
                </w:tcPr>
                <w:p>
                  <w:pPr>
                    <w:pStyle w:val="37"/>
                  </w:pPr>
                  <w:r>
                    <w:t>0.43</w:t>
                  </w:r>
                </w:p>
              </w:tc>
              <w:tc>
                <w:tcPr>
                  <w:tcW w:w="586" w:type="pct"/>
                  <w:tcBorders>
                    <w:tl2br w:val="nil"/>
                    <w:tr2bl w:val="nil"/>
                  </w:tcBorders>
                  <w:vAlign w:val="center"/>
                </w:tcPr>
                <w:p>
                  <w:pPr>
                    <w:pStyle w:val="37"/>
                  </w:pPr>
                  <w:r>
                    <w:t>0.40</w:t>
                  </w:r>
                </w:p>
              </w:tc>
              <w:tc>
                <w:tcPr>
                  <w:tcW w:w="588" w:type="pct"/>
                  <w:tcBorders>
                    <w:tl2br w:val="nil"/>
                    <w:tr2bl w:val="nil"/>
                  </w:tcBorders>
                  <w:vAlign w:val="center"/>
                </w:tcPr>
                <w:p>
                  <w:pPr>
                    <w:pStyle w:val="37"/>
                  </w:pPr>
                  <w:r>
                    <w:t>0.62</w:t>
                  </w:r>
                </w:p>
              </w:tc>
              <w:tc>
                <w:tcPr>
                  <w:tcW w:w="481" w:type="pct"/>
                  <w:tcBorders>
                    <w:tl2br w:val="nil"/>
                    <w:tr2bl w:val="nil"/>
                  </w:tcBorders>
                  <w:vAlign w:val="center"/>
                </w:tcPr>
                <w:p>
                  <w:pPr>
                    <w:pStyle w:val="37"/>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铬</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8" w:type="pct"/>
                  <w:tcBorders>
                    <w:tl2br w:val="nil"/>
                    <w:tr2bl w:val="nil"/>
                  </w:tcBorders>
                  <w:vAlign w:val="center"/>
                </w:tcPr>
                <w:p>
                  <w:pPr>
                    <w:pStyle w:val="37"/>
                  </w:pPr>
                  <w:r>
                    <w:t>0.03L</w:t>
                  </w:r>
                </w:p>
              </w:tc>
              <w:tc>
                <w:tcPr>
                  <w:tcW w:w="481" w:type="pct"/>
                  <w:tcBorders>
                    <w:tl2br w:val="nil"/>
                    <w:tr2bl w:val="nil"/>
                  </w:tcBorders>
                  <w:vAlign w:val="center"/>
                </w:tcPr>
                <w:p>
                  <w:pPr>
                    <w:pStyle w:val="37"/>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砷</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8" w:type="pct"/>
                  <w:tcBorders>
                    <w:tl2br w:val="nil"/>
                    <w:tr2bl w:val="nil"/>
                  </w:tcBorders>
                  <w:vAlign w:val="center"/>
                </w:tcPr>
                <w:p>
                  <w:pPr>
                    <w:pStyle w:val="37"/>
                  </w:pPr>
                  <w:r>
                    <w:t>3×10</w:t>
                  </w:r>
                  <w:r>
                    <w:rPr>
                      <w:vertAlign w:val="superscript"/>
                    </w:rPr>
                    <w:t>-4</w:t>
                  </w:r>
                  <w:r>
                    <w:t>L</w:t>
                  </w:r>
                </w:p>
              </w:tc>
              <w:tc>
                <w:tcPr>
                  <w:tcW w:w="481" w:type="pct"/>
                  <w:tcBorders>
                    <w:tl2br w:val="nil"/>
                    <w:tr2bl w:val="nil"/>
                  </w:tcBorders>
                  <w:vAlign w:val="center"/>
                </w:tcPr>
                <w:p>
                  <w:pPr>
                    <w:pStyle w:val="37"/>
                  </w:pPr>
                  <w: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汞</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8" w:type="pct"/>
                  <w:tcBorders>
                    <w:tl2br w:val="nil"/>
                    <w:tr2bl w:val="nil"/>
                  </w:tcBorders>
                  <w:vAlign w:val="center"/>
                </w:tcPr>
                <w:p>
                  <w:pPr>
                    <w:pStyle w:val="37"/>
                  </w:pPr>
                  <w:r>
                    <w:t>4×10</w:t>
                  </w:r>
                  <w:r>
                    <w:rPr>
                      <w:vertAlign w:val="superscript"/>
                    </w:rPr>
                    <w:t>-5</w:t>
                  </w:r>
                  <w:r>
                    <w:t>L</w:t>
                  </w:r>
                </w:p>
              </w:tc>
              <w:tc>
                <w:tcPr>
                  <w:tcW w:w="481" w:type="pct"/>
                  <w:tcBorders>
                    <w:tl2br w:val="nil"/>
                    <w:tr2bl w:val="nil"/>
                  </w:tcBorders>
                  <w:vAlign w:val="center"/>
                </w:tcPr>
                <w:p>
                  <w:pPr>
                    <w:pStyle w:val="37"/>
                  </w:pPr>
                  <w: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铅</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8" w:type="pct"/>
                  <w:tcBorders>
                    <w:tl2br w:val="nil"/>
                    <w:tr2bl w:val="nil"/>
                  </w:tcBorders>
                  <w:vAlign w:val="center"/>
                </w:tcPr>
                <w:p>
                  <w:pPr>
                    <w:pStyle w:val="37"/>
                  </w:pPr>
                  <w:r>
                    <w:t>1×10</w:t>
                  </w:r>
                  <w:r>
                    <w:rPr>
                      <w:vertAlign w:val="superscript"/>
                    </w:rPr>
                    <w:t>-3</w:t>
                  </w:r>
                  <w:r>
                    <w:t>L</w:t>
                  </w:r>
                </w:p>
              </w:tc>
              <w:tc>
                <w:tcPr>
                  <w:tcW w:w="481" w:type="pct"/>
                  <w:tcBorders>
                    <w:tl2br w:val="nil"/>
                    <w:tr2bl w:val="nil"/>
                  </w:tcBorders>
                  <w:vAlign w:val="center"/>
                </w:tcPr>
                <w:p>
                  <w:pPr>
                    <w:pStyle w:val="37"/>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镉</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8" w:type="pct"/>
                  <w:tcBorders>
                    <w:tl2br w:val="nil"/>
                    <w:tr2bl w:val="nil"/>
                  </w:tcBorders>
                  <w:vAlign w:val="center"/>
                </w:tcPr>
                <w:p>
                  <w:pPr>
                    <w:pStyle w:val="37"/>
                  </w:pPr>
                  <w:r>
                    <w:t>1×10</w:t>
                  </w:r>
                  <w:r>
                    <w:rPr>
                      <w:vertAlign w:val="superscript"/>
                    </w:rPr>
                    <w:t>-4</w:t>
                  </w:r>
                  <w:r>
                    <w:t>L</w:t>
                  </w:r>
                </w:p>
              </w:tc>
              <w:tc>
                <w:tcPr>
                  <w:tcW w:w="481" w:type="pct"/>
                  <w:tcBorders>
                    <w:tl2br w:val="nil"/>
                    <w:tr2bl w:val="nil"/>
                  </w:tcBorders>
                  <w:vAlign w:val="center"/>
                </w:tcPr>
                <w:p>
                  <w:pPr>
                    <w:pStyle w:val="37"/>
                  </w:pPr>
                  <w: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trPr>
              <w:tc>
                <w:tcPr>
                  <w:tcW w:w="453" w:type="pct"/>
                  <w:vMerge w:val="restart"/>
                  <w:tcBorders>
                    <w:tl2br w:val="nil"/>
                    <w:tr2bl w:val="nil"/>
                  </w:tcBorders>
                  <w:vAlign w:val="center"/>
                </w:tcPr>
                <w:p>
                  <w:pPr>
                    <w:pStyle w:val="37"/>
                  </w:pPr>
                  <w:r>
                    <w:t>2021年</w:t>
                  </w:r>
                </w:p>
                <w:p>
                  <w:pPr>
                    <w:pStyle w:val="37"/>
                  </w:pPr>
                  <w:r>
                    <w:t>11月5日</w:t>
                  </w:r>
                </w:p>
              </w:tc>
              <w:tc>
                <w:tcPr>
                  <w:tcW w:w="545" w:type="pct"/>
                  <w:tcBorders>
                    <w:tl2br w:val="nil"/>
                    <w:tr2bl w:val="nil"/>
                  </w:tcBorders>
                  <w:vAlign w:val="center"/>
                </w:tcPr>
                <w:p>
                  <w:pPr>
                    <w:pStyle w:val="37"/>
                  </w:pPr>
                  <w:r>
                    <w:t>pH值</w:t>
                  </w:r>
                </w:p>
              </w:tc>
              <w:tc>
                <w:tcPr>
                  <w:tcW w:w="586" w:type="pct"/>
                  <w:tcBorders>
                    <w:tl2br w:val="nil"/>
                    <w:tr2bl w:val="nil"/>
                  </w:tcBorders>
                  <w:vAlign w:val="center"/>
                </w:tcPr>
                <w:p>
                  <w:pPr>
                    <w:pStyle w:val="37"/>
                  </w:pPr>
                  <w:r>
                    <w:t>7.2</w:t>
                  </w:r>
                </w:p>
              </w:tc>
              <w:tc>
                <w:tcPr>
                  <w:tcW w:w="586" w:type="pct"/>
                  <w:tcBorders>
                    <w:tl2br w:val="nil"/>
                    <w:tr2bl w:val="nil"/>
                  </w:tcBorders>
                  <w:vAlign w:val="center"/>
                </w:tcPr>
                <w:p>
                  <w:pPr>
                    <w:pStyle w:val="37"/>
                  </w:pPr>
                  <w:r>
                    <w:t>7.4</w:t>
                  </w:r>
                </w:p>
              </w:tc>
              <w:tc>
                <w:tcPr>
                  <w:tcW w:w="586" w:type="pct"/>
                  <w:tcBorders>
                    <w:tl2br w:val="nil"/>
                    <w:tr2bl w:val="nil"/>
                  </w:tcBorders>
                  <w:vAlign w:val="center"/>
                </w:tcPr>
                <w:p>
                  <w:pPr>
                    <w:pStyle w:val="37"/>
                  </w:pPr>
                  <w:r>
                    <w:t>7.4</w:t>
                  </w:r>
                </w:p>
              </w:tc>
              <w:tc>
                <w:tcPr>
                  <w:tcW w:w="586" w:type="pct"/>
                  <w:tcBorders>
                    <w:tl2br w:val="nil"/>
                    <w:tr2bl w:val="nil"/>
                  </w:tcBorders>
                  <w:vAlign w:val="center"/>
                </w:tcPr>
                <w:p>
                  <w:pPr>
                    <w:pStyle w:val="37"/>
                  </w:pPr>
                  <w:r>
                    <w:t>7.1</w:t>
                  </w:r>
                </w:p>
              </w:tc>
              <w:tc>
                <w:tcPr>
                  <w:tcW w:w="586" w:type="pct"/>
                  <w:tcBorders>
                    <w:tl2br w:val="nil"/>
                    <w:tr2bl w:val="nil"/>
                  </w:tcBorders>
                  <w:vAlign w:val="center"/>
                </w:tcPr>
                <w:p>
                  <w:pPr>
                    <w:pStyle w:val="37"/>
                  </w:pPr>
                  <w:r>
                    <w:t>7.0</w:t>
                  </w:r>
                </w:p>
              </w:tc>
              <w:tc>
                <w:tcPr>
                  <w:tcW w:w="588" w:type="pct"/>
                  <w:tcBorders>
                    <w:tl2br w:val="nil"/>
                    <w:tr2bl w:val="nil"/>
                  </w:tcBorders>
                  <w:vAlign w:val="center"/>
                </w:tcPr>
                <w:p>
                  <w:pPr>
                    <w:pStyle w:val="37"/>
                  </w:pPr>
                  <w:r>
                    <w:t>7.2</w:t>
                  </w:r>
                </w:p>
              </w:tc>
              <w:tc>
                <w:tcPr>
                  <w:tcW w:w="481" w:type="pct"/>
                  <w:tcBorders>
                    <w:tl2br w:val="nil"/>
                    <w:tr2bl w:val="nil"/>
                  </w:tcBorders>
                  <w:vAlign w:val="center"/>
                </w:tcPr>
                <w:p>
                  <w:pPr>
                    <w:pStyle w:val="37"/>
                  </w:pPr>
                  <w:r>
                    <w:t>6~9</w:t>
                  </w:r>
                </w:p>
              </w:tc>
            </w:tr>
            <w:tr>
              <w:tblPrEx>
                <w:tblCellMar>
                  <w:top w:w="0" w:type="dxa"/>
                  <w:left w:w="0" w:type="dxa"/>
                  <w:bottom w:w="0" w:type="dxa"/>
                  <w:right w:w="0" w:type="dxa"/>
                </w:tblCellMar>
              </w:tblPrEx>
              <w:trPr>
                <w:trHeight w:val="242"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COD</w:t>
                  </w:r>
                  <w:r>
                    <w:rPr>
                      <w:vertAlign w:val="subscript"/>
                    </w:rPr>
                    <w:t>Cr</w:t>
                  </w:r>
                </w:p>
              </w:tc>
              <w:tc>
                <w:tcPr>
                  <w:tcW w:w="586" w:type="pct"/>
                  <w:tcBorders>
                    <w:tl2br w:val="nil"/>
                    <w:tr2bl w:val="nil"/>
                  </w:tcBorders>
                  <w:vAlign w:val="center"/>
                </w:tcPr>
                <w:p>
                  <w:pPr>
                    <w:pStyle w:val="37"/>
                  </w:pPr>
                  <w:r>
                    <w:t>16</w:t>
                  </w:r>
                </w:p>
              </w:tc>
              <w:tc>
                <w:tcPr>
                  <w:tcW w:w="586" w:type="pct"/>
                  <w:tcBorders>
                    <w:tl2br w:val="nil"/>
                    <w:tr2bl w:val="nil"/>
                  </w:tcBorders>
                  <w:vAlign w:val="center"/>
                </w:tcPr>
                <w:p>
                  <w:pPr>
                    <w:pStyle w:val="37"/>
                  </w:pPr>
                  <w:r>
                    <w:t>19</w:t>
                  </w:r>
                </w:p>
              </w:tc>
              <w:tc>
                <w:tcPr>
                  <w:tcW w:w="586" w:type="pct"/>
                  <w:tcBorders>
                    <w:tl2br w:val="nil"/>
                    <w:tr2bl w:val="nil"/>
                  </w:tcBorders>
                  <w:vAlign w:val="center"/>
                </w:tcPr>
                <w:p>
                  <w:pPr>
                    <w:pStyle w:val="37"/>
                  </w:pPr>
                  <w:r>
                    <w:t>14</w:t>
                  </w:r>
                </w:p>
              </w:tc>
              <w:tc>
                <w:tcPr>
                  <w:tcW w:w="586" w:type="pct"/>
                  <w:tcBorders>
                    <w:tl2br w:val="nil"/>
                    <w:tr2bl w:val="nil"/>
                  </w:tcBorders>
                  <w:vAlign w:val="center"/>
                </w:tcPr>
                <w:p>
                  <w:pPr>
                    <w:pStyle w:val="37"/>
                  </w:pPr>
                  <w:r>
                    <w:t>17</w:t>
                  </w:r>
                </w:p>
              </w:tc>
              <w:tc>
                <w:tcPr>
                  <w:tcW w:w="586" w:type="pct"/>
                  <w:tcBorders>
                    <w:tl2br w:val="nil"/>
                    <w:tr2bl w:val="nil"/>
                  </w:tcBorders>
                  <w:vAlign w:val="center"/>
                </w:tcPr>
                <w:p>
                  <w:pPr>
                    <w:pStyle w:val="37"/>
                  </w:pPr>
                  <w:r>
                    <w:t>23</w:t>
                  </w:r>
                </w:p>
              </w:tc>
              <w:tc>
                <w:tcPr>
                  <w:tcW w:w="588" w:type="pct"/>
                  <w:tcBorders>
                    <w:tl2br w:val="nil"/>
                    <w:tr2bl w:val="nil"/>
                  </w:tcBorders>
                  <w:vAlign w:val="center"/>
                </w:tcPr>
                <w:p>
                  <w:pPr>
                    <w:pStyle w:val="37"/>
                  </w:pPr>
                  <w:r>
                    <w:t>16</w:t>
                  </w:r>
                </w:p>
              </w:tc>
              <w:tc>
                <w:tcPr>
                  <w:tcW w:w="481" w:type="pct"/>
                  <w:tcBorders>
                    <w:tl2br w:val="nil"/>
                    <w:tr2bl w:val="nil"/>
                  </w:tcBorders>
                  <w:vAlign w:val="center"/>
                </w:tcPr>
                <w:p>
                  <w:pPr>
                    <w:pStyle w:val="37"/>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BOD</w:t>
                  </w:r>
                  <w:r>
                    <w:rPr>
                      <w:vertAlign w:val="subscript"/>
                    </w:rPr>
                    <w:t>5</w:t>
                  </w:r>
                </w:p>
              </w:tc>
              <w:tc>
                <w:tcPr>
                  <w:tcW w:w="586" w:type="pct"/>
                  <w:tcBorders>
                    <w:tl2br w:val="nil"/>
                    <w:tr2bl w:val="nil"/>
                  </w:tcBorders>
                  <w:vAlign w:val="center"/>
                </w:tcPr>
                <w:p>
                  <w:pPr>
                    <w:pStyle w:val="37"/>
                  </w:pPr>
                  <w:r>
                    <w:t>3.2</w:t>
                  </w:r>
                </w:p>
              </w:tc>
              <w:tc>
                <w:tcPr>
                  <w:tcW w:w="586" w:type="pct"/>
                  <w:tcBorders>
                    <w:tl2br w:val="nil"/>
                    <w:tr2bl w:val="nil"/>
                  </w:tcBorders>
                  <w:vAlign w:val="center"/>
                </w:tcPr>
                <w:p>
                  <w:pPr>
                    <w:pStyle w:val="37"/>
                  </w:pPr>
                  <w:r>
                    <w:t>3.7</w:t>
                  </w:r>
                </w:p>
              </w:tc>
              <w:tc>
                <w:tcPr>
                  <w:tcW w:w="586" w:type="pct"/>
                  <w:tcBorders>
                    <w:tl2br w:val="nil"/>
                    <w:tr2bl w:val="nil"/>
                  </w:tcBorders>
                  <w:vAlign w:val="center"/>
                </w:tcPr>
                <w:p>
                  <w:pPr>
                    <w:pStyle w:val="37"/>
                  </w:pPr>
                  <w:r>
                    <w:t>2.7</w:t>
                  </w:r>
                </w:p>
              </w:tc>
              <w:tc>
                <w:tcPr>
                  <w:tcW w:w="586" w:type="pct"/>
                  <w:tcBorders>
                    <w:tl2br w:val="nil"/>
                    <w:tr2bl w:val="nil"/>
                  </w:tcBorders>
                  <w:vAlign w:val="center"/>
                </w:tcPr>
                <w:p>
                  <w:pPr>
                    <w:pStyle w:val="37"/>
                  </w:pPr>
                  <w:r>
                    <w:t>3.2</w:t>
                  </w:r>
                </w:p>
              </w:tc>
              <w:tc>
                <w:tcPr>
                  <w:tcW w:w="586" w:type="pct"/>
                  <w:tcBorders>
                    <w:tl2br w:val="nil"/>
                    <w:tr2bl w:val="nil"/>
                  </w:tcBorders>
                  <w:vAlign w:val="center"/>
                </w:tcPr>
                <w:p>
                  <w:pPr>
                    <w:pStyle w:val="37"/>
                  </w:pPr>
                  <w:r>
                    <w:t>4.7</w:t>
                  </w:r>
                </w:p>
              </w:tc>
              <w:tc>
                <w:tcPr>
                  <w:tcW w:w="588" w:type="pct"/>
                  <w:tcBorders>
                    <w:tl2br w:val="nil"/>
                    <w:tr2bl w:val="nil"/>
                  </w:tcBorders>
                  <w:vAlign w:val="center"/>
                </w:tcPr>
                <w:p>
                  <w:pPr>
                    <w:pStyle w:val="37"/>
                  </w:pPr>
                  <w:r>
                    <w:t>3.1</w:t>
                  </w:r>
                </w:p>
              </w:tc>
              <w:tc>
                <w:tcPr>
                  <w:tcW w:w="481" w:type="pct"/>
                  <w:tcBorders>
                    <w:tl2br w:val="nil"/>
                    <w:tr2bl w:val="nil"/>
                  </w:tcBorders>
                  <w:vAlign w:val="center"/>
                </w:tcPr>
                <w:p>
                  <w:pPr>
                    <w:pStyle w:val="37"/>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SS</w:t>
                  </w:r>
                </w:p>
              </w:tc>
              <w:tc>
                <w:tcPr>
                  <w:tcW w:w="586" w:type="pct"/>
                  <w:tcBorders>
                    <w:tl2br w:val="nil"/>
                    <w:tr2bl w:val="nil"/>
                  </w:tcBorders>
                  <w:vAlign w:val="center"/>
                </w:tcPr>
                <w:p>
                  <w:pPr>
                    <w:pStyle w:val="37"/>
                  </w:pPr>
                  <w:r>
                    <w:t>18</w:t>
                  </w:r>
                </w:p>
              </w:tc>
              <w:tc>
                <w:tcPr>
                  <w:tcW w:w="586" w:type="pct"/>
                  <w:tcBorders>
                    <w:tl2br w:val="nil"/>
                    <w:tr2bl w:val="nil"/>
                  </w:tcBorders>
                  <w:vAlign w:val="center"/>
                </w:tcPr>
                <w:p>
                  <w:pPr>
                    <w:pStyle w:val="37"/>
                  </w:pPr>
                  <w:r>
                    <w:t>16</w:t>
                  </w:r>
                </w:p>
              </w:tc>
              <w:tc>
                <w:tcPr>
                  <w:tcW w:w="586" w:type="pct"/>
                  <w:tcBorders>
                    <w:tl2br w:val="nil"/>
                    <w:tr2bl w:val="nil"/>
                  </w:tcBorders>
                  <w:vAlign w:val="center"/>
                </w:tcPr>
                <w:p>
                  <w:pPr>
                    <w:pStyle w:val="37"/>
                  </w:pPr>
                  <w:r>
                    <w:t>13</w:t>
                  </w:r>
                </w:p>
              </w:tc>
              <w:tc>
                <w:tcPr>
                  <w:tcW w:w="586" w:type="pct"/>
                  <w:tcBorders>
                    <w:tl2br w:val="nil"/>
                    <w:tr2bl w:val="nil"/>
                  </w:tcBorders>
                  <w:vAlign w:val="center"/>
                </w:tcPr>
                <w:p>
                  <w:pPr>
                    <w:pStyle w:val="37"/>
                  </w:pPr>
                  <w:r>
                    <w:t>15</w:t>
                  </w:r>
                </w:p>
              </w:tc>
              <w:tc>
                <w:tcPr>
                  <w:tcW w:w="586" w:type="pct"/>
                  <w:tcBorders>
                    <w:tl2br w:val="nil"/>
                    <w:tr2bl w:val="nil"/>
                  </w:tcBorders>
                  <w:vAlign w:val="center"/>
                </w:tcPr>
                <w:p>
                  <w:pPr>
                    <w:pStyle w:val="37"/>
                  </w:pPr>
                  <w:r>
                    <w:t>16</w:t>
                  </w:r>
                </w:p>
              </w:tc>
              <w:tc>
                <w:tcPr>
                  <w:tcW w:w="588" w:type="pct"/>
                  <w:tcBorders>
                    <w:tl2br w:val="nil"/>
                    <w:tr2bl w:val="nil"/>
                  </w:tcBorders>
                  <w:vAlign w:val="center"/>
                </w:tcPr>
                <w:p>
                  <w:pPr>
                    <w:pStyle w:val="37"/>
                  </w:pPr>
                  <w:r>
                    <w:t>13</w:t>
                  </w:r>
                </w:p>
              </w:tc>
              <w:tc>
                <w:tcPr>
                  <w:tcW w:w="481" w:type="pct"/>
                  <w:tcBorders>
                    <w:tl2br w:val="nil"/>
                    <w:tr2bl w:val="nil"/>
                  </w:tcBorders>
                  <w:vAlign w:val="center"/>
                </w:tcPr>
                <w:p>
                  <w:pPr>
                    <w:pStyle w:val="37"/>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NH</w:t>
                  </w:r>
                  <w:r>
                    <w:rPr>
                      <w:vertAlign w:val="subscript"/>
                    </w:rPr>
                    <w:t>3</w:t>
                  </w:r>
                  <w:r>
                    <w:t>-N</w:t>
                  </w:r>
                </w:p>
              </w:tc>
              <w:tc>
                <w:tcPr>
                  <w:tcW w:w="586" w:type="pct"/>
                  <w:tcBorders>
                    <w:tl2br w:val="nil"/>
                    <w:tr2bl w:val="nil"/>
                  </w:tcBorders>
                  <w:vAlign w:val="center"/>
                </w:tcPr>
                <w:p>
                  <w:pPr>
                    <w:pStyle w:val="37"/>
                  </w:pPr>
                  <w:r>
                    <w:t>0.178</w:t>
                  </w:r>
                </w:p>
              </w:tc>
              <w:tc>
                <w:tcPr>
                  <w:tcW w:w="586" w:type="pct"/>
                  <w:tcBorders>
                    <w:tl2br w:val="nil"/>
                    <w:tr2bl w:val="nil"/>
                  </w:tcBorders>
                  <w:vAlign w:val="center"/>
                </w:tcPr>
                <w:p>
                  <w:pPr>
                    <w:pStyle w:val="37"/>
                  </w:pPr>
                  <w:r>
                    <w:t>0.769</w:t>
                  </w:r>
                </w:p>
              </w:tc>
              <w:tc>
                <w:tcPr>
                  <w:tcW w:w="586" w:type="pct"/>
                  <w:tcBorders>
                    <w:tl2br w:val="nil"/>
                    <w:tr2bl w:val="nil"/>
                  </w:tcBorders>
                  <w:vAlign w:val="center"/>
                </w:tcPr>
                <w:p>
                  <w:pPr>
                    <w:pStyle w:val="37"/>
                  </w:pPr>
                  <w:r>
                    <w:t>0.135</w:t>
                  </w:r>
                </w:p>
              </w:tc>
              <w:tc>
                <w:tcPr>
                  <w:tcW w:w="586" w:type="pct"/>
                  <w:tcBorders>
                    <w:tl2br w:val="nil"/>
                    <w:tr2bl w:val="nil"/>
                  </w:tcBorders>
                  <w:vAlign w:val="center"/>
                </w:tcPr>
                <w:p>
                  <w:pPr>
                    <w:pStyle w:val="37"/>
                  </w:pPr>
                  <w:r>
                    <w:t>0.126</w:t>
                  </w:r>
                </w:p>
              </w:tc>
              <w:tc>
                <w:tcPr>
                  <w:tcW w:w="586" w:type="pct"/>
                  <w:tcBorders>
                    <w:tl2br w:val="nil"/>
                    <w:tr2bl w:val="nil"/>
                  </w:tcBorders>
                  <w:vAlign w:val="center"/>
                </w:tcPr>
                <w:p>
                  <w:pPr>
                    <w:pStyle w:val="37"/>
                  </w:pPr>
                  <w:r>
                    <w:t>1.36</w:t>
                  </w:r>
                </w:p>
              </w:tc>
              <w:tc>
                <w:tcPr>
                  <w:tcW w:w="588" w:type="pct"/>
                  <w:tcBorders>
                    <w:tl2br w:val="nil"/>
                    <w:tr2bl w:val="nil"/>
                  </w:tcBorders>
                  <w:vAlign w:val="center"/>
                </w:tcPr>
                <w:p>
                  <w:pPr>
                    <w:pStyle w:val="37"/>
                  </w:pPr>
                  <w:r>
                    <w:t>0.191</w:t>
                  </w:r>
                </w:p>
              </w:tc>
              <w:tc>
                <w:tcPr>
                  <w:tcW w:w="481" w:type="pct"/>
                  <w:tcBorders>
                    <w:tl2br w:val="nil"/>
                    <w:tr2bl w:val="nil"/>
                  </w:tcBorders>
                  <w:vAlign w:val="center"/>
                </w:tcPr>
                <w:p>
                  <w:pPr>
                    <w:pStyle w:val="37"/>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TP</w:t>
                  </w:r>
                </w:p>
              </w:tc>
              <w:tc>
                <w:tcPr>
                  <w:tcW w:w="586" w:type="pct"/>
                  <w:tcBorders>
                    <w:tl2br w:val="nil"/>
                    <w:tr2bl w:val="nil"/>
                  </w:tcBorders>
                  <w:vAlign w:val="center"/>
                </w:tcPr>
                <w:p>
                  <w:pPr>
                    <w:pStyle w:val="37"/>
                  </w:pPr>
                  <w:r>
                    <w:t>0.12</w:t>
                  </w:r>
                </w:p>
              </w:tc>
              <w:tc>
                <w:tcPr>
                  <w:tcW w:w="586" w:type="pct"/>
                  <w:tcBorders>
                    <w:tl2br w:val="nil"/>
                    <w:tr2bl w:val="nil"/>
                  </w:tcBorders>
                  <w:vAlign w:val="center"/>
                </w:tcPr>
                <w:p>
                  <w:pPr>
                    <w:pStyle w:val="37"/>
                  </w:pPr>
                  <w:r>
                    <w:t>0.06</w:t>
                  </w:r>
                </w:p>
              </w:tc>
              <w:tc>
                <w:tcPr>
                  <w:tcW w:w="586" w:type="pct"/>
                  <w:tcBorders>
                    <w:tl2br w:val="nil"/>
                    <w:tr2bl w:val="nil"/>
                  </w:tcBorders>
                  <w:vAlign w:val="center"/>
                </w:tcPr>
                <w:p>
                  <w:pPr>
                    <w:pStyle w:val="37"/>
                  </w:pPr>
                  <w:r>
                    <w:t>0.11</w:t>
                  </w:r>
                </w:p>
              </w:tc>
              <w:tc>
                <w:tcPr>
                  <w:tcW w:w="586" w:type="pct"/>
                  <w:tcBorders>
                    <w:tl2br w:val="nil"/>
                    <w:tr2bl w:val="nil"/>
                  </w:tcBorders>
                  <w:vAlign w:val="center"/>
                </w:tcPr>
                <w:p>
                  <w:pPr>
                    <w:pStyle w:val="37"/>
                  </w:pPr>
                  <w:r>
                    <w:t>0.07</w:t>
                  </w:r>
                </w:p>
              </w:tc>
              <w:tc>
                <w:tcPr>
                  <w:tcW w:w="586" w:type="pct"/>
                  <w:tcBorders>
                    <w:tl2br w:val="nil"/>
                    <w:tr2bl w:val="nil"/>
                  </w:tcBorders>
                  <w:vAlign w:val="center"/>
                </w:tcPr>
                <w:p>
                  <w:pPr>
                    <w:pStyle w:val="37"/>
                  </w:pPr>
                  <w:r>
                    <w:t>0.25</w:t>
                  </w:r>
                </w:p>
              </w:tc>
              <w:tc>
                <w:tcPr>
                  <w:tcW w:w="588" w:type="pct"/>
                  <w:tcBorders>
                    <w:tl2br w:val="nil"/>
                    <w:tr2bl w:val="nil"/>
                  </w:tcBorders>
                  <w:vAlign w:val="center"/>
                </w:tcPr>
                <w:p>
                  <w:pPr>
                    <w:pStyle w:val="37"/>
                  </w:pPr>
                  <w:r>
                    <w:t>0.13</w:t>
                  </w:r>
                </w:p>
              </w:tc>
              <w:tc>
                <w:tcPr>
                  <w:tcW w:w="481" w:type="pct"/>
                  <w:tcBorders>
                    <w:tl2br w:val="nil"/>
                    <w:tr2bl w:val="nil"/>
                  </w:tcBorders>
                  <w:vAlign w:val="center"/>
                </w:tcPr>
                <w:p>
                  <w:pPr>
                    <w:pStyle w:val="37"/>
                  </w:pPr>
                  <w: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TN</w:t>
                  </w:r>
                </w:p>
              </w:tc>
              <w:tc>
                <w:tcPr>
                  <w:tcW w:w="586" w:type="pct"/>
                  <w:tcBorders>
                    <w:tl2br w:val="nil"/>
                    <w:tr2bl w:val="nil"/>
                  </w:tcBorders>
                  <w:vAlign w:val="center"/>
                </w:tcPr>
                <w:p>
                  <w:pPr>
                    <w:pStyle w:val="37"/>
                  </w:pPr>
                  <w:r>
                    <w:t>4.62</w:t>
                  </w:r>
                </w:p>
              </w:tc>
              <w:tc>
                <w:tcPr>
                  <w:tcW w:w="586" w:type="pct"/>
                  <w:tcBorders>
                    <w:tl2br w:val="nil"/>
                    <w:tr2bl w:val="nil"/>
                  </w:tcBorders>
                  <w:vAlign w:val="center"/>
                </w:tcPr>
                <w:p>
                  <w:pPr>
                    <w:pStyle w:val="37"/>
                  </w:pPr>
                  <w:r>
                    <w:t>6.57</w:t>
                  </w:r>
                </w:p>
              </w:tc>
              <w:tc>
                <w:tcPr>
                  <w:tcW w:w="586" w:type="pct"/>
                  <w:tcBorders>
                    <w:tl2br w:val="nil"/>
                    <w:tr2bl w:val="nil"/>
                  </w:tcBorders>
                  <w:vAlign w:val="center"/>
                </w:tcPr>
                <w:p>
                  <w:pPr>
                    <w:pStyle w:val="37"/>
                  </w:pPr>
                  <w:r>
                    <w:t>4.40</w:t>
                  </w:r>
                </w:p>
              </w:tc>
              <w:tc>
                <w:tcPr>
                  <w:tcW w:w="586" w:type="pct"/>
                  <w:tcBorders>
                    <w:tl2br w:val="nil"/>
                    <w:tr2bl w:val="nil"/>
                  </w:tcBorders>
                  <w:vAlign w:val="center"/>
                </w:tcPr>
                <w:p>
                  <w:pPr>
                    <w:pStyle w:val="37"/>
                  </w:pPr>
                  <w:r>
                    <w:t>3.69</w:t>
                  </w:r>
                </w:p>
              </w:tc>
              <w:tc>
                <w:tcPr>
                  <w:tcW w:w="586" w:type="pct"/>
                  <w:tcBorders>
                    <w:tl2br w:val="nil"/>
                    <w:tr2bl w:val="nil"/>
                  </w:tcBorders>
                  <w:vAlign w:val="center"/>
                </w:tcPr>
                <w:p>
                  <w:pPr>
                    <w:pStyle w:val="37"/>
                  </w:pPr>
                  <w:r>
                    <w:t>6.37</w:t>
                  </w:r>
                </w:p>
              </w:tc>
              <w:tc>
                <w:tcPr>
                  <w:tcW w:w="588" w:type="pct"/>
                  <w:tcBorders>
                    <w:tl2br w:val="nil"/>
                    <w:tr2bl w:val="nil"/>
                  </w:tcBorders>
                  <w:vAlign w:val="center"/>
                </w:tcPr>
                <w:p>
                  <w:pPr>
                    <w:pStyle w:val="37"/>
                  </w:pPr>
                  <w:r>
                    <w:t>4.84</w:t>
                  </w:r>
                </w:p>
              </w:tc>
              <w:tc>
                <w:tcPr>
                  <w:tcW w:w="481" w:type="pct"/>
                  <w:tcBorders>
                    <w:tl2br w:val="nil"/>
                    <w:tr2bl w:val="nil"/>
                  </w:tcBorders>
                  <w:vAlign w:val="center"/>
                </w:tcPr>
                <w:p>
                  <w:pPr>
                    <w:pStyle w:val="3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石油类</w:t>
                  </w:r>
                </w:p>
              </w:tc>
              <w:tc>
                <w:tcPr>
                  <w:tcW w:w="586" w:type="pct"/>
                  <w:tcBorders>
                    <w:tl2br w:val="nil"/>
                    <w:tr2bl w:val="nil"/>
                  </w:tcBorders>
                  <w:vAlign w:val="center"/>
                </w:tcPr>
                <w:p>
                  <w:pPr>
                    <w:pStyle w:val="37"/>
                  </w:pPr>
                  <w:r>
                    <w:t>0.01</w:t>
                  </w:r>
                </w:p>
              </w:tc>
              <w:tc>
                <w:tcPr>
                  <w:tcW w:w="586" w:type="pct"/>
                  <w:tcBorders>
                    <w:tl2br w:val="nil"/>
                    <w:tr2bl w:val="nil"/>
                  </w:tcBorders>
                  <w:vAlign w:val="center"/>
                </w:tcPr>
                <w:p>
                  <w:pPr>
                    <w:pStyle w:val="37"/>
                  </w:pPr>
                  <w:r>
                    <w:t>0.02</w:t>
                  </w:r>
                </w:p>
              </w:tc>
              <w:tc>
                <w:tcPr>
                  <w:tcW w:w="586" w:type="pct"/>
                  <w:tcBorders>
                    <w:tl2br w:val="nil"/>
                    <w:tr2bl w:val="nil"/>
                  </w:tcBorders>
                  <w:vAlign w:val="center"/>
                </w:tcPr>
                <w:p>
                  <w:pPr>
                    <w:pStyle w:val="37"/>
                  </w:pPr>
                  <w:r>
                    <w:t>0.03</w:t>
                  </w:r>
                </w:p>
              </w:tc>
              <w:tc>
                <w:tcPr>
                  <w:tcW w:w="586" w:type="pct"/>
                  <w:tcBorders>
                    <w:tl2br w:val="nil"/>
                    <w:tr2bl w:val="nil"/>
                  </w:tcBorders>
                  <w:vAlign w:val="center"/>
                </w:tcPr>
                <w:p>
                  <w:pPr>
                    <w:pStyle w:val="37"/>
                  </w:pPr>
                  <w:r>
                    <w:t>0.02</w:t>
                  </w:r>
                </w:p>
              </w:tc>
              <w:tc>
                <w:tcPr>
                  <w:tcW w:w="586" w:type="pct"/>
                  <w:tcBorders>
                    <w:tl2br w:val="nil"/>
                    <w:tr2bl w:val="nil"/>
                  </w:tcBorders>
                  <w:vAlign w:val="center"/>
                </w:tcPr>
                <w:p>
                  <w:pPr>
                    <w:pStyle w:val="37"/>
                  </w:pPr>
                  <w:r>
                    <w:t>0.01L</w:t>
                  </w:r>
                </w:p>
              </w:tc>
              <w:tc>
                <w:tcPr>
                  <w:tcW w:w="588" w:type="pct"/>
                  <w:tcBorders>
                    <w:tl2br w:val="nil"/>
                    <w:tr2bl w:val="nil"/>
                  </w:tcBorders>
                  <w:vAlign w:val="center"/>
                </w:tcPr>
                <w:p>
                  <w:pPr>
                    <w:pStyle w:val="37"/>
                  </w:pPr>
                  <w:r>
                    <w:t>0.02</w:t>
                  </w:r>
                </w:p>
              </w:tc>
              <w:tc>
                <w:tcPr>
                  <w:tcW w:w="481" w:type="pct"/>
                  <w:tcBorders>
                    <w:tl2br w:val="nil"/>
                    <w:tr2bl w:val="nil"/>
                  </w:tcBorders>
                  <w:vAlign w:val="center"/>
                </w:tcPr>
                <w:p>
                  <w:pPr>
                    <w:pStyle w:val="37"/>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氟化物</w:t>
                  </w:r>
                </w:p>
              </w:tc>
              <w:tc>
                <w:tcPr>
                  <w:tcW w:w="586" w:type="pct"/>
                  <w:tcBorders>
                    <w:tl2br w:val="nil"/>
                    <w:tr2bl w:val="nil"/>
                  </w:tcBorders>
                  <w:vAlign w:val="center"/>
                </w:tcPr>
                <w:p>
                  <w:pPr>
                    <w:pStyle w:val="37"/>
                  </w:pPr>
                  <w:r>
                    <w:t>0.35</w:t>
                  </w:r>
                </w:p>
              </w:tc>
              <w:tc>
                <w:tcPr>
                  <w:tcW w:w="586" w:type="pct"/>
                  <w:tcBorders>
                    <w:tl2br w:val="nil"/>
                    <w:tr2bl w:val="nil"/>
                  </w:tcBorders>
                  <w:vAlign w:val="center"/>
                </w:tcPr>
                <w:p>
                  <w:pPr>
                    <w:pStyle w:val="37"/>
                  </w:pPr>
                  <w:r>
                    <w:t>0.64</w:t>
                  </w:r>
                </w:p>
              </w:tc>
              <w:tc>
                <w:tcPr>
                  <w:tcW w:w="586" w:type="pct"/>
                  <w:tcBorders>
                    <w:tl2br w:val="nil"/>
                    <w:tr2bl w:val="nil"/>
                  </w:tcBorders>
                  <w:vAlign w:val="center"/>
                </w:tcPr>
                <w:p>
                  <w:pPr>
                    <w:pStyle w:val="37"/>
                  </w:pPr>
                  <w:r>
                    <w:t>0.46</w:t>
                  </w:r>
                </w:p>
              </w:tc>
              <w:tc>
                <w:tcPr>
                  <w:tcW w:w="586" w:type="pct"/>
                  <w:tcBorders>
                    <w:tl2br w:val="nil"/>
                    <w:tr2bl w:val="nil"/>
                  </w:tcBorders>
                  <w:vAlign w:val="center"/>
                </w:tcPr>
                <w:p>
                  <w:pPr>
                    <w:pStyle w:val="37"/>
                  </w:pPr>
                  <w:r>
                    <w:t>0.43</w:t>
                  </w:r>
                </w:p>
              </w:tc>
              <w:tc>
                <w:tcPr>
                  <w:tcW w:w="586" w:type="pct"/>
                  <w:tcBorders>
                    <w:tl2br w:val="nil"/>
                    <w:tr2bl w:val="nil"/>
                  </w:tcBorders>
                  <w:vAlign w:val="center"/>
                </w:tcPr>
                <w:p>
                  <w:pPr>
                    <w:pStyle w:val="37"/>
                  </w:pPr>
                  <w:r>
                    <w:t>0.39</w:t>
                  </w:r>
                </w:p>
              </w:tc>
              <w:tc>
                <w:tcPr>
                  <w:tcW w:w="588" w:type="pct"/>
                  <w:tcBorders>
                    <w:tl2br w:val="nil"/>
                    <w:tr2bl w:val="nil"/>
                  </w:tcBorders>
                  <w:vAlign w:val="center"/>
                </w:tcPr>
                <w:p>
                  <w:pPr>
                    <w:pStyle w:val="37"/>
                  </w:pPr>
                  <w:r>
                    <w:t>0.61</w:t>
                  </w:r>
                </w:p>
              </w:tc>
              <w:tc>
                <w:tcPr>
                  <w:tcW w:w="481" w:type="pct"/>
                  <w:tcBorders>
                    <w:tl2br w:val="nil"/>
                    <w:tr2bl w:val="nil"/>
                  </w:tcBorders>
                  <w:vAlign w:val="center"/>
                </w:tcPr>
                <w:p>
                  <w:pPr>
                    <w:pStyle w:val="37"/>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铬</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6" w:type="pct"/>
                  <w:tcBorders>
                    <w:tl2br w:val="nil"/>
                    <w:tr2bl w:val="nil"/>
                  </w:tcBorders>
                  <w:vAlign w:val="center"/>
                </w:tcPr>
                <w:p>
                  <w:pPr>
                    <w:pStyle w:val="37"/>
                  </w:pPr>
                  <w:r>
                    <w:t>0.03L</w:t>
                  </w:r>
                </w:p>
              </w:tc>
              <w:tc>
                <w:tcPr>
                  <w:tcW w:w="588" w:type="pct"/>
                  <w:tcBorders>
                    <w:tl2br w:val="nil"/>
                    <w:tr2bl w:val="nil"/>
                  </w:tcBorders>
                  <w:vAlign w:val="center"/>
                </w:tcPr>
                <w:p>
                  <w:pPr>
                    <w:pStyle w:val="37"/>
                  </w:pPr>
                  <w:r>
                    <w:t>0.03L</w:t>
                  </w:r>
                </w:p>
              </w:tc>
              <w:tc>
                <w:tcPr>
                  <w:tcW w:w="481" w:type="pct"/>
                  <w:tcBorders>
                    <w:tl2br w:val="nil"/>
                    <w:tr2bl w:val="nil"/>
                  </w:tcBorders>
                  <w:vAlign w:val="center"/>
                </w:tcPr>
                <w:p>
                  <w:pPr>
                    <w:pStyle w:val="37"/>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砷</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6" w:type="pct"/>
                  <w:tcBorders>
                    <w:tl2br w:val="nil"/>
                    <w:tr2bl w:val="nil"/>
                  </w:tcBorders>
                  <w:vAlign w:val="center"/>
                </w:tcPr>
                <w:p>
                  <w:pPr>
                    <w:pStyle w:val="37"/>
                  </w:pPr>
                  <w:r>
                    <w:t>3×10</w:t>
                  </w:r>
                  <w:r>
                    <w:rPr>
                      <w:vertAlign w:val="superscript"/>
                    </w:rPr>
                    <w:t>-4</w:t>
                  </w:r>
                  <w:r>
                    <w:t>L</w:t>
                  </w:r>
                </w:p>
              </w:tc>
              <w:tc>
                <w:tcPr>
                  <w:tcW w:w="588" w:type="pct"/>
                  <w:tcBorders>
                    <w:tl2br w:val="nil"/>
                    <w:tr2bl w:val="nil"/>
                  </w:tcBorders>
                  <w:vAlign w:val="center"/>
                </w:tcPr>
                <w:p>
                  <w:pPr>
                    <w:pStyle w:val="37"/>
                  </w:pPr>
                  <w:r>
                    <w:t>3×10</w:t>
                  </w:r>
                  <w:r>
                    <w:rPr>
                      <w:vertAlign w:val="superscript"/>
                    </w:rPr>
                    <w:t>-4</w:t>
                  </w:r>
                  <w:r>
                    <w:t>L</w:t>
                  </w:r>
                </w:p>
              </w:tc>
              <w:tc>
                <w:tcPr>
                  <w:tcW w:w="481" w:type="pct"/>
                  <w:tcBorders>
                    <w:tl2br w:val="nil"/>
                    <w:tr2bl w:val="nil"/>
                  </w:tcBorders>
                  <w:vAlign w:val="center"/>
                </w:tcPr>
                <w:p>
                  <w:pPr>
                    <w:pStyle w:val="37"/>
                  </w:pPr>
                  <w: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汞</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6" w:type="pct"/>
                  <w:tcBorders>
                    <w:tl2br w:val="nil"/>
                    <w:tr2bl w:val="nil"/>
                  </w:tcBorders>
                  <w:vAlign w:val="center"/>
                </w:tcPr>
                <w:p>
                  <w:pPr>
                    <w:pStyle w:val="37"/>
                  </w:pPr>
                  <w:r>
                    <w:t>4×10</w:t>
                  </w:r>
                  <w:r>
                    <w:rPr>
                      <w:vertAlign w:val="superscript"/>
                    </w:rPr>
                    <w:t>-5</w:t>
                  </w:r>
                  <w:r>
                    <w:t>L</w:t>
                  </w:r>
                </w:p>
              </w:tc>
              <w:tc>
                <w:tcPr>
                  <w:tcW w:w="588" w:type="pct"/>
                  <w:tcBorders>
                    <w:tl2br w:val="nil"/>
                    <w:tr2bl w:val="nil"/>
                  </w:tcBorders>
                  <w:vAlign w:val="center"/>
                </w:tcPr>
                <w:p>
                  <w:pPr>
                    <w:pStyle w:val="37"/>
                  </w:pPr>
                  <w:r>
                    <w:t>4×10</w:t>
                  </w:r>
                  <w:r>
                    <w:rPr>
                      <w:vertAlign w:val="superscript"/>
                    </w:rPr>
                    <w:t>-5</w:t>
                  </w:r>
                  <w:r>
                    <w:t>L</w:t>
                  </w:r>
                </w:p>
              </w:tc>
              <w:tc>
                <w:tcPr>
                  <w:tcW w:w="481" w:type="pct"/>
                  <w:tcBorders>
                    <w:tl2br w:val="nil"/>
                    <w:tr2bl w:val="nil"/>
                  </w:tcBorders>
                  <w:vAlign w:val="center"/>
                </w:tcPr>
                <w:p>
                  <w:pPr>
                    <w:pStyle w:val="37"/>
                  </w:pPr>
                  <w: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铅</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6" w:type="pct"/>
                  <w:tcBorders>
                    <w:tl2br w:val="nil"/>
                    <w:tr2bl w:val="nil"/>
                  </w:tcBorders>
                  <w:vAlign w:val="center"/>
                </w:tcPr>
                <w:p>
                  <w:pPr>
                    <w:pStyle w:val="37"/>
                  </w:pPr>
                  <w:r>
                    <w:t>1×10</w:t>
                  </w:r>
                  <w:r>
                    <w:rPr>
                      <w:vertAlign w:val="superscript"/>
                    </w:rPr>
                    <w:t>-3</w:t>
                  </w:r>
                  <w:r>
                    <w:t>L</w:t>
                  </w:r>
                </w:p>
              </w:tc>
              <w:tc>
                <w:tcPr>
                  <w:tcW w:w="588" w:type="pct"/>
                  <w:tcBorders>
                    <w:tl2br w:val="nil"/>
                    <w:tr2bl w:val="nil"/>
                  </w:tcBorders>
                  <w:vAlign w:val="center"/>
                </w:tcPr>
                <w:p>
                  <w:pPr>
                    <w:pStyle w:val="37"/>
                  </w:pPr>
                  <w:r>
                    <w:t>1×10</w:t>
                  </w:r>
                  <w:r>
                    <w:rPr>
                      <w:vertAlign w:val="superscript"/>
                    </w:rPr>
                    <w:t>-3</w:t>
                  </w:r>
                  <w:r>
                    <w:t>L</w:t>
                  </w:r>
                </w:p>
              </w:tc>
              <w:tc>
                <w:tcPr>
                  <w:tcW w:w="481" w:type="pct"/>
                  <w:tcBorders>
                    <w:tl2br w:val="nil"/>
                    <w:tr2bl w:val="nil"/>
                  </w:tcBorders>
                  <w:vAlign w:val="center"/>
                </w:tcPr>
                <w:p>
                  <w:pPr>
                    <w:pStyle w:val="37"/>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9" w:hRule="atLeast"/>
              </w:trPr>
              <w:tc>
                <w:tcPr>
                  <w:tcW w:w="453" w:type="pct"/>
                  <w:vMerge w:val="continue"/>
                  <w:tcBorders>
                    <w:tl2br w:val="nil"/>
                    <w:tr2bl w:val="nil"/>
                  </w:tcBorders>
                  <w:vAlign w:val="center"/>
                </w:tcPr>
                <w:p>
                  <w:pPr>
                    <w:pStyle w:val="37"/>
                  </w:pPr>
                </w:p>
              </w:tc>
              <w:tc>
                <w:tcPr>
                  <w:tcW w:w="545" w:type="pct"/>
                  <w:tcBorders>
                    <w:tl2br w:val="nil"/>
                    <w:tr2bl w:val="nil"/>
                  </w:tcBorders>
                  <w:vAlign w:val="center"/>
                </w:tcPr>
                <w:p>
                  <w:pPr>
                    <w:pStyle w:val="37"/>
                  </w:pPr>
                  <w:r>
                    <w:t>镉</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6" w:type="pct"/>
                  <w:tcBorders>
                    <w:tl2br w:val="nil"/>
                    <w:tr2bl w:val="nil"/>
                  </w:tcBorders>
                  <w:vAlign w:val="center"/>
                </w:tcPr>
                <w:p>
                  <w:pPr>
                    <w:pStyle w:val="37"/>
                  </w:pPr>
                  <w:r>
                    <w:t>1×10</w:t>
                  </w:r>
                  <w:r>
                    <w:rPr>
                      <w:vertAlign w:val="superscript"/>
                    </w:rPr>
                    <w:t>-4</w:t>
                  </w:r>
                  <w:r>
                    <w:t>L</w:t>
                  </w:r>
                </w:p>
              </w:tc>
              <w:tc>
                <w:tcPr>
                  <w:tcW w:w="588" w:type="pct"/>
                  <w:tcBorders>
                    <w:tl2br w:val="nil"/>
                    <w:tr2bl w:val="nil"/>
                  </w:tcBorders>
                  <w:vAlign w:val="center"/>
                </w:tcPr>
                <w:p>
                  <w:pPr>
                    <w:pStyle w:val="37"/>
                  </w:pPr>
                  <w:r>
                    <w:t>1×10</w:t>
                  </w:r>
                  <w:r>
                    <w:rPr>
                      <w:vertAlign w:val="superscript"/>
                    </w:rPr>
                    <w:t>-4</w:t>
                  </w:r>
                  <w:r>
                    <w:t>L</w:t>
                  </w:r>
                </w:p>
              </w:tc>
              <w:tc>
                <w:tcPr>
                  <w:tcW w:w="481" w:type="pct"/>
                  <w:tcBorders>
                    <w:tl2br w:val="nil"/>
                    <w:tr2bl w:val="nil"/>
                  </w:tcBorders>
                  <w:vAlign w:val="center"/>
                </w:tcPr>
                <w:p>
                  <w:pPr>
                    <w:pStyle w:val="37"/>
                  </w:pPr>
                  <w:r>
                    <w:t>0.005</w:t>
                  </w:r>
                </w:p>
              </w:tc>
            </w:tr>
          </w:tbl>
          <w:p>
            <w:pPr>
              <w:snapToGrid w:val="0"/>
              <w:ind w:firstLine="480"/>
              <w:rPr>
                <w:color w:val="000000"/>
              </w:rPr>
            </w:pPr>
            <w:r>
              <w:rPr>
                <w:color w:val="000000"/>
                <w:lang w:val="zh-CN"/>
              </w:rPr>
              <w:t>由</w:t>
            </w:r>
            <w:r>
              <w:rPr>
                <w:rFonts w:hint="eastAsia"/>
                <w:color w:val="000000"/>
              </w:rPr>
              <w:t>上表</w:t>
            </w:r>
            <w:r>
              <w:rPr>
                <w:color w:val="000000"/>
                <w:lang w:val="zh-CN"/>
              </w:rPr>
              <w:t>统计数据可见</w:t>
            </w:r>
            <w:r>
              <w:rPr>
                <w:color w:val="000000"/>
              </w:rPr>
              <w:t>，</w:t>
            </w:r>
            <w:r>
              <w:rPr>
                <w:rFonts w:hint="eastAsia"/>
              </w:rPr>
              <w:t>各监测断面水质均满足《地表水环境质量标准》（</w:t>
            </w:r>
            <w:r>
              <w:t>GB3838-2002</w:t>
            </w:r>
            <w:r>
              <w:rPr>
                <w:rFonts w:hint="eastAsia"/>
              </w:rPr>
              <w:t>）中Ⅳ类水体标准要求</w:t>
            </w:r>
            <w:r>
              <w:rPr>
                <w:rFonts w:hint="eastAsia"/>
                <w:color w:val="000000"/>
              </w:rPr>
              <w:t>，表明目前雄溪河、莲塘河总体水质较好</w:t>
            </w:r>
            <w:r>
              <w:rPr>
                <w:color w:val="000000"/>
              </w:rPr>
              <w:t>。</w:t>
            </w:r>
          </w:p>
          <w:p>
            <w:pPr>
              <w:adjustRightInd w:val="0"/>
              <w:snapToGrid w:val="0"/>
              <w:ind w:firstLine="482"/>
              <w:rPr>
                <w:b/>
                <w:bCs/>
                <w:color w:val="000000"/>
              </w:rPr>
            </w:pPr>
            <w:r>
              <w:rPr>
                <w:rFonts w:hint="eastAsia"/>
                <w:b/>
                <w:bCs/>
                <w:color w:val="000000"/>
              </w:rPr>
              <w:t>（3）</w:t>
            </w:r>
            <w:r>
              <w:rPr>
                <w:b/>
                <w:bCs/>
                <w:color w:val="000000"/>
              </w:rPr>
              <w:t>声环境</w:t>
            </w:r>
          </w:p>
          <w:p>
            <w:pPr>
              <w:ind w:firstLine="480"/>
            </w:pPr>
            <w:r>
              <w:rPr>
                <w:rFonts w:hint="eastAsia"/>
              </w:rPr>
              <w:t>由于现有项目均已完成验收，至今暂未建设新项目。</w:t>
            </w:r>
            <w:r>
              <w:t>为了解项目拟建地周围声环境现状，本</w:t>
            </w:r>
            <w:r>
              <w:rPr>
                <w:rFonts w:hint="eastAsia"/>
              </w:rPr>
              <w:t>次扩建</w:t>
            </w:r>
            <w:r>
              <w:t>项目</w:t>
            </w:r>
            <w:r>
              <w:rPr>
                <w:rFonts w:hint="eastAsia"/>
              </w:rPr>
              <w:t>引用企业最新验收报告《江铃汽车股份有限公司零部件搬迁改造项目》中噪声验收监测数据，江铃汽车股份有限公司委托江西贯通检测有限公司</w:t>
            </w:r>
            <w:r>
              <w:t>沿项目</w:t>
            </w:r>
            <w:r>
              <w:rPr>
                <w:rFonts w:hint="eastAsia"/>
              </w:rPr>
              <w:t>600亩厂区厂</w:t>
            </w:r>
            <w:r>
              <w:t>界布置了4个监测点，监测时间为2021年</w:t>
            </w:r>
            <w:r>
              <w:rPr>
                <w:rFonts w:hint="eastAsia"/>
              </w:rPr>
              <w:t>8</w:t>
            </w:r>
            <w:r>
              <w:t>月</w:t>
            </w:r>
            <w:r>
              <w:rPr>
                <w:rFonts w:hint="eastAsia"/>
              </w:rPr>
              <w:t>11</w:t>
            </w:r>
            <w:r>
              <w:t>日</w:t>
            </w:r>
            <w:r>
              <w:rPr>
                <w:rFonts w:hint="eastAsia"/>
              </w:rPr>
              <w:t>-12日</w:t>
            </w:r>
            <w:r>
              <w:t>，监测依据《环境监测技术规范》进行，分昼、夜两个时段监测</w:t>
            </w:r>
            <w:r>
              <w:rPr>
                <w:rFonts w:hint="eastAsia"/>
              </w:rPr>
              <w:t>。监测结果见表3-4。</w:t>
            </w:r>
          </w:p>
          <w:p>
            <w:pPr>
              <w:pStyle w:val="38"/>
            </w:pPr>
            <w:r>
              <w:rPr>
                <w:rFonts w:hint="eastAsia"/>
              </w:rPr>
              <w:t xml:space="preserve">表3-4  </w:t>
            </w:r>
            <w:r>
              <w:t>项目声环境现状监测结果表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006"/>
              <w:gridCol w:w="648"/>
              <w:gridCol w:w="1501"/>
              <w:gridCol w:w="946"/>
              <w:gridCol w:w="1571"/>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654" w:type="dxa"/>
                  <w:gridSpan w:val="3"/>
                  <w:vAlign w:val="center"/>
                </w:tcPr>
                <w:p>
                  <w:pPr>
                    <w:pStyle w:val="37"/>
                    <w:rPr>
                      <w:b/>
                      <w:bCs/>
                    </w:rPr>
                  </w:pPr>
                  <w:r>
                    <w:rPr>
                      <w:b/>
                      <w:bCs/>
                    </w:rPr>
                    <w:t>监测点</w:t>
                  </w:r>
                </w:p>
              </w:tc>
              <w:tc>
                <w:tcPr>
                  <w:tcW w:w="1499" w:type="dxa"/>
                  <w:vAlign w:val="center"/>
                </w:tcPr>
                <w:p>
                  <w:pPr>
                    <w:pStyle w:val="37"/>
                    <w:rPr>
                      <w:b/>
                      <w:bCs/>
                    </w:rPr>
                  </w:pPr>
                  <w:r>
                    <w:rPr>
                      <w:b/>
                      <w:bCs/>
                    </w:rPr>
                    <w:t>昼间</w:t>
                  </w:r>
                  <w:r>
                    <w:rPr>
                      <w:rFonts w:hint="eastAsia"/>
                      <w:b/>
                      <w:bCs/>
                    </w:rPr>
                    <w:t>[</w:t>
                  </w:r>
                  <w:r>
                    <w:rPr>
                      <w:b/>
                      <w:bCs/>
                    </w:rPr>
                    <w:t>dB（A）</w:t>
                  </w:r>
                  <w:r>
                    <w:rPr>
                      <w:rFonts w:hint="eastAsia"/>
                      <w:b/>
                      <w:bCs/>
                    </w:rPr>
                    <w:t>]</w:t>
                  </w:r>
                </w:p>
              </w:tc>
              <w:tc>
                <w:tcPr>
                  <w:tcW w:w="945" w:type="dxa"/>
                  <w:vAlign w:val="center"/>
                </w:tcPr>
                <w:p>
                  <w:pPr>
                    <w:pStyle w:val="37"/>
                    <w:rPr>
                      <w:b/>
                      <w:bCs/>
                    </w:rPr>
                  </w:pPr>
                  <w:r>
                    <w:rPr>
                      <w:b/>
                      <w:bCs/>
                    </w:rPr>
                    <w:t>标准</w:t>
                  </w:r>
                </w:p>
              </w:tc>
              <w:tc>
                <w:tcPr>
                  <w:tcW w:w="1569" w:type="dxa"/>
                  <w:vAlign w:val="center"/>
                </w:tcPr>
                <w:p>
                  <w:pPr>
                    <w:pStyle w:val="37"/>
                    <w:rPr>
                      <w:b/>
                      <w:bCs/>
                    </w:rPr>
                  </w:pPr>
                  <w:r>
                    <w:rPr>
                      <w:b/>
                      <w:bCs/>
                    </w:rPr>
                    <w:t>夜间</w:t>
                  </w:r>
                  <w:r>
                    <w:rPr>
                      <w:rFonts w:hint="eastAsia"/>
                      <w:b/>
                      <w:bCs/>
                    </w:rPr>
                    <w:t>[</w:t>
                  </w:r>
                  <w:r>
                    <w:rPr>
                      <w:b/>
                      <w:bCs/>
                    </w:rPr>
                    <w:t>dB（A</w:t>
                  </w:r>
                  <w:r>
                    <w:rPr>
                      <w:rFonts w:hint="eastAsia"/>
                      <w:b/>
                      <w:bCs/>
                    </w:rPr>
                    <w:t>）]</w:t>
                  </w:r>
                </w:p>
              </w:tc>
              <w:tc>
                <w:tcPr>
                  <w:tcW w:w="1303" w:type="dxa"/>
                  <w:vAlign w:val="center"/>
                </w:tcPr>
                <w:p>
                  <w:pPr>
                    <w:pStyle w:val="37"/>
                    <w:rPr>
                      <w:b/>
                      <w:bCs/>
                    </w:rPr>
                  </w:pPr>
                  <w:r>
                    <w:rPr>
                      <w:b/>
                      <w:bCs/>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03" w:type="dxa"/>
                  <w:vMerge w:val="restart"/>
                  <w:vAlign w:val="center"/>
                </w:tcPr>
                <w:p>
                  <w:pPr>
                    <w:pStyle w:val="37"/>
                  </w:pPr>
                  <w:r>
                    <w:rPr>
                      <w:rFonts w:hint="eastAsia"/>
                    </w:rPr>
                    <w:t>2021年8月11日</w:t>
                  </w:r>
                </w:p>
              </w:tc>
              <w:tc>
                <w:tcPr>
                  <w:tcW w:w="1004" w:type="dxa"/>
                  <w:vAlign w:val="center"/>
                </w:tcPr>
                <w:p>
                  <w:pPr>
                    <w:pStyle w:val="37"/>
                  </w:pPr>
                  <w:r>
                    <w:rPr>
                      <w:rFonts w:hint="eastAsia"/>
                    </w:rPr>
                    <w:t>厂界东侧</w:t>
                  </w:r>
                </w:p>
              </w:tc>
              <w:tc>
                <w:tcPr>
                  <w:tcW w:w="647" w:type="dxa"/>
                  <w:vAlign w:val="center"/>
                </w:tcPr>
                <w:p>
                  <w:pPr>
                    <w:pStyle w:val="37"/>
                  </w:pPr>
                  <w:r>
                    <w:t>N1</w:t>
                  </w:r>
                </w:p>
              </w:tc>
              <w:tc>
                <w:tcPr>
                  <w:tcW w:w="1499" w:type="dxa"/>
                  <w:vAlign w:val="center"/>
                </w:tcPr>
                <w:p>
                  <w:pPr>
                    <w:pStyle w:val="37"/>
                  </w:pPr>
                  <w:r>
                    <w:rPr>
                      <w:rFonts w:hint="eastAsia"/>
                    </w:rPr>
                    <w:t>54.0</w:t>
                  </w:r>
                </w:p>
              </w:tc>
              <w:tc>
                <w:tcPr>
                  <w:tcW w:w="945" w:type="dxa"/>
                  <w:vMerge w:val="restart"/>
                  <w:vAlign w:val="center"/>
                </w:tcPr>
                <w:p>
                  <w:pPr>
                    <w:pStyle w:val="37"/>
                  </w:pPr>
                  <w:r>
                    <w:t>6</w:t>
                  </w:r>
                  <w:r>
                    <w:rPr>
                      <w:rFonts w:hint="eastAsia"/>
                    </w:rPr>
                    <w:t>5</w:t>
                  </w:r>
                  <w:r>
                    <w:t>dB（A）</w:t>
                  </w:r>
                </w:p>
              </w:tc>
              <w:tc>
                <w:tcPr>
                  <w:tcW w:w="1569" w:type="dxa"/>
                  <w:vAlign w:val="center"/>
                </w:tcPr>
                <w:p>
                  <w:pPr>
                    <w:pStyle w:val="37"/>
                  </w:pPr>
                  <w:r>
                    <w:rPr>
                      <w:rFonts w:hint="eastAsia"/>
                    </w:rPr>
                    <w:t>45.0</w:t>
                  </w:r>
                </w:p>
              </w:tc>
              <w:tc>
                <w:tcPr>
                  <w:tcW w:w="1303" w:type="dxa"/>
                  <w:vMerge w:val="restart"/>
                  <w:vAlign w:val="center"/>
                </w:tcPr>
                <w:p>
                  <w:pPr>
                    <w:pStyle w:val="37"/>
                  </w:pPr>
                  <w:r>
                    <w:rPr>
                      <w:rFonts w:hint="eastAsia"/>
                    </w:rPr>
                    <w:t>55</w:t>
                  </w:r>
                  <w: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1003" w:type="dxa"/>
                  <w:vMerge w:val="continue"/>
                  <w:vAlign w:val="center"/>
                </w:tcPr>
                <w:p>
                  <w:pPr>
                    <w:pStyle w:val="37"/>
                  </w:pPr>
                </w:p>
              </w:tc>
              <w:tc>
                <w:tcPr>
                  <w:tcW w:w="1004" w:type="dxa"/>
                  <w:vAlign w:val="center"/>
                </w:tcPr>
                <w:p>
                  <w:pPr>
                    <w:pStyle w:val="37"/>
                  </w:pPr>
                  <w:r>
                    <w:rPr>
                      <w:rFonts w:hint="eastAsia"/>
                    </w:rPr>
                    <w:t>厂界南侧</w:t>
                  </w:r>
                </w:p>
              </w:tc>
              <w:tc>
                <w:tcPr>
                  <w:tcW w:w="647" w:type="dxa"/>
                  <w:vAlign w:val="center"/>
                </w:tcPr>
                <w:p>
                  <w:pPr>
                    <w:pStyle w:val="37"/>
                  </w:pPr>
                  <w:r>
                    <w:t>N2</w:t>
                  </w:r>
                </w:p>
              </w:tc>
              <w:tc>
                <w:tcPr>
                  <w:tcW w:w="1499" w:type="dxa"/>
                  <w:vAlign w:val="center"/>
                </w:tcPr>
                <w:p>
                  <w:pPr>
                    <w:pStyle w:val="37"/>
                  </w:pPr>
                  <w:r>
                    <w:rPr>
                      <w:rFonts w:hint="eastAsia"/>
                    </w:rPr>
                    <w:t>58.5</w:t>
                  </w:r>
                </w:p>
              </w:tc>
              <w:tc>
                <w:tcPr>
                  <w:tcW w:w="945" w:type="dxa"/>
                  <w:vMerge w:val="continue"/>
                  <w:vAlign w:val="center"/>
                </w:tcPr>
                <w:p>
                  <w:pPr>
                    <w:pStyle w:val="37"/>
                  </w:pPr>
                </w:p>
              </w:tc>
              <w:tc>
                <w:tcPr>
                  <w:tcW w:w="1569" w:type="dxa"/>
                  <w:vAlign w:val="center"/>
                </w:tcPr>
                <w:p>
                  <w:pPr>
                    <w:pStyle w:val="37"/>
                  </w:pPr>
                  <w:r>
                    <w:rPr>
                      <w:rFonts w:hint="eastAsia"/>
                    </w:rPr>
                    <w:t>46.2</w:t>
                  </w:r>
                </w:p>
              </w:tc>
              <w:tc>
                <w:tcPr>
                  <w:tcW w:w="1303"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1003" w:type="dxa"/>
                  <w:vMerge w:val="continue"/>
                  <w:vAlign w:val="center"/>
                </w:tcPr>
                <w:p>
                  <w:pPr>
                    <w:pStyle w:val="37"/>
                  </w:pPr>
                </w:p>
              </w:tc>
              <w:tc>
                <w:tcPr>
                  <w:tcW w:w="1004" w:type="dxa"/>
                  <w:vAlign w:val="center"/>
                </w:tcPr>
                <w:p>
                  <w:pPr>
                    <w:pStyle w:val="37"/>
                  </w:pPr>
                  <w:r>
                    <w:rPr>
                      <w:rFonts w:hint="eastAsia"/>
                    </w:rPr>
                    <w:t>厂界西侧</w:t>
                  </w:r>
                </w:p>
              </w:tc>
              <w:tc>
                <w:tcPr>
                  <w:tcW w:w="647" w:type="dxa"/>
                  <w:vAlign w:val="center"/>
                </w:tcPr>
                <w:p>
                  <w:pPr>
                    <w:pStyle w:val="37"/>
                  </w:pPr>
                  <w:r>
                    <w:t>N3</w:t>
                  </w:r>
                </w:p>
              </w:tc>
              <w:tc>
                <w:tcPr>
                  <w:tcW w:w="1499" w:type="dxa"/>
                  <w:vAlign w:val="center"/>
                </w:tcPr>
                <w:p>
                  <w:pPr>
                    <w:pStyle w:val="37"/>
                  </w:pPr>
                  <w:r>
                    <w:rPr>
                      <w:rFonts w:hint="eastAsia"/>
                    </w:rPr>
                    <w:t>57.2</w:t>
                  </w:r>
                </w:p>
              </w:tc>
              <w:tc>
                <w:tcPr>
                  <w:tcW w:w="945" w:type="dxa"/>
                  <w:vMerge w:val="continue"/>
                  <w:vAlign w:val="center"/>
                </w:tcPr>
                <w:p>
                  <w:pPr>
                    <w:pStyle w:val="37"/>
                  </w:pPr>
                </w:p>
              </w:tc>
              <w:tc>
                <w:tcPr>
                  <w:tcW w:w="1569" w:type="dxa"/>
                  <w:vAlign w:val="center"/>
                </w:tcPr>
                <w:p>
                  <w:pPr>
                    <w:pStyle w:val="37"/>
                  </w:pPr>
                  <w:r>
                    <w:rPr>
                      <w:rFonts w:hint="eastAsia"/>
                    </w:rPr>
                    <w:t>46.2</w:t>
                  </w:r>
                </w:p>
              </w:tc>
              <w:tc>
                <w:tcPr>
                  <w:tcW w:w="1303"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jc w:val="center"/>
              </w:trPr>
              <w:tc>
                <w:tcPr>
                  <w:tcW w:w="1003" w:type="dxa"/>
                  <w:vMerge w:val="continue"/>
                  <w:vAlign w:val="center"/>
                </w:tcPr>
                <w:p>
                  <w:pPr>
                    <w:pStyle w:val="37"/>
                  </w:pPr>
                </w:p>
              </w:tc>
              <w:tc>
                <w:tcPr>
                  <w:tcW w:w="1004" w:type="dxa"/>
                  <w:vAlign w:val="center"/>
                </w:tcPr>
                <w:p>
                  <w:pPr>
                    <w:pStyle w:val="37"/>
                  </w:pPr>
                  <w:r>
                    <w:rPr>
                      <w:rFonts w:hint="eastAsia"/>
                    </w:rPr>
                    <w:t>厂界北侧</w:t>
                  </w:r>
                </w:p>
              </w:tc>
              <w:tc>
                <w:tcPr>
                  <w:tcW w:w="647" w:type="dxa"/>
                  <w:vAlign w:val="center"/>
                </w:tcPr>
                <w:p>
                  <w:pPr>
                    <w:pStyle w:val="37"/>
                  </w:pPr>
                  <w:r>
                    <w:t>N4</w:t>
                  </w:r>
                </w:p>
              </w:tc>
              <w:tc>
                <w:tcPr>
                  <w:tcW w:w="1499" w:type="dxa"/>
                  <w:vAlign w:val="center"/>
                </w:tcPr>
                <w:p>
                  <w:pPr>
                    <w:pStyle w:val="37"/>
                  </w:pPr>
                  <w:r>
                    <w:rPr>
                      <w:rFonts w:hint="eastAsia"/>
                    </w:rPr>
                    <w:t>55.9</w:t>
                  </w:r>
                </w:p>
              </w:tc>
              <w:tc>
                <w:tcPr>
                  <w:tcW w:w="945" w:type="dxa"/>
                  <w:vMerge w:val="continue"/>
                  <w:vAlign w:val="center"/>
                </w:tcPr>
                <w:p>
                  <w:pPr>
                    <w:pStyle w:val="37"/>
                  </w:pPr>
                </w:p>
              </w:tc>
              <w:tc>
                <w:tcPr>
                  <w:tcW w:w="1569" w:type="dxa"/>
                  <w:vAlign w:val="center"/>
                </w:tcPr>
                <w:p>
                  <w:pPr>
                    <w:pStyle w:val="37"/>
                  </w:pPr>
                  <w:r>
                    <w:rPr>
                      <w:rFonts w:hint="eastAsia"/>
                    </w:rPr>
                    <w:t>46.6</w:t>
                  </w:r>
                </w:p>
              </w:tc>
              <w:tc>
                <w:tcPr>
                  <w:tcW w:w="1303"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jc w:val="center"/>
              </w:trPr>
              <w:tc>
                <w:tcPr>
                  <w:tcW w:w="1003" w:type="dxa"/>
                  <w:vMerge w:val="restart"/>
                  <w:vAlign w:val="center"/>
                </w:tcPr>
                <w:p>
                  <w:pPr>
                    <w:pStyle w:val="37"/>
                  </w:pPr>
                  <w:r>
                    <w:rPr>
                      <w:rFonts w:hint="eastAsia"/>
                    </w:rPr>
                    <w:t>2021年8月12日</w:t>
                  </w:r>
                </w:p>
              </w:tc>
              <w:tc>
                <w:tcPr>
                  <w:tcW w:w="1004" w:type="dxa"/>
                  <w:vAlign w:val="center"/>
                </w:tcPr>
                <w:p>
                  <w:pPr>
                    <w:pStyle w:val="37"/>
                  </w:pPr>
                  <w:r>
                    <w:rPr>
                      <w:rFonts w:hint="eastAsia"/>
                    </w:rPr>
                    <w:t>厂界东侧</w:t>
                  </w:r>
                </w:p>
              </w:tc>
              <w:tc>
                <w:tcPr>
                  <w:tcW w:w="647" w:type="dxa"/>
                  <w:vAlign w:val="center"/>
                </w:tcPr>
                <w:p>
                  <w:pPr>
                    <w:pStyle w:val="37"/>
                  </w:pPr>
                  <w:r>
                    <w:t>N1</w:t>
                  </w:r>
                </w:p>
              </w:tc>
              <w:tc>
                <w:tcPr>
                  <w:tcW w:w="1499" w:type="dxa"/>
                  <w:vAlign w:val="center"/>
                </w:tcPr>
                <w:p>
                  <w:pPr>
                    <w:pStyle w:val="37"/>
                  </w:pPr>
                  <w:r>
                    <w:rPr>
                      <w:rFonts w:hint="eastAsia"/>
                    </w:rPr>
                    <w:t>55.7</w:t>
                  </w:r>
                </w:p>
              </w:tc>
              <w:tc>
                <w:tcPr>
                  <w:tcW w:w="945" w:type="dxa"/>
                  <w:vMerge w:val="continue"/>
                  <w:vAlign w:val="center"/>
                </w:tcPr>
                <w:p>
                  <w:pPr>
                    <w:pStyle w:val="37"/>
                  </w:pPr>
                </w:p>
              </w:tc>
              <w:tc>
                <w:tcPr>
                  <w:tcW w:w="1569" w:type="dxa"/>
                  <w:vAlign w:val="center"/>
                </w:tcPr>
                <w:p>
                  <w:pPr>
                    <w:pStyle w:val="37"/>
                  </w:pPr>
                  <w:r>
                    <w:rPr>
                      <w:rFonts w:hint="eastAsia"/>
                    </w:rPr>
                    <w:t>44.1</w:t>
                  </w:r>
                </w:p>
              </w:tc>
              <w:tc>
                <w:tcPr>
                  <w:tcW w:w="1303"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1003" w:type="dxa"/>
                  <w:vMerge w:val="continue"/>
                  <w:vAlign w:val="center"/>
                </w:tcPr>
                <w:p>
                  <w:pPr>
                    <w:pStyle w:val="37"/>
                  </w:pPr>
                </w:p>
              </w:tc>
              <w:tc>
                <w:tcPr>
                  <w:tcW w:w="1004" w:type="dxa"/>
                  <w:vAlign w:val="center"/>
                </w:tcPr>
                <w:p>
                  <w:pPr>
                    <w:pStyle w:val="37"/>
                  </w:pPr>
                  <w:r>
                    <w:rPr>
                      <w:rFonts w:hint="eastAsia"/>
                    </w:rPr>
                    <w:t>厂界南侧</w:t>
                  </w:r>
                </w:p>
              </w:tc>
              <w:tc>
                <w:tcPr>
                  <w:tcW w:w="647" w:type="dxa"/>
                  <w:vAlign w:val="center"/>
                </w:tcPr>
                <w:p>
                  <w:pPr>
                    <w:pStyle w:val="37"/>
                  </w:pPr>
                  <w:r>
                    <w:t>N2</w:t>
                  </w:r>
                </w:p>
              </w:tc>
              <w:tc>
                <w:tcPr>
                  <w:tcW w:w="1499" w:type="dxa"/>
                  <w:vAlign w:val="center"/>
                </w:tcPr>
                <w:p>
                  <w:pPr>
                    <w:pStyle w:val="37"/>
                  </w:pPr>
                  <w:r>
                    <w:rPr>
                      <w:rFonts w:hint="eastAsia"/>
                    </w:rPr>
                    <w:t>57.6</w:t>
                  </w:r>
                </w:p>
              </w:tc>
              <w:tc>
                <w:tcPr>
                  <w:tcW w:w="945" w:type="dxa"/>
                  <w:vMerge w:val="continue"/>
                  <w:vAlign w:val="center"/>
                </w:tcPr>
                <w:p>
                  <w:pPr>
                    <w:pStyle w:val="37"/>
                  </w:pPr>
                </w:p>
              </w:tc>
              <w:tc>
                <w:tcPr>
                  <w:tcW w:w="1569" w:type="dxa"/>
                  <w:vAlign w:val="center"/>
                </w:tcPr>
                <w:p>
                  <w:pPr>
                    <w:pStyle w:val="37"/>
                  </w:pPr>
                  <w:r>
                    <w:rPr>
                      <w:rFonts w:hint="eastAsia"/>
                    </w:rPr>
                    <w:t>47.0</w:t>
                  </w:r>
                </w:p>
              </w:tc>
              <w:tc>
                <w:tcPr>
                  <w:tcW w:w="1303"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jc w:val="center"/>
              </w:trPr>
              <w:tc>
                <w:tcPr>
                  <w:tcW w:w="1003" w:type="dxa"/>
                  <w:vMerge w:val="continue"/>
                  <w:vAlign w:val="center"/>
                </w:tcPr>
                <w:p>
                  <w:pPr>
                    <w:pStyle w:val="37"/>
                  </w:pPr>
                </w:p>
              </w:tc>
              <w:tc>
                <w:tcPr>
                  <w:tcW w:w="1004" w:type="dxa"/>
                  <w:vAlign w:val="center"/>
                </w:tcPr>
                <w:p>
                  <w:pPr>
                    <w:pStyle w:val="37"/>
                  </w:pPr>
                  <w:r>
                    <w:rPr>
                      <w:rFonts w:hint="eastAsia"/>
                    </w:rPr>
                    <w:t>厂界西侧</w:t>
                  </w:r>
                </w:p>
              </w:tc>
              <w:tc>
                <w:tcPr>
                  <w:tcW w:w="647" w:type="dxa"/>
                  <w:vAlign w:val="center"/>
                </w:tcPr>
                <w:p>
                  <w:pPr>
                    <w:pStyle w:val="37"/>
                  </w:pPr>
                  <w:r>
                    <w:t>N3</w:t>
                  </w:r>
                </w:p>
              </w:tc>
              <w:tc>
                <w:tcPr>
                  <w:tcW w:w="1499" w:type="dxa"/>
                  <w:vAlign w:val="center"/>
                </w:tcPr>
                <w:p>
                  <w:pPr>
                    <w:pStyle w:val="37"/>
                  </w:pPr>
                  <w:r>
                    <w:rPr>
                      <w:rFonts w:hint="eastAsia"/>
                    </w:rPr>
                    <w:t>54.7</w:t>
                  </w:r>
                </w:p>
              </w:tc>
              <w:tc>
                <w:tcPr>
                  <w:tcW w:w="945" w:type="dxa"/>
                  <w:vMerge w:val="continue"/>
                  <w:vAlign w:val="center"/>
                </w:tcPr>
                <w:p>
                  <w:pPr>
                    <w:pStyle w:val="37"/>
                  </w:pPr>
                </w:p>
              </w:tc>
              <w:tc>
                <w:tcPr>
                  <w:tcW w:w="1569" w:type="dxa"/>
                  <w:vAlign w:val="center"/>
                </w:tcPr>
                <w:p>
                  <w:pPr>
                    <w:pStyle w:val="37"/>
                  </w:pPr>
                  <w:r>
                    <w:rPr>
                      <w:rFonts w:hint="eastAsia"/>
                    </w:rPr>
                    <w:t>44.5</w:t>
                  </w:r>
                </w:p>
              </w:tc>
              <w:tc>
                <w:tcPr>
                  <w:tcW w:w="1303"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jc w:val="center"/>
              </w:trPr>
              <w:tc>
                <w:tcPr>
                  <w:tcW w:w="1003" w:type="dxa"/>
                  <w:vMerge w:val="continue"/>
                  <w:vAlign w:val="center"/>
                </w:tcPr>
                <w:p>
                  <w:pPr>
                    <w:pStyle w:val="37"/>
                  </w:pPr>
                </w:p>
              </w:tc>
              <w:tc>
                <w:tcPr>
                  <w:tcW w:w="1004" w:type="dxa"/>
                  <w:vAlign w:val="center"/>
                </w:tcPr>
                <w:p>
                  <w:pPr>
                    <w:pStyle w:val="37"/>
                  </w:pPr>
                  <w:r>
                    <w:rPr>
                      <w:rFonts w:hint="eastAsia"/>
                    </w:rPr>
                    <w:t>厂界北侧</w:t>
                  </w:r>
                </w:p>
              </w:tc>
              <w:tc>
                <w:tcPr>
                  <w:tcW w:w="647" w:type="dxa"/>
                  <w:vAlign w:val="center"/>
                </w:tcPr>
                <w:p>
                  <w:pPr>
                    <w:pStyle w:val="37"/>
                  </w:pPr>
                  <w:r>
                    <w:t>N4</w:t>
                  </w:r>
                </w:p>
              </w:tc>
              <w:tc>
                <w:tcPr>
                  <w:tcW w:w="1499" w:type="dxa"/>
                  <w:vAlign w:val="center"/>
                </w:tcPr>
                <w:p>
                  <w:pPr>
                    <w:pStyle w:val="37"/>
                  </w:pPr>
                  <w:r>
                    <w:rPr>
                      <w:rFonts w:hint="eastAsia"/>
                    </w:rPr>
                    <w:t>57.2</w:t>
                  </w:r>
                </w:p>
              </w:tc>
              <w:tc>
                <w:tcPr>
                  <w:tcW w:w="945" w:type="dxa"/>
                  <w:vMerge w:val="continue"/>
                  <w:vAlign w:val="center"/>
                </w:tcPr>
                <w:p>
                  <w:pPr>
                    <w:pStyle w:val="37"/>
                  </w:pPr>
                </w:p>
              </w:tc>
              <w:tc>
                <w:tcPr>
                  <w:tcW w:w="1569" w:type="dxa"/>
                  <w:vAlign w:val="center"/>
                </w:tcPr>
                <w:p>
                  <w:pPr>
                    <w:pStyle w:val="37"/>
                  </w:pPr>
                  <w:r>
                    <w:rPr>
                      <w:rFonts w:hint="eastAsia"/>
                    </w:rPr>
                    <w:t>45.7</w:t>
                  </w:r>
                </w:p>
              </w:tc>
              <w:tc>
                <w:tcPr>
                  <w:tcW w:w="1303" w:type="dxa"/>
                  <w:vMerge w:val="continue"/>
                  <w:vAlign w:val="center"/>
                </w:tcPr>
                <w:p>
                  <w:pPr>
                    <w:pStyle w:val="37"/>
                  </w:pPr>
                </w:p>
              </w:tc>
            </w:tr>
          </w:tbl>
          <w:p>
            <w:pPr>
              <w:ind w:firstLine="480"/>
            </w:pPr>
            <w:r>
              <w:t>由表3-</w:t>
            </w:r>
            <w:r>
              <w:rPr>
                <w:rFonts w:hint="eastAsia"/>
              </w:rPr>
              <w:t>4</w:t>
            </w:r>
            <w:r>
              <w:t>可知，项目各厂界监测点</w:t>
            </w:r>
            <w:r>
              <w:rPr>
                <w:rFonts w:hint="eastAsia"/>
              </w:rPr>
              <w:t>均</w:t>
            </w:r>
            <w:r>
              <w:t>满足《声环境质量标准》（GB</w:t>
            </w:r>
            <w:r>
              <w:rPr>
                <w:rFonts w:hint="eastAsia"/>
              </w:rPr>
              <w:t>3096</w:t>
            </w:r>
            <w:r>
              <w:t>-2008）中</w:t>
            </w:r>
            <w:r>
              <w:rPr>
                <w:rFonts w:hint="eastAsia"/>
              </w:rPr>
              <w:t>3</w:t>
            </w:r>
            <w:r>
              <w:t>类区标准要求，声环境功能现状良好</w:t>
            </w:r>
            <w:r>
              <w:rPr>
                <w:rFonts w:hint="eastAsia"/>
              </w:rPr>
              <w:t>。</w:t>
            </w:r>
          </w:p>
          <w:p>
            <w:pPr>
              <w:adjustRightInd w:val="0"/>
              <w:snapToGrid w:val="0"/>
              <w:ind w:firstLine="482"/>
              <w:rPr>
                <w:b/>
                <w:bCs/>
                <w:color w:val="000000"/>
              </w:rPr>
            </w:pPr>
            <w:r>
              <w:rPr>
                <w:rFonts w:hint="eastAsia"/>
                <w:b/>
                <w:bCs/>
                <w:color w:val="000000"/>
              </w:rPr>
              <w:t>（4）</w:t>
            </w:r>
            <w:r>
              <w:rPr>
                <w:b/>
                <w:bCs/>
                <w:color w:val="000000"/>
              </w:rPr>
              <w:t>生态环境质量</w:t>
            </w:r>
          </w:p>
          <w:p>
            <w:pPr>
              <w:ind w:firstLine="480"/>
              <w:rPr>
                <w:color w:val="000000"/>
              </w:rPr>
            </w:pPr>
            <w:r>
              <w:rPr>
                <w:rFonts w:hint="eastAsia"/>
                <w:color w:val="000000"/>
              </w:rPr>
              <w:t>据《建设项目环境影响报告编制技术指南》（污染影响类）（试行）（2</w:t>
            </w:r>
            <w:r>
              <w:rPr>
                <w:color w:val="000000"/>
              </w:rPr>
              <w:t>021</w:t>
            </w:r>
            <w:r>
              <w:rPr>
                <w:rFonts w:hint="eastAsia"/>
                <w:color w:val="000000"/>
              </w:rPr>
              <w:t>版），区域环境现状：“生态环境。产业园区外建设项目新增用地且用地范围内含有生态环境保护目标时，应该进行生态现状调查”。</w:t>
            </w:r>
          </w:p>
          <w:p>
            <w:pPr>
              <w:ind w:firstLine="480"/>
              <w:rPr>
                <w:color w:val="000000"/>
              </w:rPr>
            </w:pPr>
            <w:r>
              <w:rPr>
                <w:rFonts w:hint="eastAsia"/>
                <w:color w:val="000000"/>
              </w:rPr>
              <w:t>项目位于南昌市南昌县小蓝经济开发区江铃汽车股份有限公司（小蓝分公司）现有厂区内，周边不存在特殊生态敏感区（包括自然保护区、世界文化和自然遗产地等）和重要生态敏感区（包括风景名胜区、森林公园、地质公园、重要湿地、原始天然林、珍稀濒危野生动植物天然集中分布区、重要水生生物的自然产卵场及索饵场、越冬场和洄游通道、天然渔场等），可不进行生态现状调查。</w:t>
            </w:r>
          </w:p>
          <w:p>
            <w:pPr>
              <w:adjustRightInd w:val="0"/>
              <w:snapToGrid w:val="0"/>
              <w:ind w:firstLine="482"/>
              <w:rPr>
                <w:color w:val="000000"/>
              </w:rPr>
            </w:pPr>
            <w:r>
              <w:rPr>
                <w:rFonts w:hint="eastAsia"/>
                <w:b/>
                <w:bCs/>
                <w:color w:val="000000"/>
              </w:rPr>
              <w:t>（5）地下水、土壤</w:t>
            </w:r>
          </w:p>
          <w:p>
            <w:pPr>
              <w:pStyle w:val="95"/>
              <w:adjustRightInd w:val="0"/>
              <w:snapToGrid w:val="0"/>
              <w:ind w:firstLine="480"/>
              <w:rPr>
                <w:color w:val="000000"/>
              </w:rPr>
            </w:pPr>
            <w:r>
              <w:rPr>
                <w:rFonts w:hint="eastAsia"/>
                <w:color w:val="000000"/>
              </w:rPr>
              <w:t>根据《建设项目环境影响报告表编制技术指南（污染影响类，试行）》中“原则上不开展环境质量现状调查。建设项目存在土壤、地下水环境污染途径的，应结合污染源、保护目标分布情况开展现状调查以留作背景值”。</w:t>
            </w:r>
          </w:p>
          <w:p>
            <w:pPr>
              <w:ind w:firstLine="480"/>
              <w:rPr>
                <w:color w:val="000000"/>
              </w:rPr>
            </w:pPr>
            <w:r>
              <w:rPr>
                <w:rFonts w:hint="eastAsia"/>
                <w:color w:val="000000"/>
              </w:rPr>
              <w:t>扩建</w:t>
            </w:r>
            <w:r>
              <w:rPr>
                <w:color w:val="000000"/>
              </w:rPr>
              <w:t>项目对地下水</w:t>
            </w:r>
            <w:r>
              <w:rPr>
                <w:rFonts w:hint="eastAsia"/>
                <w:color w:val="000000"/>
              </w:rPr>
              <w:t>及土壤</w:t>
            </w:r>
            <w:r>
              <w:rPr>
                <w:color w:val="000000"/>
              </w:rPr>
              <w:t>产生污染的途径主要是渗透污染</w:t>
            </w:r>
            <w:r>
              <w:rPr>
                <w:rFonts w:hint="eastAsia"/>
                <w:color w:val="000000"/>
              </w:rPr>
              <w:t>，拟采取的主要防治措施为：生产车间地面采用混凝土硬化；一般固废应暂存于固废暂存间，不设置露天堆场，并采取水泥硬化，一般工业固体废物贮存过程满足相应防渗漏、防雨淋、防扬尘等环境保护要求。现有项目及本次扩建项目所在区域划分为重点防渗区、一般防渗区、简单防渗区等，采取上述相应措施后，可有效防止控制地下水和土壤污染，不会对地下水造成影响，对地面采用水泥硬化和严格防渗，有效阻断对土壤的污染，不存在地下水、土壤的污染途径。</w:t>
            </w:r>
          </w:p>
          <w:p>
            <w:pPr>
              <w:ind w:firstLine="480"/>
              <w:rPr>
                <w:color w:val="000000"/>
              </w:rPr>
            </w:pPr>
            <w:r>
              <w:rPr>
                <w:rFonts w:hint="eastAsia"/>
                <w:color w:val="000000"/>
              </w:rPr>
              <w:t>故本次评价不开展地下水、土壤现状调查。</w:t>
            </w:r>
          </w:p>
          <w:p>
            <w:pPr>
              <w:ind w:firstLine="0" w:firstLineChars="0"/>
              <w:rPr>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86" w:hRule="atLeast"/>
          <w:jc w:val="center"/>
        </w:trPr>
        <w:tc>
          <w:tcPr>
            <w:tcW w:w="850" w:type="dxa"/>
            <w:vAlign w:val="center"/>
          </w:tcPr>
          <w:p>
            <w:pPr>
              <w:pStyle w:val="41"/>
              <w:rPr>
                <w:b/>
                <w:bCs/>
                <w:color w:val="000000"/>
              </w:rPr>
            </w:pPr>
            <w:r>
              <w:rPr>
                <w:b/>
                <w:bCs/>
                <w:color w:val="000000"/>
              </w:rPr>
              <w:t>环境</w:t>
            </w:r>
          </w:p>
          <w:p>
            <w:pPr>
              <w:pStyle w:val="41"/>
              <w:rPr>
                <w:b/>
                <w:bCs/>
                <w:color w:val="000000"/>
              </w:rPr>
            </w:pPr>
            <w:r>
              <w:rPr>
                <w:b/>
                <w:bCs/>
                <w:color w:val="000000"/>
              </w:rPr>
              <w:t>保护</w:t>
            </w:r>
          </w:p>
          <w:p>
            <w:pPr>
              <w:pStyle w:val="41"/>
              <w:rPr>
                <w:b/>
                <w:bCs/>
                <w:color w:val="000000"/>
              </w:rPr>
            </w:pPr>
            <w:r>
              <w:rPr>
                <w:b/>
                <w:bCs/>
                <w:color w:val="000000"/>
              </w:rPr>
              <w:t>目标</w:t>
            </w:r>
          </w:p>
        </w:tc>
        <w:tc>
          <w:tcPr>
            <w:tcW w:w="8211" w:type="dxa"/>
          </w:tcPr>
          <w:p>
            <w:pPr>
              <w:pStyle w:val="38"/>
              <w:rPr>
                <w:color w:val="000000"/>
                <w:spacing w:val="0"/>
              </w:rPr>
            </w:pPr>
            <w:r>
              <w:rPr>
                <w:color w:val="000000"/>
                <w:spacing w:val="0"/>
              </w:rPr>
              <w:t>表3</w:t>
            </w:r>
            <w:r>
              <w:rPr>
                <w:rFonts w:hint="eastAsia"/>
                <w:color w:val="000000"/>
                <w:spacing w:val="0"/>
              </w:rPr>
              <w:t xml:space="preserve">-5 </w:t>
            </w:r>
            <w:r>
              <w:rPr>
                <w:color w:val="000000"/>
                <w:spacing w:val="0"/>
              </w:rPr>
              <w:t xml:space="preserve"> 环境保护目标一览表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314"/>
              <w:gridCol w:w="546"/>
              <w:gridCol w:w="546"/>
              <w:gridCol w:w="596"/>
              <w:gridCol w:w="730"/>
              <w:gridCol w:w="789"/>
              <w:gridCol w:w="771"/>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restart"/>
                  <w:vAlign w:val="center"/>
                </w:tcPr>
                <w:p>
                  <w:pPr>
                    <w:pStyle w:val="37"/>
                    <w:rPr>
                      <w:b/>
                      <w:bCs/>
                      <w:color w:val="000000"/>
                    </w:rPr>
                  </w:pPr>
                  <w:r>
                    <w:rPr>
                      <w:rFonts w:hint="eastAsia"/>
                      <w:b/>
                      <w:bCs/>
                      <w:color w:val="000000"/>
                    </w:rPr>
                    <w:t>环境要素</w:t>
                  </w:r>
                </w:p>
              </w:tc>
              <w:tc>
                <w:tcPr>
                  <w:tcW w:w="823" w:type="pct"/>
                  <w:vMerge w:val="restart"/>
                  <w:vAlign w:val="center"/>
                </w:tcPr>
                <w:p>
                  <w:pPr>
                    <w:pStyle w:val="37"/>
                    <w:rPr>
                      <w:b/>
                      <w:bCs/>
                      <w:color w:val="000000"/>
                    </w:rPr>
                  </w:pPr>
                  <w:r>
                    <w:rPr>
                      <w:rFonts w:hint="eastAsia"/>
                      <w:b/>
                      <w:bCs/>
                      <w:color w:val="000000"/>
                    </w:rPr>
                    <w:t>环境保护对象名称</w:t>
                  </w:r>
                </w:p>
              </w:tc>
              <w:tc>
                <w:tcPr>
                  <w:tcW w:w="684" w:type="pct"/>
                  <w:gridSpan w:val="2"/>
                  <w:tcBorders>
                    <w:bottom w:val="single" w:color="auto" w:sz="4" w:space="0"/>
                  </w:tcBorders>
                  <w:vAlign w:val="center"/>
                </w:tcPr>
                <w:p>
                  <w:pPr>
                    <w:pStyle w:val="37"/>
                    <w:rPr>
                      <w:b/>
                      <w:bCs/>
                      <w:color w:val="000000"/>
                    </w:rPr>
                  </w:pPr>
                  <w:r>
                    <w:rPr>
                      <w:rFonts w:hint="eastAsia"/>
                      <w:b/>
                      <w:bCs/>
                      <w:color w:val="000000"/>
                    </w:rPr>
                    <w:t>相对坐标</w:t>
                  </w:r>
                </w:p>
              </w:tc>
              <w:tc>
                <w:tcPr>
                  <w:tcW w:w="373" w:type="pct"/>
                  <w:vMerge w:val="restart"/>
                  <w:vAlign w:val="center"/>
                </w:tcPr>
                <w:p>
                  <w:pPr>
                    <w:pStyle w:val="37"/>
                    <w:rPr>
                      <w:b/>
                      <w:bCs/>
                      <w:color w:val="000000"/>
                    </w:rPr>
                  </w:pPr>
                  <w:r>
                    <w:rPr>
                      <w:rFonts w:hint="eastAsia"/>
                      <w:b/>
                      <w:bCs/>
                      <w:color w:val="000000"/>
                    </w:rPr>
                    <w:t>方位</w:t>
                  </w:r>
                </w:p>
              </w:tc>
              <w:tc>
                <w:tcPr>
                  <w:tcW w:w="457" w:type="pct"/>
                  <w:vMerge w:val="restart"/>
                  <w:vAlign w:val="center"/>
                </w:tcPr>
                <w:p>
                  <w:pPr>
                    <w:pStyle w:val="37"/>
                    <w:rPr>
                      <w:b/>
                      <w:bCs/>
                      <w:color w:val="000000"/>
                    </w:rPr>
                  </w:pPr>
                  <w:r>
                    <w:rPr>
                      <w:rFonts w:hint="eastAsia"/>
                      <w:b/>
                      <w:bCs/>
                      <w:color w:val="000000"/>
                    </w:rPr>
                    <w:t>距离（m）</w:t>
                  </w:r>
                </w:p>
              </w:tc>
              <w:tc>
                <w:tcPr>
                  <w:tcW w:w="494" w:type="pct"/>
                  <w:vMerge w:val="restart"/>
                  <w:vAlign w:val="center"/>
                </w:tcPr>
                <w:p>
                  <w:pPr>
                    <w:pStyle w:val="37"/>
                    <w:rPr>
                      <w:b/>
                      <w:bCs/>
                      <w:color w:val="000000"/>
                    </w:rPr>
                  </w:pPr>
                  <w:r>
                    <w:rPr>
                      <w:rFonts w:hint="eastAsia"/>
                      <w:b/>
                      <w:bCs/>
                      <w:color w:val="000000"/>
                    </w:rPr>
                    <w:t>保护对象</w:t>
                  </w:r>
                </w:p>
              </w:tc>
              <w:tc>
                <w:tcPr>
                  <w:tcW w:w="482" w:type="pct"/>
                  <w:vMerge w:val="restart"/>
                  <w:vAlign w:val="center"/>
                </w:tcPr>
                <w:p>
                  <w:pPr>
                    <w:pStyle w:val="37"/>
                    <w:rPr>
                      <w:b/>
                      <w:bCs/>
                      <w:color w:val="000000"/>
                    </w:rPr>
                  </w:pPr>
                  <w:r>
                    <w:rPr>
                      <w:rFonts w:hint="eastAsia"/>
                      <w:b/>
                      <w:bCs/>
                      <w:color w:val="000000"/>
                    </w:rPr>
                    <w:t>保护内容/人</w:t>
                  </w:r>
                </w:p>
              </w:tc>
              <w:tc>
                <w:tcPr>
                  <w:tcW w:w="1323" w:type="pct"/>
                  <w:vMerge w:val="restart"/>
                  <w:vAlign w:val="center"/>
                </w:tcPr>
                <w:p>
                  <w:pPr>
                    <w:pStyle w:val="37"/>
                    <w:rPr>
                      <w:b/>
                      <w:bCs/>
                      <w:color w:val="000000"/>
                    </w:rPr>
                  </w:pPr>
                  <w:r>
                    <w:rPr>
                      <w:rFonts w:hint="eastAsia"/>
                      <w:b/>
                      <w:bCs/>
                      <w:color w:val="000000"/>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tcBorders>
                    <w:bottom w:val="single" w:color="auto" w:sz="4" w:space="0"/>
                  </w:tcBorders>
                  <w:vAlign w:val="center"/>
                </w:tcPr>
                <w:p>
                  <w:pPr>
                    <w:pStyle w:val="37"/>
                    <w:rPr>
                      <w:color w:val="000000"/>
                    </w:rPr>
                  </w:pPr>
                </w:p>
              </w:tc>
              <w:tc>
                <w:tcPr>
                  <w:tcW w:w="823" w:type="pct"/>
                  <w:vMerge w:val="continue"/>
                  <w:tcBorders>
                    <w:bottom w:val="single" w:color="auto" w:sz="4" w:space="0"/>
                  </w:tcBorders>
                  <w:vAlign w:val="center"/>
                </w:tcPr>
                <w:p>
                  <w:pPr>
                    <w:pStyle w:val="37"/>
                    <w:rPr>
                      <w:color w:val="000000"/>
                    </w:rPr>
                  </w:pPr>
                </w:p>
              </w:tc>
              <w:tc>
                <w:tcPr>
                  <w:tcW w:w="342" w:type="pct"/>
                  <w:tcBorders>
                    <w:bottom w:val="single" w:color="auto" w:sz="4" w:space="0"/>
                  </w:tcBorders>
                  <w:vAlign w:val="center"/>
                </w:tcPr>
                <w:p>
                  <w:pPr>
                    <w:pStyle w:val="37"/>
                    <w:rPr>
                      <w:b/>
                      <w:bCs/>
                      <w:color w:val="000000"/>
                    </w:rPr>
                  </w:pPr>
                  <w:r>
                    <w:rPr>
                      <w:rFonts w:hint="eastAsia"/>
                      <w:b/>
                      <w:bCs/>
                      <w:color w:val="000000"/>
                    </w:rPr>
                    <w:t>x</w:t>
                  </w:r>
                </w:p>
              </w:tc>
              <w:tc>
                <w:tcPr>
                  <w:tcW w:w="342" w:type="pct"/>
                  <w:tcBorders>
                    <w:bottom w:val="single" w:color="auto" w:sz="4" w:space="0"/>
                  </w:tcBorders>
                  <w:vAlign w:val="center"/>
                </w:tcPr>
                <w:p>
                  <w:pPr>
                    <w:pStyle w:val="37"/>
                    <w:rPr>
                      <w:b/>
                      <w:bCs/>
                      <w:color w:val="000000"/>
                    </w:rPr>
                  </w:pPr>
                  <w:r>
                    <w:rPr>
                      <w:rFonts w:hint="eastAsia"/>
                      <w:b/>
                      <w:bCs/>
                      <w:color w:val="000000"/>
                    </w:rPr>
                    <w:t>y</w:t>
                  </w:r>
                </w:p>
              </w:tc>
              <w:tc>
                <w:tcPr>
                  <w:tcW w:w="373" w:type="pct"/>
                  <w:vMerge w:val="continue"/>
                  <w:tcBorders>
                    <w:bottom w:val="single" w:color="auto" w:sz="4" w:space="0"/>
                  </w:tcBorders>
                  <w:vAlign w:val="center"/>
                </w:tcPr>
                <w:p>
                  <w:pPr>
                    <w:pStyle w:val="37"/>
                    <w:rPr>
                      <w:color w:val="000000"/>
                    </w:rPr>
                  </w:pPr>
                </w:p>
              </w:tc>
              <w:tc>
                <w:tcPr>
                  <w:tcW w:w="457" w:type="pct"/>
                  <w:vMerge w:val="continue"/>
                  <w:tcBorders>
                    <w:bottom w:val="single" w:color="auto" w:sz="4" w:space="0"/>
                  </w:tcBorders>
                  <w:vAlign w:val="center"/>
                </w:tcPr>
                <w:p>
                  <w:pPr>
                    <w:pStyle w:val="37"/>
                    <w:rPr>
                      <w:color w:val="000000"/>
                    </w:rPr>
                  </w:pPr>
                </w:p>
              </w:tc>
              <w:tc>
                <w:tcPr>
                  <w:tcW w:w="494" w:type="pct"/>
                  <w:vMerge w:val="continue"/>
                  <w:tcBorders>
                    <w:bottom w:val="single" w:color="auto" w:sz="4" w:space="0"/>
                  </w:tcBorders>
                  <w:vAlign w:val="center"/>
                </w:tcPr>
                <w:p>
                  <w:pPr>
                    <w:pStyle w:val="37"/>
                    <w:rPr>
                      <w:color w:val="000000"/>
                    </w:rPr>
                  </w:pPr>
                </w:p>
              </w:tc>
              <w:tc>
                <w:tcPr>
                  <w:tcW w:w="482" w:type="pct"/>
                  <w:vMerge w:val="continue"/>
                  <w:tcBorders>
                    <w:bottom w:val="single" w:color="auto" w:sz="4" w:space="0"/>
                  </w:tcBorders>
                  <w:vAlign w:val="center"/>
                </w:tcPr>
                <w:p>
                  <w:pPr>
                    <w:pStyle w:val="37"/>
                    <w:rPr>
                      <w:color w:val="000000"/>
                    </w:rPr>
                  </w:pPr>
                </w:p>
              </w:tc>
              <w:tc>
                <w:tcPr>
                  <w:tcW w:w="1323" w:type="pct"/>
                  <w:vMerge w:val="continue"/>
                  <w:tcBorders>
                    <w:bottom w:val="single" w:color="auto" w:sz="4" w:space="0"/>
                  </w:tcBorders>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vAlign w:val="center"/>
                </w:tcPr>
                <w:p>
                  <w:pPr>
                    <w:pStyle w:val="37"/>
                    <w:rPr>
                      <w:color w:val="000000"/>
                    </w:rPr>
                  </w:pPr>
                </w:p>
              </w:tc>
              <w:tc>
                <w:tcPr>
                  <w:tcW w:w="823" w:type="pct"/>
                  <w:tcBorders>
                    <w:bottom w:val="single" w:color="auto" w:sz="4" w:space="0"/>
                  </w:tcBorders>
                  <w:vAlign w:val="center"/>
                </w:tcPr>
                <w:p>
                  <w:pPr>
                    <w:pStyle w:val="37"/>
                    <w:rPr>
                      <w:color w:val="000000"/>
                    </w:rPr>
                  </w:pPr>
                  <w:r>
                    <w:rPr>
                      <w:rFonts w:hint="eastAsia"/>
                      <w:color w:val="000000"/>
                    </w:rPr>
                    <w:t>南昌县富山乡人民政府</w:t>
                  </w:r>
                </w:p>
              </w:tc>
              <w:tc>
                <w:tcPr>
                  <w:tcW w:w="342" w:type="pct"/>
                  <w:tcBorders>
                    <w:bottom w:val="single" w:color="auto" w:sz="4" w:space="0"/>
                  </w:tcBorders>
                  <w:vAlign w:val="center"/>
                </w:tcPr>
                <w:p>
                  <w:pPr>
                    <w:pStyle w:val="37"/>
                    <w:rPr>
                      <w:color w:val="000000"/>
                    </w:rPr>
                  </w:pPr>
                  <w:r>
                    <w:rPr>
                      <w:rFonts w:hint="eastAsia"/>
                      <w:color w:val="000000"/>
                    </w:rPr>
                    <w:t>56</w:t>
                  </w:r>
                </w:p>
              </w:tc>
              <w:tc>
                <w:tcPr>
                  <w:tcW w:w="342" w:type="pct"/>
                  <w:tcBorders>
                    <w:bottom w:val="single" w:color="auto" w:sz="4" w:space="0"/>
                  </w:tcBorders>
                  <w:vAlign w:val="center"/>
                </w:tcPr>
                <w:p>
                  <w:pPr>
                    <w:pStyle w:val="37"/>
                    <w:rPr>
                      <w:color w:val="000000"/>
                    </w:rPr>
                  </w:pPr>
                  <w:r>
                    <w:rPr>
                      <w:rFonts w:hint="eastAsia"/>
                      <w:color w:val="000000"/>
                    </w:rPr>
                    <w:t>0</w:t>
                  </w:r>
                </w:p>
              </w:tc>
              <w:tc>
                <w:tcPr>
                  <w:tcW w:w="373" w:type="pct"/>
                  <w:tcBorders>
                    <w:bottom w:val="single" w:color="auto" w:sz="4" w:space="0"/>
                  </w:tcBorders>
                  <w:vAlign w:val="center"/>
                </w:tcPr>
                <w:p>
                  <w:pPr>
                    <w:pStyle w:val="37"/>
                    <w:rPr>
                      <w:color w:val="000000"/>
                    </w:rPr>
                  </w:pPr>
                  <w:r>
                    <w:rPr>
                      <w:rFonts w:hint="eastAsia"/>
                      <w:color w:val="000000"/>
                    </w:rPr>
                    <w:t>东</w:t>
                  </w:r>
                </w:p>
              </w:tc>
              <w:tc>
                <w:tcPr>
                  <w:tcW w:w="457" w:type="pct"/>
                  <w:tcBorders>
                    <w:bottom w:val="single" w:color="auto" w:sz="4" w:space="0"/>
                  </w:tcBorders>
                  <w:vAlign w:val="center"/>
                </w:tcPr>
                <w:p>
                  <w:pPr>
                    <w:pStyle w:val="37"/>
                    <w:rPr>
                      <w:color w:val="000000"/>
                    </w:rPr>
                  </w:pPr>
                  <w:r>
                    <w:rPr>
                      <w:rFonts w:hint="eastAsia"/>
                      <w:color w:val="000000"/>
                    </w:rPr>
                    <w:t>56</w:t>
                  </w:r>
                </w:p>
              </w:tc>
              <w:tc>
                <w:tcPr>
                  <w:tcW w:w="494" w:type="pct"/>
                  <w:tcBorders>
                    <w:bottom w:val="single" w:color="auto" w:sz="4" w:space="0"/>
                  </w:tcBorders>
                  <w:vAlign w:val="center"/>
                </w:tcPr>
                <w:p>
                  <w:pPr>
                    <w:pStyle w:val="37"/>
                    <w:rPr>
                      <w:color w:val="000000"/>
                    </w:rPr>
                  </w:pPr>
                  <w:r>
                    <w:rPr>
                      <w:rFonts w:hint="eastAsia"/>
                      <w:color w:val="000000"/>
                    </w:rPr>
                    <w:t>人群密集区</w:t>
                  </w:r>
                </w:p>
              </w:tc>
              <w:tc>
                <w:tcPr>
                  <w:tcW w:w="482" w:type="pct"/>
                  <w:tcBorders>
                    <w:bottom w:val="single" w:color="auto" w:sz="4" w:space="0"/>
                  </w:tcBorders>
                  <w:vAlign w:val="center"/>
                </w:tcPr>
                <w:p>
                  <w:pPr>
                    <w:pStyle w:val="37"/>
                    <w:rPr>
                      <w:color w:val="000000"/>
                    </w:rPr>
                  </w:pPr>
                  <w:r>
                    <w:rPr>
                      <w:rFonts w:hint="eastAsia"/>
                      <w:color w:val="000000"/>
                    </w:rPr>
                    <w:t>80</w:t>
                  </w:r>
                </w:p>
              </w:tc>
              <w:tc>
                <w:tcPr>
                  <w:tcW w:w="1323"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vAlign w:val="center"/>
                </w:tcPr>
                <w:p>
                  <w:pPr>
                    <w:pStyle w:val="37"/>
                    <w:rPr>
                      <w:color w:val="000000"/>
                    </w:rPr>
                  </w:pPr>
                </w:p>
              </w:tc>
              <w:tc>
                <w:tcPr>
                  <w:tcW w:w="823" w:type="pct"/>
                  <w:tcBorders>
                    <w:bottom w:val="single" w:color="auto" w:sz="4" w:space="0"/>
                  </w:tcBorders>
                  <w:vAlign w:val="center"/>
                </w:tcPr>
                <w:p>
                  <w:pPr>
                    <w:pStyle w:val="37"/>
                    <w:rPr>
                      <w:color w:val="000000"/>
                    </w:rPr>
                  </w:pPr>
                  <w:r>
                    <w:rPr>
                      <w:rFonts w:hint="eastAsia"/>
                      <w:color w:val="000000"/>
                    </w:rPr>
                    <w:t>东恒村</w:t>
                  </w:r>
                </w:p>
              </w:tc>
              <w:tc>
                <w:tcPr>
                  <w:tcW w:w="342" w:type="pct"/>
                  <w:tcBorders>
                    <w:bottom w:val="single" w:color="auto" w:sz="4" w:space="0"/>
                  </w:tcBorders>
                  <w:vAlign w:val="center"/>
                </w:tcPr>
                <w:p>
                  <w:pPr>
                    <w:pStyle w:val="37"/>
                    <w:rPr>
                      <w:color w:val="000000"/>
                    </w:rPr>
                  </w:pPr>
                  <w:r>
                    <w:rPr>
                      <w:rFonts w:hint="eastAsia"/>
                      <w:color w:val="000000"/>
                    </w:rPr>
                    <w:t>0</w:t>
                  </w:r>
                </w:p>
              </w:tc>
              <w:tc>
                <w:tcPr>
                  <w:tcW w:w="342" w:type="pct"/>
                  <w:tcBorders>
                    <w:bottom w:val="single" w:color="auto" w:sz="4" w:space="0"/>
                  </w:tcBorders>
                  <w:vAlign w:val="center"/>
                </w:tcPr>
                <w:p>
                  <w:pPr>
                    <w:pStyle w:val="37"/>
                    <w:rPr>
                      <w:color w:val="000000"/>
                    </w:rPr>
                  </w:pPr>
                  <w:r>
                    <w:rPr>
                      <w:rFonts w:hint="eastAsia"/>
                      <w:color w:val="000000"/>
                    </w:rPr>
                    <w:t>-53</w:t>
                  </w:r>
                </w:p>
              </w:tc>
              <w:tc>
                <w:tcPr>
                  <w:tcW w:w="373" w:type="pct"/>
                  <w:tcBorders>
                    <w:bottom w:val="single" w:color="auto" w:sz="4" w:space="0"/>
                  </w:tcBorders>
                  <w:vAlign w:val="center"/>
                </w:tcPr>
                <w:p>
                  <w:pPr>
                    <w:pStyle w:val="37"/>
                    <w:rPr>
                      <w:color w:val="000000"/>
                    </w:rPr>
                  </w:pPr>
                  <w:r>
                    <w:rPr>
                      <w:rFonts w:hint="eastAsia"/>
                      <w:color w:val="000000"/>
                    </w:rPr>
                    <w:t>南</w:t>
                  </w:r>
                </w:p>
              </w:tc>
              <w:tc>
                <w:tcPr>
                  <w:tcW w:w="457" w:type="pct"/>
                  <w:tcBorders>
                    <w:bottom w:val="single" w:color="auto" w:sz="4" w:space="0"/>
                  </w:tcBorders>
                  <w:vAlign w:val="center"/>
                </w:tcPr>
                <w:p>
                  <w:pPr>
                    <w:pStyle w:val="37"/>
                    <w:rPr>
                      <w:color w:val="000000"/>
                    </w:rPr>
                  </w:pPr>
                  <w:r>
                    <w:rPr>
                      <w:rFonts w:hint="eastAsia"/>
                      <w:color w:val="000000"/>
                    </w:rPr>
                    <w:t>53</w:t>
                  </w:r>
                </w:p>
              </w:tc>
              <w:tc>
                <w:tcPr>
                  <w:tcW w:w="494" w:type="pct"/>
                  <w:tcBorders>
                    <w:bottom w:val="single" w:color="auto" w:sz="4" w:space="0"/>
                  </w:tcBorders>
                  <w:vAlign w:val="center"/>
                </w:tcPr>
                <w:p>
                  <w:pPr>
                    <w:pStyle w:val="37"/>
                    <w:rPr>
                      <w:color w:val="000000"/>
                    </w:rPr>
                  </w:pPr>
                  <w:r>
                    <w:rPr>
                      <w:rFonts w:hint="eastAsia"/>
                      <w:color w:val="000000"/>
                    </w:rPr>
                    <w:t>居民</w:t>
                  </w:r>
                </w:p>
              </w:tc>
              <w:tc>
                <w:tcPr>
                  <w:tcW w:w="482" w:type="pct"/>
                  <w:tcBorders>
                    <w:bottom w:val="single" w:color="auto" w:sz="4" w:space="0"/>
                  </w:tcBorders>
                  <w:vAlign w:val="center"/>
                </w:tcPr>
                <w:p>
                  <w:pPr>
                    <w:pStyle w:val="37"/>
                    <w:rPr>
                      <w:color w:val="000000"/>
                    </w:rPr>
                  </w:pPr>
                  <w:r>
                    <w:rPr>
                      <w:rFonts w:hint="eastAsia"/>
                      <w:color w:val="000000"/>
                    </w:rPr>
                    <w:t>600</w:t>
                  </w:r>
                </w:p>
              </w:tc>
              <w:tc>
                <w:tcPr>
                  <w:tcW w:w="1323"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vAlign w:val="center"/>
                </w:tcPr>
                <w:p>
                  <w:pPr>
                    <w:pStyle w:val="37"/>
                    <w:rPr>
                      <w:color w:val="000000"/>
                    </w:rPr>
                  </w:pPr>
                </w:p>
              </w:tc>
              <w:tc>
                <w:tcPr>
                  <w:tcW w:w="823" w:type="pct"/>
                  <w:tcBorders>
                    <w:bottom w:val="single" w:color="auto" w:sz="4" w:space="0"/>
                  </w:tcBorders>
                  <w:vAlign w:val="center"/>
                </w:tcPr>
                <w:p>
                  <w:pPr>
                    <w:pStyle w:val="37"/>
                    <w:rPr>
                      <w:color w:val="000000"/>
                    </w:rPr>
                  </w:pPr>
                  <w:r>
                    <w:rPr>
                      <w:rFonts w:hint="eastAsia"/>
                      <w:color w:val="000000"/>
                    </w:rPr>
                    <w:t>宗家</w:t>
                  </w:r>
                </w:p>
              </w:tc>
              <w:tc>
                <w:tcPr>
                  <w:tcW w:w="342" w:type="pct"/>
                  <w:tcBorders>
                    <w:bottom w:val="single" w:color="auto" w:sz="4" w:space="0"/>
                  </w:tcBorders>
                  <w:vAlign w:val="center"/>
                </w:tcPr>
                <w:p>
                  <w:pPr>
                    <w:pStyle w:val="37"/>
                    <w:rPr>
                      <w:color w:val="000000"/>
                    </w:rPr>
                  </w:pPr>
                  <w:r>
                    <w:rPr>
                      <w:rFonts w:hint="eastAsia"/>
                      <w:color w:val="000000"/>
                    </w:rPr>
                    <w:t>-370</w:t>
                  </w:r>
                </w:p>
              </w:tc>
              <w:tc>
                <w:tcPr>
                  <w:tcW w:w="342" w:type="pct"/>
                  <w:tcBorders>
                    <w:bottom w:val="single" w:color="auto" w:sz="4" w:space="0"/>
                  </w:tcBorders>
                  <w:vAlign w:val="center"/>
                </w:tcPr>
                <w:p>
                  <w:pPr>
                    <w:pStyle w:val="37"/>
                    <w:rPr>
                      <w:color w:val="000000"/>
                    </w:rPr>
                  </w:pPr>
                  <w:r>
                    <w:rPr>
                      <w:rFonts w:hint="eastAsia"/>
                      <w:color w:val="000000"/>
                    </w:rPr>
                    <w:t>0</w:t>
                  </w:r>
                </w:p>
              </w:tc>
              <w:tc>
                <w:tcPr>
                  <w:tcW w:w="373" w:type="pct"/>
                  <w:tcBorders>
                    <w:bottom w:val="single" w:color="auto" w:sz="4" w:space="0"/>
                  </w:tcBorders>
                  <w:vAlign w:val="center"/>
                </w:tcPr>
                <w:p>
                  <w:pPr>
                    <w:pStyle w:val="37"/>
                    <w:rPr>
                      <w:color w:val="000000"/>
                    </w:rPr>
                  </w:pPr>
                  <w:r>
                    <w:rPr>
                      <w:rFonts w:hint="eastAsia"/>
                      <w:color w:val="000000"/>
                    </w:rPr>
                    <w:t>西</w:t>
                  </w:r>
                </w:p>
              </w:tc>
              <w:tc>
                <w:tcPr>
                  <w:tcW w:w="457" w:type="pct"/>
                  <w:tcBorders>
                    <w:bottom w:val="single" w:color="auto" w:sz="4" w:space="0"/>
                  </w:tcBorders>
                  <w:vAlign w:val="center"/>
                </w:tcPr>
                <w:p>
                  <w:pPr>
                    <w:pStyle w:val="37"/>
                    <w:rPr>
                      <w:color w:val="000000"/>
                    </w:rPr>
                  </w:pPr>
                  <w:r>
                    <w:rPr>
                      <w:rFonts w:hint="eastAsia"/>
                      <w:color w:val="000000"/>
                    </w:rPr>
                    <w:t>370</w:t>
                  </w:r>
                </w:p>
              </w:tc>
              <w:tc>
                <w:tcPr>
                  <w:tcW w:w="494" w:type="pct"/>
                  <w:tcBorders>
                    <w:bottom w:val="single" w:color="auto" w:sz="4" w:space="0"/>
                  </w:tcBorders>
                  <w:vAlign w:val="center"/>
                </w:tcPr>
                <w:p>
                  <w:pPr>
                    <w:pStyle w:val="37"/>
                    <w:rPr>
                      <w:color w:val="000000"/>
                    </w:rPr>
                  </w:pPr>
                  <w:r>
                    <w:rPr>
                      <w:rFonts w:hint="eastAsia"/>
                      <w:color w:val="000000"/>
                    </w:rPr>
                    <w:t>居民</w:t>
                  </w:r>
                </w:p>
              </w:tc>
              <w:tc>
                <w:tcPr>
                  <w:tcW w:w="482" w:type="pct"/>
                  <w:tcBorders>
                    <w:bottom w:val="single" w:color="auto" w:sz="4" w:space="0"/>
                  </w:tcBorders>
                  <w:vAlign w:val="center"/>
                </w:tcPr>
                <w:p>
                  <w:pPr>
                    <w:pStyle w:val="37"/>
                    <w:rPr>
                      <w:color w:val="000000"/>
                    </w:rPr>
                  </w:pPr>
                  <w:r>
                    <w:rPr>
                      <w:rFonts w:hint="eastAsia"/>
                      <w:color w:val="000000"/>
                    </w:rPr>
                    <w:t>150</w:t>
                  </w:r>
                </w:p>
              </w:tc>
              <w:tc>
                <w:tcPr>
                  <w:tcW w:w="1323"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Merge w:val="continue"/>
                  <w:vAlign w:val="center"/>
                </w:tcPr>
                <w:p>
                  <w:pPr>
                    <w:pStyle w:val="37"/>
                    <w:rPr>
                      <w:color w:val="000000"/>
                    </w:rPr>
                  </w:pPr>
                </w:p>
              </w:tc>
              <w:tc>
                <w:tcPr>
                  <w:tcW w:w="823" w:type="pct"/>
                  <w:tcBorders>
                    <w:bottom w:val="single" w:color="auto" w:sz="4" w:space="0"/>
                  </w:tcBorders>
                  <w:vAlign w:val="center"/>
                </w:tcPr>
                <w:p>
                  <w:pPr>
                    <w:pStyle w:val="37"/>
                    <w:rPr>
                      <w:color w:val="000000"/>
                    </w:rPr>
                  </w:pPr>
                  <w:r>
                    <w:rPr>
                      <w:rFonts w:hint="eastAsia"/>
                      <w:color w:val="000000"/>
                    </w:rPr>
                    <w:t>富山乡</w:t>
                  </w:r>
                </w:p>
              </w:tc>
              <w:tc>
                <w:tcPr>
                  <w:tcW w:w="342" w:type="pct"/>
                  <w:tcBorders>
                    <w:bottom w:val="single" w:color="auto" w:sz="4" w:space="0"/>
                  </w:tcBorders>
                  <w:vAlign w:val="center"/>
                </w:tcPr>
                <w:p>
                  <w:pPr>
                    <w:pStyle w:val="37"/>
                    <w:rPr>
                      <w:color w:val="000000"/>
                    </w:rPr>
                  </w:pPr>
                  <w:r>
                    <w:rPr>
                      <w:rFonts w:hint="eastAsia"/>
                      <w:color w:val="000000"/>
                    </w:rPr>
                    <w:t>-360</w:t>
                  </w:r>
                </w:p>
              </w:tc>
              <w:tc>
                <w:tcPr>
                  <w:tcW w:w="342" w:type="pct"/>
                  <w:tcBorders>
                    <w:bottom w:val="single" w:color="auto" w:sz="4" w:space="0"/>
                  </w:tcBorders>
                  <w:vAlign w:val="center"/>
                </w:tcPr>
                <w:p>
                  <w:pPr>
                    <w:pStyle w:val="37"/>
                    <w:rPr>
                      <w:color w:val="000000"/>
                    </w:rPr>
                  </w:pPr>
                  <w:r>
                    <w:rPr>
                      <w:rFonts w:hint="eastAsia"/>
                      <w:color w:val="000000"/>
                    </w:rPr>
                    <w:t>-150</w:t>
                  </w:r>
                </w:p>
              </w:tc>
              <w:tc>
                <w:tcPr>
                  <w:tcW w:w="373" w:type="pct"/>
                  <w:tcBorders>
                    <w:bottom w:val="single" w:color="auto" w:sz="4" w:space="0"/>
                  </w:tcBorders>
                  <w:vAlign w:val="center"/>
                </w:tcPr>
                <w:p>
                  <w:pPr>
                    <w:pStyle w:val="37"/>
                    <w:rPr>
                      <w:color w:val="000000"/>
                    </w:rPr>
                  </w:pPr>
                  <w:r>
                    <w:rPr>
                      <w:rFonts w:hint="eastAsia"/>
                      <w:color w:val="000000"/>
                    </w:rPr>
                    <w:t>西南</w:t>
                  </w:r>
                </w:p>
              </w:tc>
              <w:tc>
                <w:tcPr>
                  <w:tcW w:w="457" w:type="pct"/>
                  <w:tcBorders>
                    <w:bottom w:val="single" w:color="auto" w:sz="4" w:space="0"/>
                  </w:tcBorders>
                  <w:vAlign w:val="center"/>
                </w:tcPr>
                <w:p>
                  <w:pPr>
                    <w:pStyle w:val="37"/>
                    <w:rPr>
                      <w:color w:val="000000"/>
                    </w:rPr>
                  </w:pPr>
                  <w:r>
                    <w:rPr>
                      <w:rFonts w:hint="eastAsia"/>
                      <w:color w:val="000000"/>
                    </w:rPr>
                    <w:t>415</w:t>
                  </w:r>
                </w:p>
              </w:tc>
              <w:tc>
                <w:tcPr>
                  <w:tcW w:w="494" w:type="pct"/>
                  <w:tcBorders>
                    <w:bottom w:val="single" w:color="auto" w:sz="4" w:space="0"/>
                  </w:tcBorders>
                  <w:vAlign w:val="center"/>
                </w:tcPr>
                <w:p>
                  <w:pPr>
                    <w:pStyle w:val="37"/>
                    <w:rPr>
                      <w:color w:val="000000"/>
                    </w:rPr>
                  </w:pPr>
                  <w:r>
                    <w:rPr>
                      <w:rFonts w:hint="eastAsia"/>
                      <w:color w:val="000000"/>
                    </w:rPr>
                    <w:t>居民</w:t>
                  </w:r>
                </w:p>
              </w:tc>
              <w:tc>
                <w:tcPr>
                  <w:tcW w:w="482" w:type="pct"/>
                  <w:tcBorders>
                    <w:bottom w:val="single" w:color="auto" w:sz="4" w:space="0"/>
                  </w:tcBorders>
                  <w:vAlign w:val="center"/>
                </w:tcPr>
                <w:p>
                  <w:pPr>
                    <w:pStyle w:val="37"/>
                    <w:rPr>
                      <w:color w:val="000000"/>
                    </w:rPr>
                  </w:pPr>
                  <w:r>
                    <w:rPr>
                      <w:rFonts w:hint="eastAsia"/>
                      <w:color w:val="000000"/>
                    </w:rPr>
                    <w:t>200</w:t>
                  </w:r>
                </w:p>
              </w:tc>
              <w:tc>
                <w:tcPr>
                  <w:tcW w:w="1323"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Merge w:val="continue"/>
                  <w:vAlign w:val="center"/>
                </w:tcPr>
                <w:p>
                  <w:pPr>
                    <w:pStyle w:val="37"/>
                    <w:rPr>
                      <w:color w:val="000000"/>
                    </w:rPr>
                  </w:pPr>
                </w:p>
              </w:tc>
              <w:tc>
                <w:tcPr>
                  <w:tcW w:w="2831" w:type="pct"/>
                  <w:gridSpan w:val="6"/>
                  <w:tcBorders>
                    <w:top w:val="single" w:color="auto" w:sz="4" w:space="0"/>
                    <w:bottom w:val="single" w:color="auto" w:sz="4" w:space="0"/>
                  </w:tcBorders>
                  <w:vAlign w:val="center"/>
                </w:tcPr>
                <w:p>
                  <w:pPr>
                    <w:pStyle w:val="37"/>
                    <w:rPr>
                      <w:color w:val="000000"/>
                    </w:rPr>
                  </w:pPr>
                  <w:r>
                    <w:rPr>
                      <w:rFonts w:hint="eastAsia"/>
                      <w:color w:val="000000"/>
                      <w:kern w:val="2"/>
                      <w:szCs w:val="24"/>
                    </w:rPr>
                    <w:t>项目厂界500m范围内环境保护目标</w:t>
                  </w:r>
                </w:p>
              </w:tc>
              <w:tc>
                <w:tcPr>
                  <w:tcW w:w="482" w:type="pct"/>
                  <w:tcBorders>
                    <w:top w:val="single" w:color="auto" w:sz="4" w:space="0"/>
                    <w:bottom w:val="single" w:color="auto" w:sz="4" w:space="0"/>
                  </w:tcBorders>
                  <w:vAlign w:val="center"/>
                </w:tcPr>
                <w:p>
                  <w:pPr>
                    <w:pStyle w:val="37"/>
                    <w:rPr>
                      <w:color w:val="000000"/>
                      <w:kern w:val="2"/>
                      <w:szCs w:val="24"/>
                    </w:rPr>
                  </w:pPr>
                  <w:r>
                    <w:rPr>
                      <w:rFonts w:hint="eastAsia"/>
                      <w:color w:val="000000"/>
                      <w:kern w:val="2"/>
                      <w:szCs w:val="24"/>
                    </w:rPr>
                    <w:t>1050</w:t>
                  </w:r>
                </w:p>
              </w:tc>
              <w:tc>
                <w:tcPr>
                  <w:tcW w:w="1323"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1" w:type="pct"/>
                  <w:vMerge w:val="restart"/>
                  <w:tcBorders>
                    <w:top w:val="single" w:color="auto" w:sz="4" w:space="0"/>
                  </w:tcBorders>
                  <w:vAlign w:val="center"/>
                </w:tcPr>
                <w:p>
                  <w:pPr>
                    <w:pStyle w:val="37"/>
                    <w:rPr>
                      <w:color w:val="000000"/>
                    </w:rPr>
                  </w:pPr>
                  <w:r>
                    <w:rPr>
                      <w:rFonts w:hint="eastAsia"/>
                      <w:color w:val="000000"/>
                    </w:rPr>
                    <w:t>地表水环境</w:t>
                  </w:r>
                </w:p>
              </w:tc>
              <w:tc>
                <w:tcPr>
                  <w:tcW w:w="1507" w:type="pct"/>
                  <w:gridSpan w:val="3"/>
                  <w:tcBorders>
                    <w:top w:val="single" w:color="auto" w:sz="4" w:space="0"/>
                    <w:bottom w:val="single" w:color="auto" w:sz="4" w:space="0"/>
                  </w:tcBorders>
                  <w:vAlign w:val="center"/>
                </w:tcPr>
                <w:p>
                  <w:pPr>
                    <w:pStyle w:val="37"/>
                    <w:rPr>
                      <w:color w:val="000000"/>
                    </w:rPr>
                  </w:pPr>
                  <w:r>
                    <w:rPr>
                      <w:rFonts w:hint="eastAsia"/>
                      <w:color w:val="000000"/>
                    </w:rPr>
                    <w:t>莲塘河</w:t>
                  </w:r>
                </w:p>
              </w:tc>
              <w:tc>
                <w:tcPr>
                  <w:tcW w:w="373" w:type="pct"/>
                  <w:tcBorders>
                    <w:top w:val="single" w:color="auto" w:sz="4" w:space="0"/>
                    <w:bottom w:val="single" w:color="auto" w:sz="4" w:space="0"/>
                  </w:tcBorders>
                  <w:vAlign w:val="center"/>
                </w:tcPr>
                <w:p>
                  <w:pPr>
                    <w:pStyle w:val="37"/>
                    <w:rPr>
                      <w:color w:val="000000"/>
                    </w:rPr>
                  </w:pPr>
                  <w:r>
                    <w:rPr>
                      <w:rFonts w:hint="eastAsia"/>
                      <w:color w:val="000000"/>
                    </w:rPr>
                    <w:t>东</w:t>
                  </w:r>
                </w:p>
              </w:tc>
              <w:tc>
                <w:tcPr>
                  <w:tcW w:w="951" w:type="pct"/>
                  <w:gridSpan w:val="2"/>
                  <w:tcBorders>
                    <w:top w:val="single" w:color="auto" w:sz="4" w:space="0"/>
                    <w:bottom w:val="single" w:color="auto" w:sz="4" w:space="0"/>
                  </w:tcBorders>
                  <w:vAlign w:val="center"/>
                </w:tcPr>
                <w:p>
                  <w:pPr>
                    <w:pStyle w:val="37"/>
                    <w:rPr>
                      <w:color w:val="000000"/>
                    </w:rPr>
                  </w:pPr>
                  <w:r>
                    <w:rPr>
                      <w:rFonts w:hint="eastAsia"/>
                      <w:color w:val="000000"/>
                    </w:rPr>
                    <w:t>3.2km</w:t>
                  </w:r>
                </w:p>
              </w:tc>
              <w:tc>
                <w:tcPr>
                  <w:tcW w:w="482" w:type="pct"/>
                  <w:tcBorders>
                    <w:top w:val="single" w:color="auto" w:sz="4" w:space="0"/>
                    <w:bottom w:val="single" w:color="auto" w:sz="4" w:space="0"/>
                  </w:tcBorders>
                  <w:vAlign w:val="center"/>
                </w:tcPr>
                <w:p>
                  <w:pPr>
                    <w:pStyle w:val="37"/>
                    <w:rPr>
                      <w:color w:val="000000"/>
                    </w:rPr>
                  </w:pPr>
                  <w:r>
                    <w:rPr>
                      <w:rFonts w:hint="eastAsia"/>
                      <w:color w:val="000000"/>
                    </w:rPr>
                    <w:t>小河</w:t>
                  </w:r>
                </w:p>
              </w:tc>
              <w:tc>
                <w:tcPr>
                  <w:tcW w:w="1323" w:type="pct"/>
                  <w:tcBorders>
                    <w:top w:val="single" w:color="auto" w:sz="4" w:space="0"/>
                  </w:tcBorders>
                  <w:vAlign w:val="center"/>
                </w:tcPr>
                <w:p>
                  <w:pPr>
                    <w:pStyle w:val="37"/>
                    <w:rPr>
                      <w:color w:val="000000"/>
                    </w:rPr>
                  </w:pPr>
                  <w:r>
                    <w:rPr>
                      <w:rFonts w:hint="eastAsia"/>
                      <w:color w:val="000000"/>
                    </w:rPr>
                    <w:t>《地表水环境质量标准》（GB3838-2002）中Ⅳ类标准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1" w:type="pct"/>
                  <w:vMerge w:val="continue"/>
                  <w:vAlign w:val="center"/>
                </w:tcPr>
                <w:p>
                  <w:pPr>
                    <w:pStyle w:val="37"/>
                    <w:rPr>
                      <w:color w:val="000000"/>
                    </w:rPr>
                  </w:pPr>
                </w:p>
              </w:tc>
              <w:tc>
                <w:tcPr>
                  <w:tcW w:w="1507" w:type="pct"/>
                  <w:gridSpan w:val="3"/>
                  <w:tcBorders>
                    <w:top w:val="single" w:color="auto" w:sz="4" w:space="0"/>
                    <w:bottom w:val="single" w:color="auto" w:sz="4" w:space="0"/>
                  </w:tcBorders>
                  <w:vAlign w:val="center"/>
                </w:tcPr>
                <w:p>
                  <w:pPr>
                    <w:pStyle w:val="37"/>
                    <w:rPr>
                      <w:color w:val="000000"/>
                    </w:rPr>
                  </w:pPr>
                  <w:r>
                    <w:rPr>
                      <w:rFonts w:hint="eastAsia"/>
                      <w:color w:val="000000"/>
                    </w:rPr>
                    <w:t>雄溪河</w:t>
                  </w:r>
                </w:p>
              </w:tc>
              <w:tc>
                <w:tcPr>
                  <w:tcW w:w="373" w:type="pct"/>
                  <w:tcBorders>
                    <w:top w:val="single" w:color="auto" w:sz="4" w:space="0"/>
                    <w:bottom w:val="single" w:color="auto" w:sz="4" w:space="0"/>
                  </w:tcBorders>
                  <w:vAlign w:val="center"/>
                </w:tcPr>
                <w:p>
                  <w:pPr>
                    <w:pStyle w:val="37"/>
                    <w:rPr>
                      <w:color w:val="000000"/>
                    </w:rPr>
                  </w:pPr>
                  <w:r>
                    <w:rPr>
                      <w:rFonts w:hint="eastAsia"/>
                      <w:color w:val="000000"/>
                    </w:rPr>
                    <w:t>东</w:t>
                  </w:r>
                </w:p>
              </w:tc>
              <w:tc>
                <w:tcPr>
                  <w:tcW w:w="951" w:type="pct"/>
                  <w:gridSpan w:val="2"/>
                  <w:tcBorders>
                    <w:top w:val="single" w:color="auto" w:sz="4" w:space="0"/>
                    <w:bottom w:val="single" w:color="auto" w:sz="4" w:space="0"/>
                  </w:tcBorders>
                  <w:vAlign w:val="center"/>
                </w:tcPr>
                <w:p>
                  <w:pPr>
                    <w:pStyle w:val="37"/>
                    <w:rPr>
                      <w:color w:val="000000"/>
                    </w:rPr>
                  </w:pPr>
                  <w:r>
                    <w:rPr>
                      <w:rFonts w:hint="eastAsia"/>
                      <w:color w:val="000000"/>
                    </w:rPr>
                    <w:t>2.7km</w:t>
                  </w:r>
                </w:p>
              </w:tc>
              <w:tc>
                <w:tcPr>
                  <w:tcW w:w="482" w:type="pct"/>
                  <w:tcBorders>
                    <w:top w:val="single" w:color="auto" w:sz="4" w:space="0"/>
                    <w:bottom w:val="single" w:color="auto" w:sz="4" w:space="0"/>
                  </w:tcBorders>
                  <w:vAlign w:val="center"/>
                </w:tcPr>
                <w:p>
                  <w:pPr>
                    <w:pStyle w:val="37"/>
                    <w:rPr>
                      <w:color w:val="000000"/>
                    </w:rPr>
                  </w:pPr>
                  <w:r>
                    <w:rPr>
                      <w:rFonts w:hint="eastAsia"/>
                      <w:color w:val="000000"/>
                    </w:rPr>
                    <w:t>小河</w:t>
                  </w:r>
                </w:p>
              </w:tc>
              <w:tc>
                <w:tcPr>
                  <w:tcW w:w="1323" w:type="pct"/>
                  <w:vMerge w:val="restart"/>
                  <w:vAlign w:val="center"/>
                </w:tcPr>
                <w:p>
                  <w:pPr>
                    <w:pStyle w:val="37"/>
                    <w:rPr>
                      <w:color w:val="000000"/>
                    </w:rPr>
                  </w:pPr>
                  <w:r>
                    <w:rPr>
                      <w:rFonts w:hint="eastAsia"/>
                      <w:color w:val="000000"/>
                    </w:rPr>
                    <w:t>《地表水环境质量标准》（GB3838-2002）中Ⅲ类标准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1" w:type="pct"/>
                  <w:vMerge w:val="continue"/>
                  <w:vAlign w:val="center"/>
                </w:tcPr>
                <w:p>
                  <w:pPr>
                    <w:pStyle w:val="37"/>
                    <w:rPr>
                      <w:color w:val="000000"/>
                    </w:rPr>
                  </w:pPr>
                </w:p>
              </w:tc>
              <w:tc>
                <w:tcPr>
                  <w:tcW w:w="1507" w:type="pct"/>
                  <w:gridSpan w:val="3"/>
                  <w:tcBorders>
                    <w:top w:val="single" w:color="auto" w:sz="4" w:space="0"/>
                    <w:bottom w:val="single" w:color="auto" w:sz="4" w:space="0"/>
                  </w:tcBorders>
                  <w:vAlign w:val="center"/>
                </w:tcPr>
                <w:p>
                  <w:pPr>
                    <w:pStyle w:val="37"/>
                    <w:rPr>
                      <w:color w:val="000000"/>
                    </w:rPr>
                  </w:pPr>
                  <w:r>
                    <w:rPr>
                      <w:rFonts w:hint="eastAsia"/>
                      <w:color w:val="000000"/>
                    </w:rPr>
                    <w:t>清丰山溪</w:t>
                  </w:r>
                </w:p>
              </w:tc>
              <w:tc>
                <w:tcPr>
                  <w:tcW w:w="373" w:type="pct"/>
                  <w:tcBorders>
                    <w:top w:val="single" w:color="auto" w:sz="4" w:space="0"/>
                    <w:bottom w:val="single" w:color="auto" w:sz="4" w:space="0"/>
                  </w:tcBorders>
                  <w:vAlign w:val="center"/>
                </w:tcPr>
                <w:p>
                  <w:pPr>
                    <w:pStyle w:val="37"/>
                    <w:rPr>
                      <w:color w:val="000000"/>
                    </w:rPr>
                  </w:pPr>
                  <w:r>
                    <w:rPr>
                      <w:rFonts w:hint="eastAsia"/>
                      <w:color w:val="000000"/>
                    </w:rPr>
                    <w:t>东南</w:t>
                  </w:r>
                </w:p>
              </w:tc>
              <w:tc>
                <w:tcPr>
                  <w:tcW w:w="951" w:type="pct"/>
                  <w:gridSpan w:val="2"/>
                  <w:tcBorders>
                    <w:top w:val="single" w:color="auto" w:sz="4" w:space="0"/>
                    <w:bottom w:val="single" w:color="auto" w:sz="4" w:space="0"/>
                  </w:tcBorders>
                  <w:vAlign w:val="center"/>
                </w:tcPr>
                <w:p>
                  <w:pPr>
                    <w:pStyle w:val="37"/>
                    <w:rPr>
                      <w:color w:val="000000"/>
                    </w:rPr>
                  </w:pPr>
                  <w:r>
                    <w:rPr>
                      <w:rFonts w:hint="eastAsia"/>
                      <w:color w:val="000000"/>
                    </w:rPr>
                    <w:t>20km</w:t>
                  </w:r>
                </w:p>
              </w:tc>
              <w:tc>
                <w:tcPr>
                  <w:tcW w:w="482" w:type="pct"/>
                  <w:tcBorders>
                    <w:top w:val="single" w:color="auto" w:sz="4" w:space="0"/>
                    <w:bottom w:val="single" w:color="auto" w:sz="4" w:space="0"/>
                  </w:tcBorders>
                  <w:vAlign w:val="center"/>
                </w:tcPr>
                <w:p>
                  <w:pPr>
                    <w:pStyle w:val="37"/>
                    <w:rPr>
                      <w:color w:val="000000"/>
                    </w:rPr>
                  </w:pPr>
                  <w:r>
                    <w:rPr>
                      <w:rFonts w:hint="eastAsia"/>
                      <w:color w:val="000000"/>
                    </w:rPr>
                    <w:t>中河</w:t>
                  </w:r>
                </w:p>
              </w:tc>
              <w:tc>
                <w:tcPr>
                  <w:tcW w:w="1323"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61" w:type="pct"/>
                  <w:vMerge w:val="restart"/>
                  <w:vAlign w:val="center"/>
                </w:tcPr>
                <w:p>
                  <w:pPr>
                    <w:pStyle w:val="37"/>
                    <w:rPr>
                      <w:color w:val="000000"/>
                    </w:rPr>
                  </w:pPr>
                  <w:r>
                    <w:rPr>
                      <w:rFonts w:hint="eastAsia"/>
                      <w:color w:val="000000"/>
                    </w:rPr>
                    <w:t>声环境</w:t>
                  </w:r>
                </w:p>
              </w:tc>
              <w:tc>
                <w:tcPr>
                  <w:tcW w:w="3314" w:type="pct"/>
                  <w:gridSpan w:val="7"/>
                  <w:tcBorders>
                    <w:top w:val="single" w:color="auto" w:sz="4" w:space="0"/>
                    <w:bottom w:val="single" w:color="auto" w:sz="4" w:space="0"/>
                  </w:tcBorders>
                  <w:vAlign w:val="center"/>
                </w:tcPr>
                <w:p>
                  <w:pPr>
                    <w:pStyle w:val="37"/>
                    <w:rPr>
                      <w:color w:val="000000"/>
                    </w:rPr>
                  </w:pPr>
                  <w:r>
                    <w:rPr>
                      <w:rFonts w:hint="eastAsia"/>
                      <w:color w:val="000000"/>
                    </w:rPr>
                    <w:t>厂区外1米</w:t>
                  </w:r>
                </w:p>
              </w:tc>
              <w:tc>
                <w:tcPr>
                  <w:tcW w:w="1323" w:type="pct"/>
                  <w:tcBorders>
                    <w:bottom w:val="single" w:color="auto" w:sz="4" w:space="0"/>
                  </w:tcBorders>
                  <w:vAlign w:val="center"/>
                </w:tcPr>
                <w:p>
                  <w:pPr>
                    <w:pStyle w:val="37"/>
                    <w:rPr>
                      <w:color w:val="000000"/>
                    </w:rPr>
                  </w:pPr>
                  <w:r>
                    <w:rPr>
                      <w:rFonts w:hint="eastAsia"/>
                      <w:color w:val="000000"/>
                    </w:rPr>
                    <w:t>《声环境质量标准》（GB3096-2008）中3类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61" w:type="pct"/>
                  <w:vMerge w:val="continue"/>
                  <w:tcBorders>
                    <w:bottom w:val="single" w:color="auto" w:sz="4" w:space="0"/>
                  </w:tcBorders>
                  <w:vAlign w:val="center"/>
                </w:tcPr>
                <w:p>
                  <w:pPr>
                    <w:pStyle w:val="37"/>
                    <w:rPr>
                      <w:color w:val="000000"/>
                    </w:rPr>
                  </w:pPr>
                </w:p>
              </w:tc>
              <w:tc>
                <w:tcPr>
                  <w:tcW w:w="4638" w:type="pct"/>
                  <w:gridSpan w:val="8"/>
                  <w:tcBorders>
                    <w:top w:val="single" w:color="auto" w:sz="4" w:space="0"/>
                    <w:bottom w:val="single" w:color="auto" w:sz="4" w:space="0"/>
                  </w:tcBorders>
                  <w:vAlign w:val="center"/>
                </w:tcPr>
                <w:p>
                  <w:pPr>
                    <w:pStyle w:val="37"/>
                    <w:rPr>
                      <w:color w:val="000000"/>
                    </w:rPr>
                  </w:pPr>
                  <w:r>
                    <w:rPr>
                      <w:rFonts w:hint="eastAsia"/>
                      <w:color w:val="000000"/>
                    </w:rPr>
                    <w:t>厂界外50米内无声环境保护目标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tcBorders>
                    <w:top w:val="single" w:color="auto" w:sz="4" w:space="0"/>
                  </w:tcBorders>
                  <w:vAlign w:val="center"/>
                </w:tcPr>
                <w:p>
                  <w:pPr>
                    <w:pStyle w:val="37"/>
                    <w:rPr>
                      <w:color w:val="000000"/>
                    </w:rPr>
                  </w:pPr>
                  <w:r>
                    <w:rPr>
                      <w:color w:val="000000"/>
                    </w:rPr>
                    <w:t>地下水</w:t>
                  </w:r>
                </w:p>
              </w:tc>
              <w:tc>
                <w:tcPr>
                  <w:tcW w:w="4638" w:type="pct"/>
                  <w:gridSpan w:val="8"/>
                  <w:tcBorders>
                    <w:top w:val="single" w:color="auto" w:sz="4" w:space="0"/>
                  </w:tcBorders>
                  <w:vAlign w:val="center"/>
                </w:tcPr>
                <w:p>
                  <w:pPr>
                    <w:pStyle w:val="37"/>
                    <w:rPr>
                      <w:color w:val="000000"/>
                    </w:rPr>
                  </w:pPr>
                  <w:r>
                    <w:rPr>
                      <w:color w:val="000000"/>
                    </w:rPr>
                    <w:t>厂界范围外500米范围内的无集中式饮用水水源和热水、矿泉水、温泉等特殊地下水资源</w:t>
                  </w:r>
                </w:p>
              </w:tc>
            </w:tr>
          </w:tbl>
          <w:p>
            <w:pPr>
              <w:pStyle w:val="17"/>
              <w:ind w:firstLine="0" w:firstLineChars="0"/>
              <w:rPr>
                <w:color w:val="000000"/>
              </w:rPr>
            </w:pPr>
            <w:r>
              <w:rPr>
                <w:rFonts w:hint="eastAsia"/>
                <w:color w:val="000000"/>
              </w:rPr>
              <w:t>注：1.以厂房中心坐标（E：115°53′57.153″，N：28°48′4.932″）为坐标原点（0，0，0）；</w:t>
            </w:r>
          </w:p>
          <w:p>
            <w:pPr>
              <w:pStyle w:val="17"/>
              <w:ind w:firstLine="0" w:firstLineChars="0"/>
              <w:rPr>
                <w:color w:val="000000"/>
              </w:rPr>
            </w:pPr>
            <w:r>
              <w:rPr>
                <w:rFonts w:hint="eastAsia"/>
                <w:color w:val="000000"/>
              </w:rPr>
              <w:t>2.根据《南昌小蓝经济技术开发区规划环境影响报告书》，纳污水体雄溪河部分（小蓝污水厂排污口上游500米至莲塘河交汇处）、莲塘排渍道（莲塘河）达到《地表水环境质量标准》（GB3838-2002）IV类标准，逐步向Ⅲ类水体改善；其他河流水质达到《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5" w:hRule="atLeast"/>
          <w:jc w:val="center"/>
        </w:trPr>
        <w:tc>
          <w:tcPr>
            <w:tcW w:w="850" w:type="dxa"/>
            <w:tcMar>
              <w:left w:w="28" w:type="dxa"/>
              <w:right w:w="28" w:type="dxa"/>
            </w:tcMar>
            <w:vAlign w:val="center"/>
          </w:tcPr>
          <w:p>
            <w:pPr>
              <w:pStyle w:val="41"/>
              <w:rPr>
                <w:b/>
                <w:bCs/>
                <w:color w:val="000000"/>
              </w:rPr>
            </w:pPr>
            <w:r>
              <w:rPr>
                <w:b/>
                <w:bCs/>
                <w:color w:val="000000"/>
              </w:rPr>
              <w:t>污染</w:t>
            </w:r>
          </w:p>
          <w:p>
            <w:pPr>
              <w:pStyle w:val="41"/>
              <w:rPr>
                <w:b/>
                <w:bCs/>
                <w:color w:val="000000"/>
              </w:rPr>
            </w:pPr>
            <w:r>
              <w:rPr>
                <w:b/>
                <w:bCs/>
                <w:color w:val="000000"/>
              </w:rPr>
              <w:t>物排</w:t>
            </w:r>
          </w:p>
          <w:p>
            <w:pPr>
              <w:pStyle w:val="41"/>
              <w:rPr>
                <w:b/>
                <w:bCs/>
                <w:color w:val="000000"/>
              </w:rPr>
            </w:pPr>
            <w:r>
              <w:rPr>
                <w:b/>
                <w:bCs/>
                <w:color w:val="000000"/>
              </w:rPr>
              <w:t>放控</w:t>
            </w:r>
          </w:p>
          <w:p>
            <w:pPr>
              <w:pStyle w:val="41"/>
              <w:rPr>
                <w:b/>
                <w:bCs/>
                <w:color w:val="000000"/>
              </w:rPr>
            </w:pPr>
            <w:r>
              <w:rPr>
                <w:b/>
                <w:bCs/>
                <w:color w:val="000000"/>
              </w:rPr>
              <w:t>制标</w:t>
            </w:r>
          </w:p>
          <w:p>
            <w:pPr>
              <w:pStyle w:val="41"/>
              <w:rPr>
                <w:b/>
                <w:bCs/>
                <w:color w:val="000000"/>
              </w:rPr>
            </w:pPr>
            <w:r>
              <w:rPr>
                <w:b/>
                <w:bCs/>
                <w:color w:val="000000"/>
              </w:rPr>
              <w:t>准</w:t>
            </w:r>
          </w:p>
        </w:tc>
        <w:tc>
          <w:tcPr>
            <w:tcW w:w="8211" w:type="dxa"/>
          </w:tcPr>
          <w:p>
            <w:pPr>
              <w:pStyle w:val="38"/>
              <w:rPr>
                <w:color w:val="000000"/>
                <w:spacing w:val="0"/>
                <w:szCs w:val="24"/>
              </w:rPr>
            </w:pPr>
            <w:r>
              <w:rPr>
                <w:color w:val="000000"/>
                <w:spacing w:val="0"/>
                <w:szCs w:val="24"/>
              </w:rPr>
              <w:t>表3-</w:t>
            </w:r>
            <w:r>
              <w:rPr>
                <w:rFonts w:hint="eastAsia"/>
                <w:color w:val="000000"/>
                <w:spacing w:val="0"/>
                <w:szCs w:val="24"/>
              </w:rPr>
              <w:t xml:space="preserve">6 </w:t>
            </w:r>
            <w:r>
              <w:rPr>
                <w:color w:val="000000"/>
                <w:spacing w:val="0"/>
                <w:szCs w:val="24"/>
              </w:rPr>
              <w:t xml:space="preserve"> </w:t>
            </w:r>
            <w:r>
              <w:rPr>
                <w:rFonts w:hint="eastAsia"/>
                <w:color w:val="000000"/>
                <w:spacing w:val="0"/>
                <w:szCs w:val="24"/>
              </w:rPr>
              <w:t>项目主要</w:t>
            </w:r>
            <w:r>
              <w:rPr>
                <w:color w:val="000000"/>
                <w:spacing w:val="0"/>
                <w:szCs w:val="24"/>
              </w:rPr>
              <w:t>污染物排放标准一览表</w:t>
            </w:r>
          </w:p>
          <w:tbl>
            <w:tblPr>
              <w:tblStyle w:val="27"/>
              <w:tblW w:w="7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2"/>
              <w:gridCol w:w="2384"/>
              <w:gridCol w:w="755"/>
              <w:gridCol w:w="1353"/>
              <w:gridCol w:w="1516"/>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522" w:type="dxa"/>
                  <w:vMerge w:val="restart"/>
                  <w:tcBorders>
                    <w:top w:val="single" w:color="auto" w:sz="4" w:space="0"/>
                    <w:left w:val="single" w:color="auto" w:sz="0" w:space="0"/>
                    <w:right w:val="single" w:color="auto" w:sz="4" w:space="0"/>
                  </w:tcBorders>
                  <w:vAlign w:val="center"/>
                </w:tcPr>
                <w:p>
                  <w:pPr>
                    <w:pStyle w:val="37"/>
                    <w:rPr>
                      <w:b/>
                      <w:bCs/>
                      <w:color w:val="000000"/>
                      <w:kern w:val="2"/>
                      <w:szCs w:val="24"/>
                    </w:rPr>
                  </w:pPr>
                  <w:r>
                    <w:rPr>
                      <w:b/>
                      <w:bCs/>
                      <w:color w:val="000000"/>
                      <w:kern w:val="2"/>
                      <w:szCs w:val="24"/>
                    </w:rPr>
                    <w:t>项目</w:t>
                  </w:r>
                </w:p>
              </w:tc>
              <w:tc>
                <w:tcPr>
                  <w:tcW w:w="2384" w:type="dxa"/>
                  <w:vMerge w:val="restart"/>
                  <w:tcBorders>
                    <w:top w:val="single" w:color="auto" w:sz="4" w:space="0"/>
                    <w:left w:val="single" w:color="auto" w:sz="4" w:space="0"/>
                    <w:right w:val="single" w:color="auto" w:sz="4" w:space="0"/>
                  </w:tcBorders>
                  <w:vAlign w:val="center"/>
                </w:tcPr>
                <w:p>
                  <w:pPr>
                    <w:pStyle w:val="37"/>
                    <w:rPr>
                      <w:b/>
                      <w:bCs/>
                      <w:color w:val="000000"/>
                      <w:kern w:val="2"/>
                      <w:szCs w:val="24"/>
                    </w:rPr>
                  </w:pPr>
                  <w:r>
                    <w:rPr>
                      <w:b/>
                      <w:bCs/>
                      <w:color w:val="000000"/>
                      <w:kern w:val="2"/>
                      <w:szCs w:val="24"/>
                    </w:rPr>
                    <w:t>标准</w:t>
                  </w:r>
                  <w:r>
                    <w:rPr>
                      <w:b/>
                      <w:bCs/>
                      <w:color w:val="000000"/>
                      <w:kern w:val="2"/>
                      <w:szCs w:val="24"/>
                      <w:lang w:val="zh-CN"/>
                    </w:rPr>
                    <w:t>名称</w:t>
                  </w:r>
                </w:p>
              </w:tc>
              <w:tc>
                <w:tcPr>
                  <w:tcW w:w="755" w:type="dxa"/>
                  <w:vMerge w:val="restart"/>
                  <w:tcBorders>
                    <w:top w:val="single" w:color="auto" w:sz="4" w:space="0"/>
                    <w:left w:val="single" w:color="auto" w:sz="4" w:space="0"/>
                    <w:right w:val="single" w:color="auto" w:sz="4" w:space="0"/>
                  </w:tcBorders>
                  <w:vAlign w:val="center"/>
                </w:tcPr>
                <w:p>
                  <w:pPr>
                    <w:pStyle w:val="37"/>
                    <w:rPr>
                      <w:b/>
                      <w:bCs/>
                      <w:color w:val="000000"/>
                      <w:kern w:val="2"/>
                      <w:szCs w:val="24"/>
                    </w:rPr>
                  </w:pPr>
                  <w:r>
                    <w:rPr>
                      <w:rFonts w:hint="eastAsia"/>
                      <w:b/>
                      <w:bCs/>
                      <w:color w:val="000000"/>
                      <w:kern w:val="2"/>
                      <w:szCs w:val="24"/>
                    </w:rPr>
                    <w:t>排放口</w:t>
                  </w:r>
                </w:p>
              </w:tc>
              <w:tc>
                <w:tcPr>
                  <w:tcW w:w="1353" w:type="dxa"/>
                  <w:vMerge w:val="restart"/>
                  <w:tcBorders>
                    <w:top w:val="single" w:color="auto" w:sz="4" w:space="0"/>
                    <w:left w:val="single" w:color="auto" w:sz="4" w:space="0"/>
                    <w:right w:val="single" w:color="auto" w:sz="4" w:space="0"/>
                  </w:tcBorders>
                  <w:vAlign w:val="center"/>
                </w:tcPr>
                <w:p>
                  <w:pPr>
                    <w:pStyle w:val="37"/>
                    <w:rPr>
                      <w:b/>
                      <w:bCs/>
                      <w:color w:val="000000"/>
                      <w:kern w:val="2"/>
                      <w:szCs w:val="24"/>
                    </w:rPr>
                  </w:pPr>
                  <w:r>
                    <w:rPr>
                      <w:rFonts w:hint="eastAsia"/>
                      <w:b/>
                      <w:bCs/>
                      <w:color w:val="000000"/>
                      <w:kern w:val="2"/>
                      <w:szCs w:val="24"/>
                    </w:rPr>
                    <w:t>污染物名称</w:t>
                  </w:r>
                </w:p>
              </w:tc>
              <w:tc>
                <w:tcPr>
                  <w:tcW w:w="2875" w:type="dxa"/>
                  <w:gridSpan w:val="2"/>
                  <w:tcBorders>
                    <w:top w:val="single" w:color="auto" w:sz="4" w:space="0"/>
                    <w:left w:val="single" w:color="auto" w:sz="4" w:space="0"/>
                    <w:bottom w:val="single" w:color="auto" w:sz="4" w:space="0"/>
                    <w:right w:val="single" w:color="auto" w:sz="4" w:space="0"/>
                  </w:tcBorders>
                  <w:vAlign w:val="center"/>
                </w:tcPr>
                <w:p>
                  <w:pPr>
                    <w:pStyle w:val="37"/>
                    <w:rPr>
                      <w:b/>
                      <w:bCs/>
                      <w:color w:val="000000"/>
                      <w:kern w:val="2"/>
                      <w:szCs w:val="24"/>
                    </w:rPr>
                  </w:pPr>
                  <w:r>
                    <w:rPr>
                      <w:b/>
                      <w:bCs/>
                      <w:color w:val="000000"/>
                      <w:kern w:val="2"/>
                      <w:szCs w:val="24"/>
                    </w:rPr>
                    <w:t>评价标准值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522" w:type="dxa"/>
                  <w:vMerge w:val="continue"/>
                  <w:tcBorders>
                    <w:left w:val="single" w:color="auto" w:sz="0" w:space="0"/>
                    <w:bottom w:val="single" w:color="auto" w:sz="4" w:space="0"/>
                    <w:right w:val="single" w:color="auto" w:sz="4" w:space="0"/>
                  </w:tcBorders>
                  <w:vAlign w:val="center"/>
                </w:tcPr>
                <w:p>
                  <w:pPr>
                    <w:pStyle w:val="37"/>
                    <w:rPr>
                      <w:b/>
                      <w:bCs/>
                      <w:color w:val="000000"/>
                      <w:kern w:val="2"/>
                      <w:szCs w:val="24"/>
                    </w:rPr>
                  </w:pPr>
                </w:p>
              </w:tc>
              <w:tc>
                <w:tcPr>
                  <w:tcW w:w="2384" w:type="dxa"/>
                  <w:vMerge w:val="continue"/>
                  <w:tcBorders>
                    <w:left w:val="single" w:color="auto" w:sz="4" w:space="0"/>
                    <w:bottom w:val="single" w:color="auto" w:sz="4" w:space="0"/>
                    <w:right w:val="single" w:color="auto" w:sz="4" w:space="0"/>
                  </w:tcBorders>
                  <w:vAlign w:val="center"/>
                </w:tcPr>
                <w:p>
                  <w:pPr>
                    <w:pStyle w:val="37"/>
                    <w:rPr>
                      <w:b/>
                      <w:bCs/>
                      <w:color w:val="000000"/>
                      <w:kern w:val="2"/>
                      <w:szCs w:val="24"/>
                    </w:rPr>
                  </w:pPr>
                </w:p>
              </w:tc>
              <w:tc>
                <w:tcPr>
                  <w:tcW w:w="755" w:type="dxa"/>
                  <w:vMerge w:val="continue"/>
                  <w:tcBorders>
                    <w:left w:val="single" w:color="auto" w:sz="4" w:space="0"/>
                    <w:right w:val="single" w:color="auto" w:sz="4" w:space="0"/>
                  </w:tcBorders>
                  <w:vAlign w:val="center"/>
                </w:tcPr>
                <w:p>
                  <w:pPr>
                    <w:pStyle w:val="37"/>
                    <w:rPr>
                      <w:b/>
                      <w:bCs/>
                      <w:color w:val="000000"/>
                      <w:kern w:val="2"/>
                      <w:szCs w:val="24"/>
                    </w:rPr>
                  </w:pPr>
                </w:p>
              </w:tc>
              <w:tc>
                <w:tcPr>
                  <w:tcW w:w="1353" w:type="dxa"/>
                  <w:vMerge w:val="continue"/>
                  <w:tcBorders>
                    <w:left w:val="single" w:color="auto" w:sz="4" w:space="0"/>
                    <w:bottom w:val="single" w:color="auto" w:sz="4" w:space="0"/>
                    <w:right w:val="single" w:color="auto" w:sz="4" w:space="0"/>
                  </w:tcBorders>
                  <w:vAlign w:val="center"/>
                </w:tcPr>
                <w:p>
                  <w:pPr>
                    <w:pStyle w:val="37"/>
                    <w:rPr>
                      <w:b/>
                      <w:bCs/>
                      <w:color w:val="000000"/>
                      <w:kern w:val="2"/>
                      <w:szCs w:val="24"/>
                    </w:rPr>
                  </w:pPr>
                </w:p>
              </w:tc>
              <w:tc>
                <w:tcPr>
                  <w:tcW w:w="1516" w:type="dxa"/>
                  <w:tcBorders>
                    <w:top w:val="single" w:color="auto" w:sz="4" w:space="0"/>
                    <w:left w:val="single" w:color="auto" w:sz="4" w:space="0"/>
                    <w:bottom w:val="single" w:color="auto" w:sz="4" w:space="0"/>
                    <w:right w:val="single" w:color="auto" w:sz="4" w:space="0"/>
                  </w:tcBorders>
                  <w:vAlign w:val="center"/>
                </w:tcPr>
                <w:p>
                  <w:pPr>
                    <w:pStyle w:val="37"/>
                    <w:rPr>
                      <w:b/>
                      <w:bCs/>
                      <w:color w:val="000000"/>
                      <w:kern w:val="2"/>
                      <w:szCs w:val="24"/>
                    </w:rPr>
                  </w:pPr>
                  <w:r>
                    <w:rPr>
                      <w:rFonts w:hint="eastAsia"/>
                      <w:b/>
                      <w:bCs/>
                      <w:color w:val="000000"/>
                      <w:kern w:val="2"/>
                      <w:szCs w:val="24"/>
                    </w:rPr>
                    <w:t>最高允许排放</w:t>
                  </w:r>
                  <w:r>
                    <w:rPr>
                      <w:rFonts w:hint="eastAsia"/>
                      <w:b/>
                      <w:bCs/>
                      <w:color w:val="000000"/>
                      <w:kern w:val="2"/>
                      <w:szCs w:val="24"/>
                      <w:lang w:val="zh-CN"/>
                    </w:rPr>
                    <w:t>浓度（</w:t>
                  </w:r>
                  <w:r>
                    <w:rPr>
                      <w:rFonts w:hint="eastAsia"/>
                      <w:b/>
                      <w:bCs/>
                      <w:color w:val="000000"/>
                      <w:kern w:val="2"/>
                      <w:szCs w:val="24"/>
                    </w:rPr>
                    <w:t>mg/m</w:t>
                  </w:r>
                  <w:r>
                    <w:rPr>
                      <w:rFonts w:hint="eastAsia"/>
                      <w:b/>
                      <w:bCs/>
                      <w:color w:val="000000"/>
                      <w:kern w:val="2"/>
                      <w:szCs w:val="24"/>
                      <w:vertAlign w:val="superscript"/>
                    </w:rPr>
                    <w:t>3</w:t>
                  </w:r>
                  <w:r>
                    <w:rPr>
                      <w:rFonts w:hint="eastAsia"/>
                      <w:b/>
                      <w:bCs/>
                      <w:color w:val="000000"/>
                      <w:kern w:val="2"/>
                      <w:szCs w:val="24"/>
                      <w:lang w:val="zh-CN"/>
                    </w:rPr>
                    <w:t>）</w:t>
                  </w:r>
                </w:p>
              </w:tc>
              <w:tc>
                <w:tcPr>
                  <w:tcW w:w="1359" w:type="dxa"/>
                  <w:tcBorders>
                    <w:top w:val="single" w:color="auto" w:sz="4" w:space="0"/>
                    <w:left w:val="single" w:color="auto" w:sz="4" w:space="0"/>
                    <w:bottom w:val="single" w:color="auto" w:sz="4" w:space="0"/>
                    <w:right w:val="single" w:color="auto" w:sz="4" w:space="0"/>
                  </w:tcBorders>
                  <w:vAlign w:val="center"/>
                </w:tcPr>
                <w:p>
                  <w:pPr>
                    <w:pStyle w:val="37"/>
                    <w:rPr>
                      <w:b/>
                      <w:bCs/>
                      <w:color w:val="000000"/>
                      <w:kern w:val="2"/>
                      <w:szCs w:val="24"/>
                    </w:rPr>
                  </w:pPr>
                  <w:r>
                    <w:rPr>
                      <w:rFonts w:hint="eastAsia"/>
                      <w:b/>
                      <w:bCs/>
                      <w:color w:val="000000"/>
                      <w:szCs w:val="18"/>
                    </w:rPr>
                    <w:t>最高允许排放速率（kg/h）/15m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2" w:type="dxa"/>
                  <w:vMerge w:val="restart"/>
                  <w:tcBorders>
                    <w:left w:val="single" w:color="auto" w:sz="4" w:space="0"/>
                    <w:right w:val="single" w:color="auto" w:sz="4" w:space="0"/>
                  </w:tcBorders>
                  <w:vAlign w:val="center"/>
                </w:tcPr>
                <w:p>
                  <w:pPr>
                    <w:pStyle w:val="37"/>
                    <w:rPr>
                      <w:color w:val="000000"/>
                      <w:kern w:val="2"/>
                      <w:szCs w:val="24"/>
                    </w:rPr>
                  </w:pPr>
                  <w:r>
                    <w:rPr>
                      <w:rFonts w:hint="eastAsia"/>
                      <w:color w:val="000000"/>
                      <w:kern w:val="2"/>
                      <w:szCs w:val="24"/>
                    </w:rPr>
                    <w:t>废气</w:t>
                  </w:r>
                </w:p>
              </w:tc>
              <w:tc>
                <w:tcPr>
                  <w:tcW w:w="2384" w:type="dxa"/>
                  <w:vMerge w:val="restart"/>
                  <w:tcBorders>
                    <w:top w:val="single" w:color="auto" w:sz="4" w:space="0"/>
                    <w:left w:val="single" w:color="auto" w:sz="4" w:space="0"/>
                    <w:right w:val="single" w:color="auto" w:sz="4" w:space="0"/>
                  </w:tcBorders>
                  <w:vAlign w:val="center"/>
                </w:tcPr>
                <w:p>
                  <w:pPr>
                    <w:pStyle w:val="37"/>
                    <w:rPr>
                      <w:color w:val="000000"/>
                    </w:rPr>
                  </w:pPr>
                  <w:r>
                    <w:rPr>
                      <w:rFonts w:hint="eastAsia"/>
                      <w:color w:val="000000"/>
                    </w:rPr>
                    <w:t>《大气污染物综合排放标准》（GB16297-1996）表2中二级标准</w:t>
                  </w:r>
                </w:p>
              </w:tc>
              <w:tc>
                <w:tcPr>
                  <w:tcW w:w="755" w:type="dxa"/>
                  <w:vMerge w:val="restart"/>
                  <w:tcBorders>
                    <w:top w:val="single" w:color="auto" w:sz="4" w:space="0"/>
                    <w:left w:val="single" w:color="auto" w:sz="4" w:space="0"/>
                    <w:right w:val="single" w:color="auto" w:sz="4" w:space="0"/>
                  </w:tcBorders>
                  <w:vAlign w:val="center"/>
                </w:tcPr>
                <w:p>
                  <w:pPr>
                    <w:pStyle w:val="37"/>
                    <w:rPr>
                      <w:color w:val="000000"/>
                    </w:rPr>
                  </w:pPr>
                  <w:r>
                    <w:rPr>
                      <w:rFonts w:hint="eastAsia"/>
                      <w:color w:val="000000"/>
                    </w:rPr>
                    <w:t>有组织</w:t>
                  </w:r>
                </w:p>
              </w:tc>
              <w:tc>
                <w:tcPr>
                  <w:tcW w:w="1353"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颗粒物</w:t>
                  </w:r>
                </w:p>
              </w:tc>
              <w:tc>
                <w:tcPr>
                  <w:tcW w:w="1516"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120</w:t>
                  </w:r>
                </w:p>
              </w:tc>
              <w:tc>
                <w:tcPr>
                  <w:tcW w:w="1359"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2" w:type="dxa"/>
                  <w:vMerge w:val="continue"/>
                  <w:tcBorders>
                    <w:left w:val="single" w:color="auto" w:sz="4" w:space="0"/>
                    <w:right w:val="single" w:color="auto" w:sz="4" w:space="0"/>
                  </w:tcBorders>
                  <w:vAlign w:val="center"/>
                </w:tcPr>
                <w:p>
                  <w:pPr>
                    <w:pStyle w:val="37"/>
                    <w:rPr>
                      <w:color w:val="000000"/>
                      <w:kern w:val="2"/>
                      <w:szCs w:val="24"/>
                    </w:rPr>
                  </w:pPr>
                </w:p>
              </w:tc>
              <w:tc>
                <w:tcPr>
                  <w:tcW w:w="2384" w:type="dxa"/>
                  <w:vMerge w:val="continue"/>
                  <w:tcBorders>
                    <w:left w:val="single" w:color="auto" w:sz="4" w:space="0"/>
                    <w:right w:val="single" w:color="auto" w:sz="4" w:space="0"/>
                  </w:tcBorders>
                  <w:vAlign w:val="center"/>
                </w:tcPr>
                <w:p>
                  <w:pPr>
                    <w:pStyle w:val="37"/>
                    <w:rPr>
                      <w:color w:val="000000"/>
                    </w:rPr>
                  </w:pPr>
                </w:p>
              </w:tc>
              <w:tc>
                <w:tcPr>
                  <w:tcW w:w="755" w:type="dxa"/>
                  <w:vMerge w:val="continue"/>
                  <w:tcBorders>
                    <w:left w:val="single" w:color="auto" w:sz="4" w:space="0"/>
                    <w:right w:val="single" w:color="auto" w:sz="4" w:space="0"/>
                  </w:tcBorders>
                  <w:vAlign w:val="center"/>
                </w:tcPr>
                <w:p>
                  <w:pPr>
                    <w:pStyle w:val="37"/>
                    <w:rPr>
                      <w:color w:val="000000"/>
                    </w:rPr>
                  </w:pPr>
                </w:p>
              </w:tc>
              <w:tc>
                <w:tcPr>
                  <w:tcW w:w="1353"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锡及其化合物</w:t>
                  </w:r>
                </w:p>
              </w:tc>
              <w:tc>
                <w:tcPr>
                  <w:tcW w:w="1516"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8.5</w:t>
                  </w:r>
                </w:p>
              </w:tc>
              <w:tc>
                <w:tcPr>
                  <w:tcW w:w="1359"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2" w:type="dxa"/>
                  <w:vMerge w:val="continue"/>
                  <w:tcBorders>
                    <w:left w:val="single" w:color="auto" w:sz="4" w:space="0"/>
                    <w:right w:val="single" w:color="auto" w:sz="4" w:space="0"/>
                  </w:tcBorders>
                  <w:vAlign w:val="center"/>
                </w:tcPr>
                <w:p>
                  <w:pPr>
                    <w:pStyle w:val="37"/>
                    <w:rPr>
                      <w:color w:val="000000"/>
                      <w:kern w:val="2"/>
                      <w:szCs w:val="24"/>
                    </w:rPr>
                  </w:pPr>
                </w:p>
              </w:tc>
              <w:tc>
                <w:tcPr>
                  <w:tcW w:w="2384" w:type="dxa"/>
                  <w:vMerge w:val="continue"/>
                  <w:tcBorders>
                    <w:left w:val="single" w:color="auto" w:sz="4" w:space="0"/>
                    <w:right w:val="single" w:color="auto" w:sz="4" w:space="0"/>
                  </w:tcBorders>
                  <w:vAlign w:val="center"/>
                </w:tcPr>
                <w:p>
                  <w:pPr>
                    <w:pStyle w:val="37"/>
                    <w:rPr>
                      <w:color w:val="000000"/>
                      <w:kern w:val="2"/>
                      <w:szCs w:val="24"/>
                    </w:rPr>
                  </w:pPr>
                </w:p>
              </w:tc>
              <w:tc>
                <w:tcPr>
                  <w:tcW w:w="755" w:type="dxa"/>
                  <w:vMerge w:val="restart"/>
                  <w:tcBorders>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无组织（厂界）</w:t>
                  </w:r>
                </w:p>
              </w:tc>
              <w:tc>
                <w:tcPr>
                  <w:tcW w:w="1353"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颗粒物</w:t>
                  </w:r>
                </w:p>
              </w:tc>
              <w:tc>
                <w:tcPr>
                  <w:tcW w:w="1516"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1.0</w:t>
                  </w:r>
                </w:p>
              </w:tc>
              <w:tc>
                <w:tcPr>
                  <w:tcW w:w="1359"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2" w:type="dxa"/>
                  <w:vMerge w:val="continue"/>
                  <w:tcBorders>
                    <w:left w:val="single" w:color="auto" w:sz="4" w:space="0"/>
                    <w:right w:val="single" w:color="auto" w:sz="4" w:space="0"/>
                  </w:tcBorders>
                  <w:vAlign w:val="center"/>
                </w:tcPr>
                <w:p>
                  <w:pPr>
                    <w:pStyle w:val="37"/>
                    <w:rPr>
                      <w:color w:val="000000"/>
                      <w:kern w:val="2"/>
                      <w:szCs w:val="24"/>
                    </w:rPr>
                  </w:pPr>
                </w:p>
              </w:tc>
              <w:tc>
                <w:tcPr>
                  <w:tcW w:w="2384" w:type="dxa"/>
                  <w:vMerge w:val="continue"/>
                  <w:tcBorders>
                    <w:left w:val="single" w:color="auto" w:sz="4" w:space="0"/>
                    <w:right w:val="single" w:color="auto" w:sz="4" w:space="0"/>
                  </w:tcBorders>
                  <w:vAlign w:val="center"/>
                </w:tcPr>
                <w:p>
                  <w:pPr>
                    <w:pStyle w:val="37"/>
                    <w:rPr>
                      <w:color w:val="000000"/>
                      <w:kern w:val="2"/>
                      <w:szCs w:val="24"/>
                    </w:rPr>
                  </w:pPr>
                </w:p>
              </w:tc>
              <w:tc>
                <w:tcPr>
                  <w:tcW w:w="755" w:type="dxa"/>
                  <w:vMerge w:val="continue"/>
                  <w:tcBorders>
                    <w:left w:val="single" w:color="auto" w:sz="4" w:space="0"/>
                    <w:right w:val="single" w:color="auto" w:sz="4" w:space="0"/>
                  </w:tcBorders>
                  <w:vAlign w:val="center"/>
                </w:tcPr>
                <w:p>
                  <w:pPr>
                    <w:pStyle w:val="37"/>
                    <w:rPr>
                      <w:color w:val="000000"/>
                      <w:kern w:val="21"/>
                      <w:szCs w:val="18"/>
                    </w:rPr>
                  </w:pPr>
                </w:p>
              </w:tc>
              <w:tc>
                <w:tcPr>
                  <w:tcW w:w="1353"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锡及其化合物</w:t>
                  </w:r>
                </w:p>
              </w:tc>
              <w:tc>
                <w:tcPr>
                  <w:tcW w:w="1516"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0.24</w:t>
                  </w:r>
                </w:p>
              </w:tc>
              <w:tc>
                <w:tcPr>
                  <w:tcW w:w="1359" w:type="dxa"/>
                  <w:tcBorders>
                    <w:top w:val="single" w:color="auto" w:sz="4" w:space="0"/>
                    <w:left w:val="single" w:color="auto" w:sz="4" w:space="0"/>
                    <w:right w:val="single" w:color="auto" w:sz="4" w:space="0"/>
                  </w:tcBorders>
                  <w:vAlign w:val="center"/>
                </w:tcPr>
                <w:p>
                  <w:pPr>
                    <w:pStyle w:val="37"/>
                    <w:rPr>
                      <w:color w:val="000000"/>
                      <w:kern w:val="21"/>
                      <w:szCs w:val="18"/>
                    </w:rPr>
                  </w:pPr>
                  <w:r>
                    <w:rPr>
                      <w:rFonts w:hint="eastAsia"/>
                      <w:color w:val="000000"/>
                      <w:kern w:val="21"/>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522" w:type="dxa"/>
                  <w:vMerge w:val="restart"/>
                  <w:tcBorders>
                    <w:left w:val="single" w:color="auto" w:sz="4" w:space="0"/>
                    <w:right w:val="single" w:color="auto" w:sz="4" w:space="0"/>
                  </w:tcBorders>
                  <w:vAlign w:val="center"/>
                </w:tcPr>
                <w:p>
                  <w:pPr>
                    <w:pStyle w:val="37"/>
                    <w:rPr>
                      <w:color w:val="000000"/>
                      <w:kern w:val="2"/>
                      <w:szCs w:val="24"/>
                    </w:rPr>
                  </w:pPr>
                  <w:r>
                    <w:rPr>
                      <w:color w:val="000000"/>
                      <w:kern w:val="2"/>
                      <w:szCs w:val="24"/>
                    </w:rPr>
                    <w:t>噪声</w:t>
                  </w:r>
                </w:p>
              </w:tc>
              <w:tc>
                <w:tcPr>
                  <w:tcW w:w="3139" w:type="dxa"/>
                  <w:gridSpan w:val="2"/>
                  <w:vMerge w:val="restart"/>
                  <w:tcBorders>
                    <w:top w:val="single" w:color="auto" w:sz="4" w:space="0"/>
                    <w:left w:val="single" w:color="auto" w:sz="4" w:space="0"/>
                    <w:right w:val="single" w:color="auto" w:sz="4" w:space="0"/>
                  </w:tcBorders>
                  <w:vAlign w:val="center"/>
                </w:tcPr>
                <w:p>
                  <w:pPr>
                    <w:pStyle w:val="37"/>
                    <w:rPr>
                      <w:color w:val="000000"/>
                      <w:kern w:val="2"/>
                      <w:szCs w:val="24"/>
                    </w:rPr>
                  </w:pPr>
                  <w:r>
                    <w:rPr>
                      <w:color w:val="000000"/>
                      <w:kern w:val="2"/>
                      <w:szCs w:val="24"/>
                    </w:rPr>
                    <w:t>《工业企业厂界噪声排放标准》（GB12348-2008）</w:t>
                  </w:r>
                </w:p>
              </w:tc>
              <w:tc>
                <w:tcPr>
                  <w:tcW w:w="1353" w:type="dxa"/>
                  <w:vMerge w:val="restart"/>
                  <w:tcBorders>
                    <w:top w:val="single" w:color="auto" w:sz="4" w:space="0"/>
                    <w:left w:val="single" w:color="auto" w:sz="4" w:space="0"/>
                    <w:right w:val="single" w:color="auto" w:sz="4" w:space="0"/>
                  </w:tcBorders>
                  <w:vAlign w:val="center"/>
                </w:tcPr>
                <w:p>
                  <w:pPr>
                    <w:pStyle w:val="37"/>
                    <w:rPr>
                      <w:color w:val="000000"/>
                      <w:kern w:val="2"/>
                      <w:szCs w:val="24"/>
                    </w:rPr>
                  </w:pPr>
                  <w:r>
                    <w:rPr>
                      <w:rFonts w:hint="eastAsia"/>
                      <w:color w:val="000000"/>
                      <w:kern w:val="2"/>
                      <w:szCs w:val="24"/>
                    </w:rPr>
                    <w:t>3</w:t>
                  </w:r>
                  <w:r>
                    <w:rPr>
                      <w:color w:val="000000"/>
                      <w:kern w:val="2"/>
                      <w:szCs w:val="24"/>
                    </w:rPr>
                    <w:t>类</w:t>
                  </w:r>
                </w:p>
              </w:tc>
              <w:tc>
                <w:tcPr>
                  <w:tcW w:w="1516" w:type="dxa"/>
                  <w:tcBorders>
                    <w:top w:val="single" w:color="auto" w:sz="4" w:space="0"/>
                    <w:left w:val="single" w:color="auto" w:sz="4" w:space="0"/>
                    <w:bottom w:val="single" w:color="auto" w:sz="4" w:space="0"/>
                    <w:right w:val="single" w:color="auto" w:sz="4" w:space="0"/>
                  </w:tcBorders>
                  <w:vAlign w:val="center"/>
                </w:tcPr>
                <w:p>
                  <w:pPr>
                    <w:pStyle w:val="37"/>
                    <w:rPr>
                      <w:color w:val="000000"/>
                      <w:kern w:val="21"/>
                      <w:szCs w:val="18"/>
                    </w:rPr>
                  </w:pPr>
                  <w:r>
                    <w:rPr>
                      <w:rFonts w:hint="eastAsia"/>
                      <w:color w:val="000000"/>
                      <w:kern w:val="21"/>
                      <w:szCs w:val="18"/>
                    </w:rPr>
                    <w:t>昼间</w:t>
                  </w:r>
                </w:p>
              </w:tc>
              <w:tc>
                <w:tcPr>
                  <w:tcW w:w="1359" w:type="dxa"/>
                  <w:tcBorders>
                    <w:top w:val="single" w:color="auto" w:sz="4" w:space="0"/>
                    <w:left w:val="single" w:color="auto" w:sz="4" w:space="0"/>
                    <w:bottom w:val="single" w:color="auto" w:sz="4" w:space="0"/>
                    <w:right w:val="single" w:color="auto" w:sz="4" w:space="0"/>
                  </w:tcBorders>
                  <w:vAlign w:val="center"/>
                </w:tcPr>
                <w:p>
                  <w:pPr>
                    <w:pStyle w:val="37"/>
                    <w:rPr>
                      <w:color w:val="000000"/>
                      <w:kern w:val="21"/>
                      <w:szCs w:val="18"/>
                    </w:rPr>
                  </w:pPr>
                  <w:r>
                    <w:rPr>
                      <w:rFonts w:hint="eastAsia"/>
                      <w:color w:val="000000"/>
                      <w:kern w:val="21"/>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 w:hRule="atLeast"/>
                <w:jc w:val="center"/>
              </w:trPr>
              <w:tc>
                <w:tcPr>
                  <w:tcW w:w="522" w:type="dxa"/>
                  <w:vMerge w:val="continue"/>
                  <w:tcBorders>
                    <w:left w:val="single" w:color="auto" w:sz="4" w:space="0"/>
                    <w:right w:val="single" w:color="auto" w:sz="4" w:space="0"/>
                  </w:tcBorders>
                  <w:vAlign w:val="center"/>
                </w:tcPr>
                <w:p>
                  <w:pPr>
                    <w:pStyle w:val="37"/>
                    <w:rPr>
                      <w:color w:val="000000"/>
                    </w:rPr>
                  </w:pPr>
                </w:p>
              </w:tc>
              <w:tc>
                <w:tcPr>
                  <w:tcW w:w="3139" w:type="dxa"/>
                  <w:gridSpan w:val="2"/>
                  <w:vMerge w:val="continue"/>
                  <w:tcBorders>
                    <w:left w:val="single" w:color="auto" w:sz="4" w:space="0"/>
                    <w:bottom w:val="single" w:color="auto" w:sz="4" w:space="0"/>
                    <w:right w:val="single" w:color="auto" w:sz="4" w:space="0"/>
                  </w:tcBorders>
                  <w:vAlign w:val="center"/>
                </w:tcPr>
                <w:p>
                  <w:pPr>
                    <w:pStyle w:val="37"/>
                    <w:rPr>
                      <w:color w:val="000000"/>
                    </w:rPr>
                  </w:pPr>
                </w:p>
              </w:tc>
              <w:tc>
                <w:tcPr>
                  <w:tcW w:w="1353" w:type="dxa"/>
                  <w:vMerge w:val="continue"/>
                  <w:tcBorders>
                    <w:left w:val="single" w:color="auto" w:sz="4" w:space="0"/>
                    <w:bottom w:val="single" w:color="auto" w:sz="4" w:space="0"/>
                    <w:right w:val="single" w:color="auto" w:sz="4" w:space="0"/>
                  </w:tcBorders>
                  <w:vAlign w:val="center"/>
                </w:tcPr>
                <w:p>
                  <w:pPr>
                    <w:pStyle w:val="37"/>
                    <w:rPr>
                      <w:color w:val="000000"/>
                    </w:rPr>
                  </w:pPr>
                </w:p>
              </w:tc>
              <w:tc>
                <w:tcPr>
                  <w:tcW w:w="1516" w:type="dxa"/>
                  <w:tcBorders>
                    <w:top w:val="single" w:color="auto" w:sz="4" w:space="0"/>
                    <w:left w:val="single" w:color="auto" w:sz="4" w:space="0"/>
                    <w:bottom w:val="single" w:color="auto" w:sz="4" w:space="0"/>
                    <w:right w:val="single" w:color="auto" w:sz="4" w:space="0"/>
                  </w:tcBorders>
                  <w:vAlign w:val="center"/>
                </w:tcPr>
                <w:p>
                  <w:pPr>
                    <w:pStyle w:val="37"/>
                    <w:rPr>
                      <w:color w:val="000000"/>
                      <w:kern w:val="2"/>
                      <w:szCs w:val="24"/>
                    </w:rPr>
                  </w:pPr>
                  <w:r>
                    <w:rPr>
                      <w:rFonts w:hint="eastAsia"/>
                      <w:color w:val="000000"/>
                      <w:kern w:val="2"/>
                      <w:szCs w:val="24"/>
                    </w:rPr>
                    <w:t>65</w:t>
                  </w:r>
                </w:p>
              </w:tc>
              <w:tc>
                <w:tcPr>
                  <w:tcW w:w="1359" w:type="dxa"/>
                  <w:tcBorders>
                    <w:top w:val="single" w:color="auto" w:sz="4" w:space="0"/>
                    <w:left w:val="single" w:color="auto" w:sz="4" w:space="0"/>
                    <w:bottom w:val="single" w:color="auto" w:sz="4" w:space="0"/>
                    <w:right w:val="single" w:color="auto" w:sz="4" w:space="0"/>
                  </w:tcBorders>
                  <w:vAlign w:val="center"/>
                </w:tcPr>
                <w:p>
                  <w:pPr>
                    <w:pStyle w:val="37"/>
                    <w:rPr>
                      <w:color w:val="000000"/>
                      <w:kern w:val="2"/>
                      <w:szCs w:val="24"/>
                    </w:rPr>
                  </w:pPr>
                  <w:r>
                    <w:rPr>
                      <w:rFonts w:hint="eastAsia"/>
                      <w:color w:val="000000"/>
                      <w:kern w:val="2"/>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2" w:type="dxa"/>
                  <w:vMerge w:val="restart"/>
                  <w:tcBorders>
                    <w:top w:val="single" w:color="auto" w:sz="4" w:space="0"/>
                    <w:left w:val="single" w:color="auto" w:sz="4" w:space="0"/>
                    <w:right w:val="single" w:color="auto" w:sz="4" w:space="0"/>
                  </w:tcBorders>
                  <w:vAlign w:val="center"/>
                </w:tcPr>
                <w:p>
                  <w:pPr>
                    <w:pStyle w:val="37"/>
                    <w:rPr>
                      <w:color w:val="000000"/>
                      <w:kern w:val="2"/>
                      <w:szCs w:val="24"/>
                    </w:rPr>
                  </w:pPr>
                  <w:r>
                    <w:rPr>
                      <w:color w:val="000000"/>
                      <w:kern w:val="2"/>
                      <w:szCs w:val="24"/>
                    </w:rPr>
                    <w:t>固废</w:t>
                  </w:r>
                </w:p>
              </w:tc>
              <w:tc>
                <w:tcPr>
                  <w:tcW w:w="7367" w:type="dxa"/>
                  <w:gridSpan w:val="5"/>
                  <w:tcBorders>
                    <w:top w:val="single" w:color="auto" w:sz="4" w:space="0"/>
                    <w:left w:val="single" w:color="auto" w:sz="4" w:space="0"/>
                    <w:bottom w:val="single" w:color="auto" w:sz="4" w:space="0"/>
                    <w:right w:val="single" w:color="auto" w:sz="4" w:space="0"/>
                  </w:tcBorders>
                  <w:vAlign w:val="center"/>
                </w:tcPr>
                <w:p>
                  <w:pPr>
                    <w:pStyle w:val="37"/>
                    <w:rPr>
                      <w:color w:val="000000"/>
                      <w:kern w:val="2"/>
                      <w:szCs w:val="24"/>
                    </w:rPr>
                  </w:pPr>
                  <w:r>
                    <w:rPr>
                      <w:rFonts w:hint="eastAsia"/>
                      <w:color w:val="000000"/>
                      <w:kern w:val="2"/>
                      <w:szCs w:val="24"/>
                    </w:rPr>
                    <w:t>一般工业固体废物贮存过程应满足相应防渗漏、防雨淋、防扬尘等环境保护要求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2" w:type="dxa"/>
                  <w:vMerge w:val="continue"/>
                  <w:tcBorders>
                    <w:left w:val="single" w:color="auto" w:sz="4" w:space="0"/>
                    <w:bottom w:val="single" w:color="auto" w:sz="4" w:space="0"/>
                    <w:right w:val="single" w:color="auto" w:sz="4" w:space="0"/>
                  </w:tcBorders>
                  <w:vAlign w:val="center"/>
                </w:tcPr>
                <w:p>
                  <w:pPr>
                    <w:pStyle w:val="37"/>
                    <w:rPr>
                      <w:color w:val="000000"/>
                      <w:kern w:val="2"/>
                      <w:szCs w:val="24"/>
                    </w:rPr>
                  </w:pPr>
                </w:p>
              </w:tc>
              <w:tc>
                <w:tcPr>
                  <w:tcW w:w="7367" w:type="dxa"/>
                  <w:gridSpan w:val="5"/>
                  <w:tcBorders>
                    <w:top w:val="single" w:color="auto" w:sz="4" w:space="0"/>
                    <w:left w:val="single" w:color="auto" w:sz="4" w:space="0"/>
                    <w:bottom w:val="single" w:color="auto" w:sz="4" w:space="0"/>
                    <w:right w:val="single" w:color="auto" w:sz="4" w:space="0"/>
                  </w:tcBorders>
                  <w:vAlign w:val="center"/>
                </w:tcPr>
                <w:p>
                  <w:pPr>
                    <w:pStyle w:val="37"/>
                    <w:rPr>
                      <w:color w:val="000000"/>
                      <w:kern w:val="2"/>
                      <w:szCs w:val="24"/>
                    </w:rPr>
                  </w:pPr>
                  <w:r>
                    <w:rPr>
                      <w:color w:val="000000"/>
                      <w:kern w:val="2"/>
                      <w:szCs w:val="24"/>
                    </w:rPr>
                    <w:t>《危险废物贮存污染控制标准》（GB18597-20</w:t>
                  </w:r>
                  <w:r>
                    <w:rPr>
                      <w:rFonts w:hint="eastAsia"/>
                      <w:color w:val="000000"/>
                      <w:kern w:val="2"/>
                      <w:szCs w:val="24"/>
                    </w:rPr>
                    <w:t>23</w:t>
                  </w:r>
                  <w:r>
                    <w:rPr>
                      <w:color w:val="000000"/>
                      <w:kern w:val="2"/>
                      <w:szCs w:val="24"/>
                    </w:rPr>
                    <w:t>）</w:t>
                  </w:r>
                </w:p>
              </w:tc>
            </w:tr>
          </w:tbl>
          <w:p>
            <w:pPr>
              <w:pStyle w:val="17"/>
              <w:snapToGrid w:val="0"/>
              <w:spacing w:line="240" w:lineRule="exact"/>
              <w:ind w:firstLine="0" w:firstLineChars="0"/>
              <w:rPr>
                <w:color w:val="000000"/>
              </w:rPr>
            </w:pPr>
            <w:r>
              <w:rPr>
                <w:rFonts w:hint="eastAsia"/>
                <w:color w:val="000000"/>
              </w:rPr>
              <w:t>注：1.废气评价因子浓度单位为mg/m</w:t>
            </w:r>
            <w:r>
              <w:rPr>
                <w:rFonts w:hint="eastAsia"/>
                <w:color w:val="000000"/>
                <w:vertAlign w:val="superscript"/>
              </w:rPr>
              <w:t>3</w:t>
            </w:r>
            <w:r>
              <w:rPr>
                <w:rFonts w:hint="eastAsia"/>
                <w:color w:val="000000"/>
              </w:rPr>
              <w:t>，废水评价因子单位为mg/L（pH值无量纲），噪声评价因子单位为dB（A）。</w:t>
            </w:r>
          </w:p>
          <w:p>
            <w:pPr>
              <w:pStyle w:val="17"/>
              <w:snapToGrid w:val="0"/>
              <w:spacing w:line="240" w:lineRule="exact"/>
              <w:ind w:firstLine="0" w:firstLineChars="0"/>
              <w:rPr>
                <w:color w:val="000000"/>
              </w:rPr>
            </w:pPr>
            <w:r>
              <w:rPr>
                <w:rFonts w:hint="eastAsia"/>
                <w:color w:val="000000"/>
              </w:rPr>
              <w:t>2.*项目排气筒高度未高出周围200m半径范围的建筑5m以上，废气污染物排放速率标准值严格50%执行。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850" w:type="dxa"/>
            <w:vAlign w:val="center"/>
          </w:tcPr>
          <w:p>
            <w:pPr>
              <w:pStyle w:val="41"/>
              <w:rPr>
                <w:b/>
                <w:bCs/>
                <w:color w:val="000000"/>
              </w:rPr>
            </w:pPr>
            <w:r>
              <w:rPr>
                <w:b/>
                <w:bCs/>
                <w:color w:val="000000"/>
              </w:rPr>
              <w:t>总量</w:t>
            </w:r>
          </w:p>
          <w:p>
            <w:pPr>
              <w:pStyle w:val="41"/>
              <w:rPr>
                <w:b/>
                <w:bCs/>
                <w:color w:val="000000"/>
              </w:rPr>
            </w:pPr>
            <w:r>
              <w:rPr>
                <w:b/>
                <w:bCs/>
                <w:color w:val="000000"/>
              </w:rPr>
              <w:t>控制</w:t>
            </w:r>
          </w:p>
          <w:p>
            <w:pPr>
              <w:pStyle w:val="41"/>
              <w:rPr>
                <w:b/>
                <w:bCs/>
                <w:color w:val="000000"/>
              </w:rPr>
            </w:pPr>
            <w:r>
              <w:rPr>
                <w:b/>
                <w:bCs/>
                <w:color w:val="000000"/>
              </w:rPr>
              <w:t>指标</w:t>
            </w:r>
          </w:p>
        </w:tc>
        <w:tc>
          <w:tcPr>
            <w:tcW w:w="8211" w:type="dxa"/>
          </w:tcPr>
          <w:p>
            <w:pPr>
              <w:ind w:firstLine="480"/>
              <w:rPr>
                <w:color w:val="000000"/>
              </w:rPr>
            </w:pPr>
            <w:r>
              <w:rPr>
                <w:rFonts w:hint="eastAsia"/>
              </w:rPr>
              <w:t>项目实施污染物总量控制的污染物为生活污水中的</w:t>
            </w:r>
            <w:r>
              <w:t>CODcr</w:t>
            </w:r>
            <w:r>
              <w:rPr>
                <w:rFonts w:hint="eastAsia"/>
              </w:rPr>
              <w:t>和</w:t>
            </w:r>
            <w:r>
              <w:t>NH</w:t>
            </w:r>
            <w:r>
              <w:rPr>
                <w:vertAlign w:val="subscript"/>
              </w:rPr>
              <w:t>3</w:t>
            </w:r>
            <w:r>
              <w:t>-N</w:t>
            </w:r>
            <w:r>
              <w:rPr>
                <w:rFonts w:hint="eastAsia"/>
              </w:rPr>
              <w:t>，但由于本次扩建项目工作人员均由江铃汽车股份有限公司现有工作人员进行岗位调配，全厂不新增工作人员，不新增生活污水，且运行过程中不产生生产废水，故本次评价无需补充申请废水污染物排放总量控制指标。</w:t>
            </w:r>
          </w:p>
        </w:tc>
      </w:tr>
    </w:tbl>
    <w:p>
      <w:pPr>
        <w:pStyle w:val="24"/>
        <w:ind w:firstLine="720"/>
        <w:jc w:val="center"/>
        <w:outlineLvl w:val="0"/>
        <w:rPr>
          <w:rFonts w:ascii="Times New Roman" w:hAnsi="Times New Roman"/>
          <w:snapToGrid w:val="0"/>
          <w:color w:val="000000"/>
          <w:sz w:val="36"/>
          <w:szCs w:val="36"/>
        </w:rPr>
        <w:sectPr>
          <w:pgSz w:w="11907" w:h="16840"/>
          <w:pgMar w:top="1701" w:right="1531" w:bottom="2126" w:left="1531" w:header="851" w:footer="851" w:gutter="0"/>
          <w:cols w:space="720" w:num="1"/>
          <w:docGrid w:linePitch="312" w:charSpace="0"/>
        </w:sectPr>
      </w:pPr>
    </w:p>
    <w:p>
      <w:pPr>
        <w:pStyle w:val="24"/>
        <w:snapToGrid w:val="0"/>
        <w:spacing w:afterLines="100" w:afterAutospacing="0"/>
        <w:ind w:firstLine="602"/>
        <w:jc w:val="center"/>
        <w:outlineLvl w:val="0"/>
        <w:rPr>
          <w:rFonts w:ascii="Times New Roman" w:hAnsi="Times New Roman"/>
          <w:b/>
          <w:bCs/>
          <w:snapToGrid w:val="0"/>
          <w:color w:val="000000"/>
          <w:sz w:val="30"/>
          <w:szCs w:val="30"/>
        </w:rPr>
      </w:pPr>
      <w:r>
        <w:rPr>
          <w:rFonts w:ascii="Times New Roman" w:hAnsi="Times New Roman"/>
          <w:b/>
          <w:bCs/>
          <w:snapToGrid w:val="0"/>
          <w:color w:val="000000"/>
          <w:sz w:val="30"/>
          <w:szCs w:val="30"/>
        </w:rPr>
        <w:t>四、主要环境影响和保护措施</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46" w:hRule="atLeast"/>
          <w:jc w:val="center"/>
        </w:trPr>
        <w:tc>
          <w:tcPr>
            <w:tcW w:w="948" w:type="dxa"/>
            <w:tcMar>
              <w:left w:w="28" w:type="dxa"/>
              <w:right w:w="28" w:type="dxa"/>
            </w:tcMar>
            <w:vAlign w:val="center"/>
          </w:tcPr>
          <w:p>
            <w:pPr>
              <w:pStyle w:val="41"/>
              <w:rPr>
                <w:b/>
                <w:bCs/>
                <w:color w:val="000000"/>
              </w:rPr>
            </w:pPr>
            <w:r>
              <w:rPr>
                <w:b/>
                <w:bCs/>
                <w:color w:val="000000"/>
              </w:rPr>
              <w:t>施工</w:t>
            </w:r>
          </w:p>
          <w:p>
            <w:pPr>
              <w:pStyle w:val="41"/>
              <w:rPr>
                <w:b/>
                <w:bCs/>
                <w:color w:val="000000"/>
              </w:rPr>
            </w:pPr>
            <w:r>
              <w:rPr>
                <w:b/>
                <w:bCs/>
                <w:color w:val="000000"/>
              </w:rPr>
              <w:t>期环</w:t>
            </w:r>
          </w:p>
          <w:p>
            <w:pPr>
              <w:pStyle w:val="41"/>
              <w:rPr>
                <w:b/>
                <w:bCs/>
                <w:color w:val="000000"/>
              </w:rPr>
            </w:pPr>
            <w:r>
              <w:rPr>
                <w:b/>
                <w:bCs/>
                <w:color w:val="000000"/>
              </w:rPr>
              <w:t>境保</w:t>
            </w:r>
          </w:p>
          <w:p>
            <w:pPr>
              <w:pStyle w:val="41"/>
              <w:rPr>
                <w:b/>
                <w:bCs/>
                <w:color w:val="000000"/>
              </w:rPr>
            </w:pPr>
            <w:r>
              <w:rPr>
                <w:b/>
                <w:bCs/>
                <w:color w:val="000000"/>
              </w:rPr>
              <w:t>护措</w:t>
            </w:r>
          </w:p>
          <w:p>
            <w:pPr>
              <w:pStyle w:val="41"/>
              <w:rPr>
                <w:b/>
                <w:bCs/>
                <w:color w:val="000000"/>
              </w:rPr>
            </w:pPr>
            <w:r>
              <w:rPr>
                <w:b/>
                <w:bCs/>
                <w:color w:val="000000"/>
              </w:rPr>
              <w:t>施</w:t>
            </w:r>
          </w:p>
        </w:tc>
        <w:tc>
          <w:tcPr>
            <w:tcW w:w="8272" w:type="dxa"/>
          </w:tcPr>
          <w:p>
            <w:pPr>
              <w:ind w:firstLine="480"/>
              <w:rPr>
                <w:color w:val="000000"/>
              </w:rPr>
            </w:pPr>
            <w:r>
              <w:rPr>
                <w:rFonts w:hint="eastAsia"/>
                <w:color w:val="000000"/>
              </w:rPr>
              <w:t>扩建</w:t>
            </w:r>
            <w:r>
              <w:rPr>
                <w:color w:val="000000"/>
              </w:rPr>
              <w:t>项目</w:t>
            </w:r>
            <w:r>
              <w:rPr>
                <w:rFonts w:hint="eastAsia"/>
                <w:color w:val="000000"/>
              </w:rPr>
              <w:t>焊接房位于现有已建厂房内的空地（厂区中间区域，周边均为生产厂房），</w:t>
            </w:r>
            <w:r>
              <w:rPr>
                <w:color w:val="000000"/>
              </w:rPr>
              <w:t>施工期影响主要存在于</w:t>
            </w:r>
            <w:r>
              <w:rPr>
                <w:rFonts w:hint="eastAsia"/>
                <w:color w:val="000000"/>
              </w:rPr>
              <w:t>设备安装、焊</w:t>
            </w:r>
            <w:r>
              <w:rPr>
                <w:rFonts w:hint="eastAsia"/>
                <w:color w:val="000000"/>
                <w:lang w:val="en-US" w:eastAsia="zh-CN"/>
              </w:rPr>
              <w:t>接</w:t>
            </w:r>
            <w:r>
              <w:rPr>
                <w:rFonts w:hint="eastAsia"/>
                <w:color w:val="000000"/>
              </w:rPr>
              <w:t>房搭建等</w:t>
            </w:r>
            <w:r>
              <w:rPr>
                <w:color w:val="000000"/>
              </w:rPr>
              <w:t>，</w:t>
            </w:r>
            <w:r>
              <w:rPr>
                <w:rFonts w:hint="eastAsia"/>
                <w:color w:val="000000"/>
              </w:rPr>
              <w:t>总体影响较小，本次评价不考虑。</w:t>
            </w:r>
          </w:p>
          <w:p>
            <w:pPr>
              <w:adjustRightInd w:val="0"/>
              <w:snapToGrid w:val="0"/>
              <w:ind w:firstLine="480"/>
              <w:rPr>
                <w:color w:val="000000"/>
              </w:rPr>
            </w:pPr>
          </w:p>
          <w:p>
            <w:pPr>
              <w:pStyle w:val="4"/>
              <w:spacing w:before="60"/>
              <w:ind w:left="480" w:firstLine="0" w:firstLineChars="0"/>
              <w:jc w:val="center"/>
              <w:rPr>
                <w:bCs/>
                <w:color w:val="000000"/>
                <w:szCs w:val="21"/>
              </w:rPr>
            </w:pPr>
          </w:p>
        </w:tc>
      </w:tr>
    </w:tbl>
    <w:p>
      <w:pPr>
        <w:ind w:firstLine="480"/>
        <w:rPr>
          <w:color w:val="000000"/>
        </w:rPr>
        <w:sectPr>
          <w:pgSz w:w="11907" w:h="16840"/>
          <w:pgMar w:top="1701" w:right="1531" w:bottom="2126" w:left="1531" w:header="851" w:footer="851" w:gutter="0"/>
          <w:cols w:space="720" w:num="1"/>
          <w:docGrid w:linePitch="312" w:charSpace="0"/>
        </w:sectPr>
      </w:pPr>
    </w:p>
    <w:tbl>
      <w:tblPr>
        <w:tblStyle w:val="27"/>
        <w:tblW w:w="131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22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8" w:hRule="atLeast"/>
          <w:jc w:val="center"/>
        </w:trPr>
        <w:tc>
          <w:tcPr>
            <w:tcW w:w="905" w:type="dxa"/>
            <w:tcMar>
              <w:left w:w="28" w:type="dxa"/>
              <w:right w:w="28" w:type="dxa"/>
            </w:tcMar>
            <w:vAlign w:val="center"/>
          </w:tcPr>
          <w:p>
            <w:pPr>
              <w:pStyle w:val="41"/>
              <w:rPr>
                <w:b/>
                <w:bCs/>
                <w:color w:val="000000"/>
              </w:rPr>
            </w:pPr>
            <w:r>
              <w:rPr>
                <w:b/>
                <w:bCs/>
                <w:color w:val="000000"/>
              </w:rPr>
              <w:t>运营</w:t>
            </w:r>
          </w:p>
          <w:p>
            <w:pPr>
              <w:pStyle w:val="41"/>
              <w:rPr>
                <w:b/>
                <w:bCs/>
                <w:color w:val="000000"/>
              </w:rPr>
            </w:pPr>
            <w:r>
              <w:rPr>
                <w:b/>
                <w:bCs/>
                <w:color w:val="000000"/>
              </w:rPr>
              <w:t>期环</w:t>
            </w:r>
          </w:p>
          <w:p>
            <w:pPr>
              <w:pStyle w:val="41"/>
              <w:rPr>
                <w:b/>
                <w:bCs/>
                <w:color w:val="000000"/>
              </w:rPr>
            </w:pPr>
            <w:r>
              <w:rPr>
                <w:b/>
                <w:bCs/>
                <w:color w:val="000000"/>
              </w:rPr>
              <w:t>境影</w:t>
            </w:r>
          </w:p>
          <w:p>
            <w:pPr>
              <w:pStyle w:val="41"/>
              <w:rPr>
                <w:b/>
                <w:bCs/>
                <w:color w:val="000000"/>
              </w:rPr>
            </w:pPr>
            <w:r>
              <w:rPr>
                <w:b/>
                <w:bCs/>
                <w:color w:val="000000"/>
              </w:rPr>
              <w:t>响和</w:t>
            </w:r>
          </w:p>
          <w:p>
            <w:pPr>
              <w:pStyle w:val="41"/>
              <w:rPr>
                <w:b/>
                <w:bCs/>
                <w:color w:val="000000"/>
              </w:rPr>
            </w:pPr>
            <w:r>
              <w:rPr>
                <w:b/>
                <w:bCs/>
                <w:color w:val="000000"/>
              </w:rPr>
              <w:t>保护</w:t>
            </w:r>
          </w:p>
          <w:p>
            <w:pPr>
              <w:pStyle w:val="41"/>
              <w:rPr>
                <w:b/>
                <w:bCs/>
                <w:color w:val="000000"/>
              </w:rPr>
            </w:pPr>
            <w:r>
              <w:rPr>
                <w:b/>
                <w:bCs/>
                <w:color w:val="000000"/>
              </w:rPr>
              <w:t>措施</w:t>
            </w:r>
          </w:p>
        </w:tc>
        <w:tc>
          <w:tcPr>
            <w:tcW w:w="12244" w:type="dxa"/>
            <w:vAlign w:val="center"/>
          </w:tcPr>
          <w:p>
            <w:pPr>
              <w:adjustRightInd w:val="0"/>
              <w:snapToGrid w:val="0"/>
              <w:ind w:firstLine="482"/>
              <w:rPr>
                <w:b/>
                <w:color w:val="000000"/>
              </w:rPr>
            </w:pPr>
            <w:r>
              <w:rPr>
                <w:b/>
                <w:color w:val="000000"/>
              </w:rPr>
              <w:t>（1）废气</w:t>
            </w:r>
          </w:p>
          <w:p>
            <w:pPr>
              <w:adjustRightInd w:val="0"/>
              <w:snapToGrid w:val="0"/>
              <w:ind w:firstLine="482"/>
              <w:rPr>
                <w:b/>
                <w:bCs/>
                <w:color w:val="000000"/>
              </w:rPr>
            </w:pPr>
            <w:r>
              <w:rPr>
                <w:b/>
                <w:bCs/>
                <w:color w:val="000000"/>
              </w:rPr>
              <w:t>1、废气污染源情况</w:t>
            </w:r>
          </w:p>
          <w:p>
            <w:pPr>
              <w:pStyle w:val="38"/>
              <w:adjustRightInd w:val="0"/>
              <w:rPr>
                <w:color w:val="000000"/>
              </w:rPr>
            </w:pPr>
            <w:r>
              <w:rPr>
                <w:color w:val="000000"/>
              </w:rPr>
              <w:t>表4-1</w:t>
            </w:r>
            <w:r>
              <w:rPr>
                <w:rFonts w:hint="eastAsia"/>
                <w:color w:val="000000"/>
              </w:rPr>
              <w:t xml:space="preserve"> </w:t>
            </w:r>
            <w:r>
              <w:rPr>
                <w:color w:val="000000"/>
              </w:rPr>
              <w:t xml:space="preserve"> 废气污染源正常排放汇总表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325"/>
              <w:gridCol w:w="726"/>
              <w:gridCol w:w="606"/>
              <w:gridCol w:w="661"/>
              <w:gridCol w:w="680"/>
              <w:gridCol w:w="392"/>
              <w:gridCol w:w="375"/>
              <w:gridCol w:w="404"/>
              <w:gridCol w:w="320"/>
              <w:gridCol w:w="550"/>
              <w:gridCol w:w="618"/>
              <w:gridCol w:w="594"/>
              <w:gridCol w:w="637"/>
              <w:gridCol w:w="486"/>
              <w:gridCol w:w="327"/>
              <w:gridCol w:w="493"/>
              <w:gridCol w:w="409"/>
              <w:gridCol w:w="577"/>
              <w:gridCol w:w="1041"/>
              <w:gridCol w:w="517"/>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16" w:type="pct"/>
                  <w:vMerge w:val="restar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产排污环节</w:t>
                  </w:r>
                </w:p>
              </w:tc>
              <w:tc>
                <w:tcPr>
                  <w:tcW w:w="135" w:type="pct"/>
                  <w:vMerge w:val="restar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排放形式</w:t>
                  </w:r>
                </w:p>
              </w:tc>
              <w:tc>
                <w:tcPr>
                  <w:tcW w:w="302" w:type="pct"/>
                  <w:vMerge w:val="restar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污染物</w:t>
                  </w:r>
                </w:p>
                <w:p>
                  <w:pPr>
                    <w:adjustRightInd w:val="0"/>
                    <w:snapToGrid w:val="0"/>
                    <w:spacing w:line="240" w:lineRule="atLeast"/>
                    <w:ind w:firstLine="0" w:firstLineChars="0"/>
                    <w:jc w:val="center"/>
                    <w:rPr>
                      <w:b/>
                      <w:bCs/>
                      <w:color w:val="000000"/>
                      <w:sz w:val="18"/>
                      <w:szCs w:val="18"/>
                    </w:rPr>
                  </w:pPr>
                  <w:r>
                    <w:rPr>
                      <w:b/>
                      <w:bCs/>
                      <w:color w:val="000000"/>
                      <w:sz w:val="18"/>
                      <w:szCs w:val="18"/>
                    </w:rPr>
                    <w:t>种类</w:t>
                  </w:r>
                </w:p>
              </w:tc>
              <w:tc>
                <w:tcPr>
                  <w:tcW w:w="810" w:type="pct"/>
                  <w:gridSpan w:val="3"/>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污染物产生量和浓度</w:t>
                  </w:r>
                </w:p>
              </w:tc>
              <w:tc>
                <w:tcPr>
                  <w:tcW w:w="849" w:type="pct"/>
                  <w:gridSpan w:val="5"/>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污染治理设施</w:t>
                  </w:r>
                </w:p>
              </w:tc>
              <w:tc>
                <w:tcPr>
                  <w:tcW w:w="769" w:type="pct"/>
                  <w:gridSpan w:val="3"/>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污染物排放量和浓度</w:t>
                  </w:r>
                </w:p>
              </w:tc>
              <w:tc>
                <w:tcPr>
                  <w:tcW w:w="1386" w:type="pct"/>
                  <w:gridSpan w:val="6"/>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排放口基本情况</w:t>
                  </w:r>
                </w:p>
              </w:tc>
              <w:tc>
                <w:tcPr>
                  <w:tcW w:w="431" w:type="pct"/>
                  <w:gridSpan w:val="2"/>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16" w:type="pct"/>
                  <w:vMerge w:val="continue"/>
                  <w:vAlign w:val="center"/>
                </w:tcPr>
                <w:p>
                  <w:pPr>
                    <w:adjustRightInd w:val="0"/>
                    <w:snapToGrid w:val="0"/>
                    <w:spacing w:line="240" w:lineRule="atLeast"/>
                    <w:ind w:firstLine="0" w:firstLineChars="0"/>
                    <w:jc w:val="center"/>
                    <w:rPr>
                      <w:b/>
                      <w:bCs/>
                      <w:color w:val="000000"/>
                      <w:sz w:val="18"/>
                      <w:szCs w:val="18"/>
                    </w:rPr>
                  </w:pPr>
                </w:p>
              </w:tc>
              <w:tc>
                <w:tcPr>
                  <w:tcW w:w="135" w:type="pct"/>
                  <w:vMerge w:val="continue"/>
                  <w:vAlign w:val="center"/>
                </w:tcPr>
                <w:p>
                  <w:pPr>
                    <w:adjustRightInd w:val="0"/>
                    <w:snapToGrid w:val="0"/>
                    <w:spacing w:line="240" w:lineRule="atLeast"/>
                    <w:ind w:firstLine="0" w:firstLineChars="0"/>
                    <w:jc w:val="center"/>
                    <w:rPr>
                      <w:b/>
                      <w:bCs/>
                      <w:color w:val="000000"/>
                      <w:sz w:val="18"/>
                      <w:szCs w:val="18"/>
                    </w:rPr>
                  </w:pPr>
                </w:p>
              </w:tc>
              <w:tc>
                <w:tcPr>
                  <w:tcW w:w="302" w:type="pct"/>
                  <w:vMerge w:val="continue"/>
                  <w:vAlign w:val="center"/>
                </w:tcPr>
                <w:p>
                  <w:pPr>
                    <w:adjustRightInd w:val="0"/>
                    <w:snapToGrid w:val="0"/>
                    <w:spacing w:line="240" w:lineRule="atLeast"/>
                    <w:ind w:firstLine="0" w:firstLineChars="0"/>
                    <w:jc w:val="center"/>
                    <w:rPr>
                      <w:b/>
                      <w:bCs/>
                      <w:color w:val="000000"/>
                      <w:sz w:val="18"/>
                      <w:szCs w:val="18"/>
                    </w:rPr>
                  </w:pPr>
                </w:p>
              </w:tc>
              <w:tc>
                <w:tcPr>
                  <w:tcW w:w="252" w:type="pct"/>
                  <w:vMerge w:val="restar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产生浓度</w:t>
                  </w:r>
                </w:p>
                <w:p>
                  <w:pPr>
                    <w:adjustRightInd w:val="0"/>
                    <w:snapToGrid w:val="0"/>
                    <w:spacing w:line="240" w:lineRule="atLeast"/>
                    <w:ind w:firstLine="0" w:firstLineChars="0"/>
                    <w:jc w:val="center"/>
                    <w:rPr>
                      <w:b/>
                      <w:bCs/>
                      <w:color w:val="000000"/>
                      <w:sz w:val="18"/>
                      <w:szCs w:val="18"/>
                    </w:rPr>
                  </w:pPr>
                  <w:r>
                    <w:rPr>
                      <w:b/>
                      <w:bCs/>
                      <w:color w:val="000000"/>
                      <w:sz w:val="18"/>
                      <w:szCs w:val="18"/>
                    </w:rPr>
                    <w:t>mg/m</w:t>
                  </w:r>
                  <w:r>
                    <w:rPr>
                      <w:b/>
                      <w:bCs/>
                      <w:color w:val="000000"/>
                      <w:sz w:val="18"/>
                      <w:szCs w:val="18"/>
                      <w:vertAlign w:val="superscript"/>
                    </w:rPr>
                    <w:t>3</w:t>
                  </w:r>
                </w:p>
              </w:tc>
              <w:tc>
                <w:tcPr>
                  <w:tcW w:w="557" w:type="pct"/>
                  <w:gridSpan w:val="2"/>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产生量</w:t>
                  </w:r>
                </w:p>
              </w:tc>
              <w:tc>
                <w:tcPr>
                  <w:tcW w:w="163"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处理能力</w:t>
                  </w:r>
                </w:p>
              </w:tc>
              <w:tc>
                <w:tcPr>
                  <w:tcW w:w="156"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收集效率</w:t>
                  </w:r>
                </w:p>
              </w:tc>
              <w:tc>
                <w:tcPr>
                  <w:tcW w:w="168"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去除效率</w:t>
                  </w:r>
                </w:p>
              </w:tc>
              <w:tc>
                <w:tcPr>
                  <w:tcW w:w="133" w:type="pct"/>
                  <w:vMerge w:val="restar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是否可行技术</w:t>
                  </w:r>
                </w:p>
              </w:tc>
              <w:tc>
                <w:tcPr>
                  <w:tcW w:w="228" w:type="pct"/>
                  <w:vMerge w:val="restar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处理工艺</w:t>
                  </w:r>
                </w:p>
              </w:tc>
              <w:tc>
                <w:tcPr>
                  <w:tcW w:w="257" w:type="pct"/>
                  <w:vMerge w:val="restar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排放浓度</w:t>
                  </w:r>
                </w:p>
                <w:p>
                  <w:pPr>
                    <w:adjustRightInd w:val="0"/>
                    <w:snapToGrid w:val="0"/>
                    <w:spacing w:line="240" w:lineRule="atLeast"/>
                    <w:ind w:firstLine="0" w:firstLineChars="0"/>
                    <w:jc w:val="center"/>
                    <w:rPr>
                      <w:b/>
                      <w:bCs/>
                      <w:color w:val="000000"/>
                      <w:sz w:val="18"/>
                      <w:szCs w:val="18"/>
                    </w:rPr>
                  </w:pPr>
                  <w:r>
                    <w:rPr>
                      <w:b/>
                      <w:bCs/>
                      <w:color w:val="000000"/>
                      <w:sz w:val="18"/>
                      <w:szCs w:val="18"/>
                    </w:rPr>
                    <w:t>mg/m</w:t>
                  </w:r>
                  <w:r>
                    <w:rPr>
                      <w:b/>
                      <w:bCs/>
                      <w:color w:val="000000"/>
                      <w:sz w:val="18"/>
                      <w:szCs w:val="18"/>
                      <w:vertAlign w:val="superscript"/>
                    </w:rPr>
                    <w:t>3</w:t>
                  </w:r>
                </w:p>
              </w:tc>
              <w:tc>
                <w:tcPr>
                  <w:tcW w:w="512" w:type="pct"/>
                  <w:gridSpan w:val="2"/>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排放量</w:t>
                  </w:r>
                </w:p>
              </w:tc>
              <w:tc>
                <w:tcPr>
                  <w:tcW w:w="202" w:type="pct"/>
                  <w:vAlign w:val="center"/>
                </w:tcPr>
                <w:p>
                  <w:pPr>
                    <w:adjustRightInd w:val="0"/>
                    <w:snapToGrid w:val="0"/>
                    <w:spacing w:line="240" w:lineRule="atLeast"/>
                    <w:ind w:firstLine="0" w:firstLineChars="0"/>
                    <w:jc w:val="center"/>
                    <w:rPr>
                      <w:b/>
                      <w:bCs/>
                      <w:color w:val="000000"/>
                      <w:spacing w:val="-10"/>
                      <w:sz w:val="18"/>
                      <w:szCs w:val="18"/>
                    </w:rPr>
                  </w:pPr>
                  <w:r>
                    <w:rPr>
                      <w:b/>
                      <w:bCs/>
                      <w:color w:val="000000"/>
                      <w:spacing w:val="-10"/>
                      <w:sz w:val="18"/>
                      <w:szCs w:val="18"/>
                    </w:rPr>
                    <w:t>编号及名称</w:t>
                  </w:r>
                </w:p>
              </w:tc>
              <w:tc>
                <w:tcPr>
                  <w:tcW w:w="136"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高度</w:t>
                  </w:r>
                </w:p>
              </w:tc>
              <w:tc>
                <w:tcPr>
                  <w:tcW w:w="205"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内径</w:t>
                  </w:r>
                </w:p>
              </w:tc>
              <w:tc>
                <w:tcPr>
                  <w:tcW w:w="170"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温度</w:t>
                  </w:r>
                </w:p>
              </w:tc>
              <w:tc>
                <w:tcPr>
                  <w:tcW w:w="240"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类型</w:t>
                  </w:r>
                </w:p>
              </w:tc>
              <w:tc>
                <w:tcPr>
                  <w:tcW w:w="433"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地理</w:t>
                  </w:r>
                </w:p>
                <w:p>
                  <w:pPr>
                    <w:adjustRightInd w:val="0"/>
                    <w:snapToGrid w:val="0"/>
                    <w:spacing w:line="240" w:lineRule="atLeast"/>
                    <w:ind w:firstLine="0" w:firstLineChars="0"/>
                    <w:jc w:val="center"/>
                    <w:rPr>
                      <w:b/>
                      <w:bCs/>
                      <w:color w:val="000000"/>
                      <w:sz w:val="18"/>
                      <w:szCs w:val="18"/>
                    </w:rPr>
                  </w:pPr>
                  <w:r>
                    <w:rPr>
                      <w:b/>
                      <w:bCs/>
                      <w:color w:val="000000"/>
                      <w:sz w:val="18"/>
                      <w:szCs w:val="18"/>
                    </w:rPr>
                    <w:t>坐标</w:t>
                  </w:r>
                </w:p>
              </w:tc>
              <w:tc>
                <w:tcPr>
                  <w:tcW w:w="215" w:type="pct"/>
                  <w:vMerge w:val="restar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浓度</w:t>
                  </w:r>
                </w:p>
                <w:p>
                  <w:pPr>
                    <w:adjustRightInd w:val="0"/>
                    <w:snapToGrid w:val="0"/>
                    <w:spacing w:line="240" w:lineRule="atLeast"/>
                    <w:ind w:firstLine="0" w:firstLineChars="0"/>
                    <w:jc w:val="center"/>
                    <w:rPr>
                      <w:b/>
                      <w:bCs/>
                      <w:color w:val="000000"/>
                      <w:sz w:val="18"/>
                      <w:szCs w:val="18"/>
                    </w:rPr>
                  </w:pPr>
                  <w:r>
                    <w:rPr>
                      <w:b/>
                      <w:bCs/>
                      <w:color w:val="000000"/>
                      <w:sz w:val="18"/>
                      <w:szCs w:val="18"/>
                    </w:rPr>
                    <w:t>mg/m</w:t>
                  </w:r>
                  <w:r>
                    <w:rPr>
                      <w:b/>
                      <w:bCs/>
                      <w:color w:val="000000"/>
                      <w:sz w:val="18"/>
                      <w:szCs w:val="18"/>
                      <w:vertAlign w:val="superscript"/>
                    </w:rPr>
                    <w:t>3</w:t>
                  </w:r>
                </w:p>
              </w:tc>
              <w:tc>
                <w:tcPr>
                  <w:tcW w:w="215" w:type="pct"/>
                  <w:vMerge w:val="restart"/>
                  <w:vAlign w:val="center"/>
                </w:tcPr>
                <w:p>
                  <w:pPr>
                    <w:adjustRightInd w:val="0"/>
                    <w:snapToGrid w:val="0"/>
                    <w:spacing w:line="240" w:lineRule="atLeast"/>
                    <w:ind w:firstLine="0" w:firstLineChars="0"/>
                    <w:jc w:val="center"/>
                    <w:rPr>
                      <w:b/>
                      <w:bCs/>
                      <w:color w:val="000000"/>
                      <w:sz w:val="18"/>
                      <w:szCs w:val="18"/>
                    </w:rPr>
                  </w:pPr>
                  <w:r>
                    <w:rPr>
                      <w:rFonts w:hint="eastAsia"/>
                      <w:b/>
                      <w:bCs/>
                      <w:color w:val="000000"/>
                      <w:sz w:val="18"/>
                      <w:szCs w:val="18"/>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16" w:type="pct"/>
                  <w:vMerge w:val="continue"/>
                  <w:vAlign w:val="center"/>
                </w:tcPr>
                <w:p>
                  <w:pPr>
                    <w:adjustRightInd w:val="0"/>
                    <w:snapToGrid w:val="0"/>
                    <w:spacing w:line="240" w:lineRule="atLeast"/>
                    <w:ind w:firstLine="0" w:firstLineChars="0"/>
                    <w:jc w:val="center"/>
                    <w:rPr>
                      <w:bCs/>
                      <w:color w:val="000000"/>
                      <w:sz w:val="18"/>
                      <w:szCs w:val="18"/>
                    </w:rPr>
                  </w:pPr>
                </w:p>
              </w:tc>
              <w:tc>
                <w:tcPr>
                  <w:tcW w:w="135" w:type="pct"/>
                  <w:vMerge w:val="continue"/>
                  <w:vAlign w:val="center"/>
                </w:tcPr>
                <w:p>
                  <w:pPr>
                    <w:adjustRightInd w:val="0"/>
                    <w:snapToGrid w:val="0"/>
                    <w:spacing w:line="240" w:lineRule="atLeast"/>
                    <w:ind w:firstLine="0" w:firstLineChars="0"/>
                    <w:jc w:val="center"/>
                    <w:rPr>
                      <w:bCs/>
                      <w:color w:val="000000"/>
                      <w:sz w:val="18"/>
                      <w:szCs w:val="18"/>
                    </w:rPr>
                  </w:pPr>
                </w:p>
              </w:tc>
              <w:tc>
                <w:tcPr>
                  <w:tcW w:w="302" w:type="pct"/>
                  <w:vMerge w:val="continue"/>
                  <w:vAlign w:val="center"/>
                </w:tcPr>
                <w:p>
                  <w:pPr>
                    <w:adjustRightInd w:val="0"/>
                    <w:snapToGrid w:val="0"/>
                    <w:spacing w:line="240" w:lineRule="atLeast"/>
                    <w:ind w:firstLine="0" w:firstLineChars="0"/>
                    <w:jc w:val="center"/>
                    <w:rPr>
                      <w:bCs/>
                      <w:color w:val="000000"/>
                      <w:sz w:val="18"/>
                      <w:szCs w:val="18"/>
                    </w:rPr>
                  </w:pPr>
                </w:p>
              </w:tc>
              <w:tc>
                <w:tcPr>
                  <w:tcW w:w="252" w:type="pct"/>
                  <w:vMerge w:val="continue"/>
                  <w:vAlign w:val="center"/>
                </w:tcPr>
                <w:p>
                  <w:pPr>
                    <w:adjustRightInd w:val="0"/>
                    <w:snapToGrid w:val="0"/>
                    <w:spacing w:line="240" w:lineRule="atLeast"/>
                    <w:ind w:firstLine="0" w:firstLineChars="0"/>
                    <w:jc w:val="center"/>
                    <w:rPr>
                      <w:bCs/>
                      <w:color w:val="000000"/>
                      <w:sz w:val="18"/>
                      <w:szCs w:val="18"/>
                    </w:rPr>
                  </w:pPr>
                </w:p>
              </w:tc>
              <w:tc>
                <w:tcPr>
                  <w:tcW w:w="275"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kg/h</w:t>
                  </w:r>
                </w:p>
              </w:tc>
              <w:tc>
                <w:tcPr>
                  <w:tcW w:w="282" w:type="pct"/>
                  <w:vAlign w:val="center"/>
                </w:tcPr>
                <w:p>
                  <w:pPr>
                    <w:adjustRightInd w:val="0"/>
                    <w:snapToGrid w:val="0"/>
                    <w:spacing w:line="240" w:lineRule="atLeast"/>
                    <w:ind w:firstLine="0" w:firstLineChars="0"/>
                    <w:jc w:val="center"/>
                    <w:rPr>
                      <w:b/>
                      <w:bCs/>
                      <w:color w:val="000000"/>
                      <w:sz w:val="18"/>
                      <w:szCs w:val="18"/>
                    </w:rPr>
                  </w:pPr>
                  <w:r>
                    <w:rPr>
                      <w:rFonts w:hint="eastAsia"/>
                      <w:b/>
                      <w:bCs/>
                      <w:color w:val="000000"/>
                      <w:sz w:val="18"/>
                      <w:szCs w:val="18"/>
                    </w:rPr>
                    <w:t>kg</w:t>
                  </w:r>
                  <w:r>
                    <w:rPr>
                      <w:b/>
                      <w:bCs/>
                      <w:color w:val="000000"/>
                      <w:sz w:val="18"/>
                      <w:szCs w:val="18"/>
                    </w:rPr>
                    <w:t>/a</w:t>
                  </w:r>
                </w:p>
              </w:tc>
              <w:tc>
                <w:tcPr>
                  <w:tcW w:w="163"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m</w:t>
                  </w:r>
                  <w:r>
                    <w:rPr>
                      <w:b/>
                      <w:bCs/>
                      <w:color w:val="000000"/>
                      <w:sz w:val="18"/>
                      <w:szCs w:val="18"/>
                      <w:vertAlign w:val="superscript"/>
                    </w:rPr>
                    <w:t>3</w:t>
                  </w:r>
                  <w:r>
                    <w:rPr>
                      <w:b/>
                      <w:bCs/>
                      <w:color w:val="000000"/>
                      <w:sz w:val="18"/>
                      <w:szCs w:val="18"/>
                    </w:rPr>
                    <w:t>/h</w:t>
                  </w:r>
                </w:p>
              </w:tc>
              <w:tc>
                <w:tcPr>
                  <w:tcW w:w="156"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w:t>
                  </w:r>
                </w:p>
              </w:tc>
              <w:tc>
                <w:tcPr>
                  <w:tcW w:w="168"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w:t>
                  </w:r>
                </w:p>
              </w:tc>
              <w:tc>
                <w:tcPr>
                  <w:tcW w:w="133" w:type="pct"/>
                  <w:vMerge w:val="continue"/>
                  <w:vAlign w:val="center"/>
                </w:tcPr>
                <w:p>
                  <w:pPr>
                    <w:adjustRightInd w:val="0"/>
                    <w:snapToGrid w:val="0"/>
                    <w:spacing w:line="240" w:lineRule="atLeast"/>
                    <w:ind w:firstLine="0" w:firstLineChars="0"/>
                    <w:jc w:val="center"/>
                    <w:rPr>
                      <w:bCs/>
                      <w:color w:val="000000"/>
                      <w:sz w:val="18"/>
                      <w:szCs w:val="18"/>
                    </w:rPr>
                  </w:pPr>
                </w:p>
              </w:tc>
              <w:tc>
                <w:tcPr>
                  <w:tcW w:w="228" w:type="pct"/>
                  <w:vMerge w:val="continue"/>
                  <w:vAlign w:val="center"/>
                </w:tcPr>
                <w:p>
                  <w:pPr>
                    <w:adjustRightInd w:val="0"/>
                    <w:snapToGrid w:val="0"/>
                    <w:spacing w:line="240" w:lineRule="atLeast"/>
                    <w:ind w:firstLine="0" w:firstLineChars="0"/>
                    <w:jc w:val="center"/>
                    <w:rPr>
                      <w:bCs/>
                      <w:color w:val="000000"/>
                      <w:sz w:val="18"/>
                      <w:szCs w:val="18"/>
                    </w:rPr>
                  </w:pPr>
                </w:p>
              </w:tc>
              <w:tc>
                <w:tcPr>
                  <w:tcW w:w="257" w:type="pct"/>
                  <w:vMerge w:val="continue"/>
                  <w:vAlign w:val="center"/>
                </w:tcPr>
                <w:p>
                  <w:pPr>
                    <w:adjustRightInd w:val="0"/>
                    <w:snapToGrid w:val="0"/>
                    <w:spacing w:line="240" w:lineRule="atLeast"/>
                    <w:ind w:firstLine="0" w:firstLineChars="0"/>
                    <w:jc w:val="center"/>
                    <w:rPr>
                      <w:bCs/>
                      <w:color w:val="000000"/>
                      <w:sz w:val="18"/>
                      <w:szCs w:val="18"/>
                    </w:rPr>
                  </w:pPr>
                </w:p>
              </w:tc>
              <w:tc>
                <w:tcPr>
                  <w:tcW w:w="247"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kg/h</w:t>
                  </w:r>
                </w:p>
              </w:tc>
              <w:tc>
                <w:tcPr>
                  <w:tcW w:w="265" w:type="pct"/>
                  <w:vAlign w:val="center"/>
                </w:tcPr>
                <w:p>
                  <w:pPr>
                    <w:adjustRightInd w:val="0"/>
                    <w:snapToGrid w:val="0"/>
                    <w:spacing w:line="240" w:lineRule="atLeast"/>
                    <w:ind w:firstLine="0" w:firstLineChars="0"/>
                    <w:jc w:val="center"/>
                    <w:rPr>
                      <w:b/>
                      <w:bCs/>
                      <w:color w:val="000000"/>
                      <w:sz w:val="18"/>
                      <w:szCs w:val="18"/>
                    </w:rPr>
                  </w:pPr>
                  <w:r>
                    <w:rPr>
                      <w:rFonts w:hint="eastAsia"/>
                      <w:b/>
                      <w:bCs/>
                      <w:color w:val="000000"/>
                      <w:sz w:val="18"/>
                      <w:szCs w:val="18"/>
                    </w:rPr>
                    <w:t>kg</w:t>
                  </w:r>
                  <w:r>
                    <w:rPr>
                      <w:b/>
                      <w:bCs/>
                      <w:color w:val="000000"/>
                      <w:sz w:val="18"/>
                      <w:szCs w:val="18"/>
                    </w:rPr>
                    <w:t>/a</w:t>
                  </w:r>
                </w:p>
              </w:tc>
              <w:tc>
                <w:tcPr>
                  <w:tcW w:w="202"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w:t>
                  </w:r>
                </w:p>
              </w:tc>
              <w:tc>
                <w:tcPr>
                  <w:tcW w:w="136"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m</w:t>
                  </w:r>
                </w:p>
              </w:tc>
              <w:tc>
                <w:tcPr>
                  <w:tcW w:w="205"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m</w:t>
                  </w:r>
                </w:p>
              </w:tc>
              <w:tc>
                <w:tcPr>
                  <w:tcW w:w="170"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w:t>
                  </w:r>
                </w:p>
              </w:tc>
              <w:tc>
                <w:tcPr>
                  <w:tcW w:w="240"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w:t>
                  </w:r>
                </w:p>
              </w:tc>
              <w:tc>
                <w:tcPr>
                  <w:tcW w:w="433" w:type="pct"/>
                  <w:vAlign w:val="center"/>
                </w:tcPr>
                <w:p>
                  <w:pPr>
                    <w:adjustRightInd w:val="0"/>
                    <w:snapToGrid w:val="0"/>
                    <w:spacing w:line="240" w:lineRule="atLeast"/>
                    <w:ind w:firstLine="0" w:firstLineChars="0"/>
                    <w:jc w:val="center"/>
                    <w:rPr>
                      <w:b/>
                      <w:bCs/>
                      <w:color w:val="000000"/>
                      <w:sz w:val="18"/>
                      <w:szCs w:val="18"/>
                    </w:rPr>
                  </w:pPr>
                  <w:r>
                    <w:rPr>
                      <w:b/>
                      <w:bCs/>
                      <w:color w:val="000000"/>
                      <w:sz w:val="18"/>
                      <w:szCs w:val="18"/>
                    </w:rPr>
                    <w:t>/</w:t>
                  </w:r>
                </w:p>
              </w:tc>
              <w:tc>
                <w:tcPr>
                  <w:tcW w:w="215" w:type="pct"/>
                  <w:vMerge w:val="continue"/>
                  <w:vAlign w:val="center"/>
                </w:tcPr>
                <w:p>
                  <w:pPr>
                    <w:adjustRightInd w:val="0"/>
                    <w:snapToGrid w:val="0"/>
                    <w:spacing w:line="240" w:lineRule="atLeast"/>
                    <w:ind w:firstLine="0" w:firstLineChars="0"/>
                    <w:jc w:val="center"/>
                    <w:rPr>
                      <w:bCs/>
                      <w:color w:val="000000"/>
                      <w:sz w:val="18"/>
                      <w:szCs w:val="18"/>
                    </w:rPr>
                  </w:pPr>
                </w:p>
              </w:tc>
              <w:tc>
                <w:tcPr>
                  <w:tcW w:w="215" w:type="pct"/>
                  <w:vMerge w:val="continue"/>
                  <w:vAlign w:val="center"/>
                </w:tcPr>
                <w:p>
                  <w:pPr>
                    <w:adjustRightInd w:val="0"/>
                    <w:snapToGrid w:val="0"/>
                    <w:spacing w:line="240" w:lineRule="atLeast"/>
                    <w:ind w:firstLine="0" w:firstLineChars="0"/>
                    <w:jc w:val="center"/>
                    <w:rPr>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6" w:type="pct"/>
                  <w:vMerge w:val="restart"/>
                  <w:vAlign w:val="center"/>
                </w:tcPr>
                <w:p>
                  <w:pPr>
                    <w:pStyle w:val="37"/>
                    <w:spacing w:line="240" w:lineRule="atLeast"/>
                    <w:rPr>
                      <w:color w:val="000000"/>
                      <w:szCs w:val="18"/>
                    </w:rPr>
                  </w:pPr>
                  <w:r>
                    <w:rPr>
                      <w:rFonts w:hint="eastAsia"/>
                      <w:color w:val="000000"/>
                      <w:szCs w:val="18"/>
                    </w:rPr>
                    <w:t>前副车架焊接</w:t>
                  </w:r>
                </w:p>
              </w:tc>
              <w:tc>
                <w:tcPr>
                  <w:tcW w:w="135" w:type="pct"/>
                  <w:vMerge w:val="restart"/>
                  <w:vAlign w:val="center"/>
                </w:tcPr>
                <w:p>
                  <w:pPr>
                    <w:pStyle w:val="37"/>
                    <w:spacing w:line="240" w:lineRule="atLeast"/>
                    <w:rPr>
                      <w:color w:val="000000"/>
                      <w:szCs w:val="18"/>
                    </w:rPr>
                  </w:pPr>
                  <w:r>
                    <w:rPr>
                      <w:rFonts w:hint="eastAsia"/>
                      <w:color w:val="000000"/>
                      <w:szCs w:val="18"/>
                    </w:rPr>
                    <w:t>有组织</w:t>
                  </w:r>
                </w:p>
              </w:tc>
              <w:tc>
                <w:tcPr>
                  <w:tcW w:w="302" w:type="pct"/>
                  <w:vAlign w:val="center"/>
                </w:tcPr>
                <w:p>
                  <w:pPr>
                    <w:pStyle w:val="37"/>
                    <w:spacing w:line="240" w:lineRule="atLeast"/>
                    <w:rPr>
                      <w:color w:val="000000"/>
                      <w:szCs w:val="18"/>
                    </w:rPr>
                  </w:pPr>
                  <w:r>
                    <w:rPr>
                      <w:rFonts w:hint="eastAsia"/>
                      <w:color w:val="000000"/>
                      <w:szCs w:val="18"/>
                    </w:rPr>
                    <w:t>颗粒物</w:t>
                  </w:r>
                </w:p>
              </w:tc>
              <w:tc>
                <w:tcPr>
                  <w:tcW w:w="606"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0.325 </w:t>
                  </w:r>
                </w:p>
              </w:tc>
              <w:tc>
                <w:tcPr>
                  <w:tcW w:w="661"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0.006 </w:t>
                  </w:r>
                </w:p>
              </w:tc>
              <w:tc>
                <w:tcPr>
                  <w:tcW w:w="680"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27.542 </w:t>
                  </w:r>
                </w:p>
              </w:tc>
              <w:tc>
                <w:tcPr>
                  <w:tcW w:w="163" w:type="pct"/>
                  <w:vMerge w:val="restart"/>
                  <w:vAlign w:val="center"/>
                </w:tcPr>
                <w:p>
                  <w:pPr>
                    <w:pStyle w:val="37"/>
                    <w:spacing w:line="240" w:lineRule="atLeast"/>
                    <w:rPr>
                      <w:color w:val="000000"/>
                      <w:szCs w:val="18"/>
                    </w:rPr>
                  </w:pPr>
                  <w:r>
                    <w:rPr>
                      <w:rFonts w:hint="eastAsia"/>
                      <w:color w:val="000000"/>
                      <w:szCs w:val="18"/>
                    </w:rPr>
                    <w:t>20000</w:t>
                  </w:r>
                </w:p>
              </w:tc>
              <w:tc>
                <w:tcPr>
                  <w:tcW w:w="156" w:type="pct"/>
                  <w:vMerge w:val="restart"/>
                  <w:vAlign w:val="center"/>
                </w:tcPr>
                <w:p>
                  <w:pPr>
                    <w:pStyle w:val="37"/>
                    <w:spacing w:line="240" w:lineRule="atLeast"/>
                    <w:rPr>
                      <w:color w:val="000000"/>
                      <w:szCs w:val="18"/>
                    </w:rPr>
                  </w:pPr>
                  <w:r>
                    <w:rPr>
                      <w:rFonts w:hint="eastAsia"/>
                      <w:color w:val="000000"/>
                      <w:szCs w:val="18"/>
                    </w:rPr>
                    <w:t>90</w:t>
                  </w:r>
                </w:p>
              </w:tc>
              <w:tc>
                <w:tcPr>
                  <w:tcW w:w="168" w:type="pct"/>
                  <w:vMerge w:val="restart"/>
                  <w:vAlign w:val="center"/>
                </w:tcPr>
                <w:p>
                  <w:pPr>
                    <w:pStyle w:val="37"/>
                    <w:spacing w:line="240" w:lineRule="atLeast"/>
                    <w:rPr>
                      <w:color w:val="000000"/>
                      <w:szCs w:val="18"/>
                    </w:rPr>
                  </w:pPr>
                  <w:r>
                    <w:rPr>
                      <w:rFonts w:hint="eastAsia"/>
                      <w:color w:val="000000"/>
                      <w:szCs w:val="18"/>
                    </w:rPr>
                    <w:t>99</w:t>
                  </w:r>
                </w:p>
              </w:tc>
              <w:tc>
                <w:tcPr>
                  <w:tcW w:w="133" w:type="pct"/>
                  <w:vMerge w:val="restart"/>
                  <w:vAlign w:val="center"/>
                </w:tcPr>
                <w:p>
                  <w:pPr>
                    <w:pStyle w:val="37"/>
                    <w:spacing w:line="240" w:lineRule="atLeast"/>
                    <w:rPr>
                      <w:color w:val="000000"/>
                      <w:szCs w:val="18"/>
                    </w:rPr>
                  </w:pPr>
                  <w:r>
                    <w:rPr>
                      <w:rFonts w:hint="eastAsia"/>
                      <w:color w:val="000000"/>
                      <w:szCs w:val="18"/>
                    </w:rPr>
                    <w:t>是</w:t>
                  </w:r>
                </w:p>
              </w:tc>
              <w:tc>
                <w:tcPr>
                  <w:tcW w:w="228" w:type="pct"/>
                  <w:vMerge w:val="restart"/>
                  <w:vAlign w:val="center"/>
                </w:tcPr>
                <w:p>
                  <w:pPr>
                    <w:pStyle w:val="37"/>
                    <w:spacing w:line="240" w:lineRule="atLeast"/>
                    <w:rPr>
                      <w:color w:val="000000"/>
                      <w:szCs w:val="18"/>
                    </w:rPr>
                  </w:pPr>
                  <w:r>
                    <w:rPr>
                      <w:rFonts w:hint="eastAsia"/>
                      <w:color w:val="000000"/>
                      <w:szCs w:val="18"/>
                    </w:rPr>
                    <w:t>布袋除尘</w:t>
                  </w:r>
                </w:p>
              </w:tc>
              <w:tc>
                <w:tcPr>
                  <w:tcW w:w="618"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0.003 </w:t>
                  </w:r>
                </w:p>
              </w:tc>
              <w:tc>
                <w:tcPr>
                  <w:tcW w:w="594"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0.00006 </w:t>
                  </w:r>
                </w:p>
              </w:tc>
              <w:tc>
                <w:tcPr>
                  <w:tcW w:w="637"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0.275 </w:t>
                  </w:r>
                </w:p>
              </w:tc>
              <w:tc>
                <w:tcPr>
                  <w:tcW w:w="202" w:type="pct"/>
                  <w:vMerge w:val="restart"/>
                  <w:vAlign w:val="center"/>
                </w:tcPr>
                <w:p>
                  <w:pPr>
                    <w:pStyle w:val="37"/>
                    <w:spacing w:line="240" w:lineRule="atLeast"/>
                    <w:rPr>
                      <w:color w:val="000000"/>
                      <w:szCs w:val="18"/>
                    </w:rPr>
                  </w:pPr>
                  <w:r>
                    <w:rPr>
                      <w:rFonts w:hint="eastAsia"/>
                      <w:color w:val="000000"/>
                      <w:szCs w:val="18"/>
                    </w:rPr>
                    <w:t>DA001</w:t>
                  </w:r>
                </w:p>
              </w:tc>
              <w:tc>
                <w:tcPr>
                  <w:tcW w:w="136" w:type="pct"/>
                  <w:vMerge w:val="restart"/>
                  <w:vAlign w:val="center"/>
                </w:tcPr>
                <w:p>
                  <w:pPr>
                    <w:pStyle w:val="37"/>
                    <w:spacing w:line="240" w:lineRule="atLeast"/>
                    <w:rPr>
                      <w:color w:val="000000"/>
                      <w:szCs w:val="18"/>
                    </w:rPr>
                  </w:pPr>
                  <w:r>
                    <w:rPr>
                      <w:rFonts w:hint="eastAsia"/>
                      <w:color w:val="000000"/>
                      <w:szCs w:val="18"/>
                    </w:rPr>
                    <w:t>15</w:t>
                  </w:r>
                </w:p>
              </w:tc>
              <w:tc>
                <w:tcPr>
                  <w:tcW w:w="205" w:type="pct"/>
                  <w:vMerge w:val="restart"/>
                  <w:vAlign w:val="center"/>
                </w:tcPr>
                <w:p>
                  <w:pPr>
                    <w:pStyle w:val="37"/>
                    <w:spacing w:line="240" w:lineRule="atLeast"/>
                    <w:rPr>
                      <w:color w:val="000000"/>
                      <w:szCs w:val="18"/>
                    </w:rPr>
                  </w:pPr>
                  <w:r>
                    <w:rPr>
                      <w:rFonts w:hint="eastAsia"/>
                      <w:color w:val="000000"/>
                      <w:szCs w:val="18"/>
                    </w:rPr>
                    <w:t>0.2</w:t>
                  </w:r>
                </w:p>
              </w:tc>
              <w:tc>
                <w:tcPr>
                  <w:tcW w:w="170" w:type="pct"/>
                  <w:vMerge w:val="restart"/>
                  <w:vAlign w:val="center"/>
                </w:tcPr>
                <w:p>
                  <w:pPr>
                    <w:pStyle w:val="37"/>
                    <w:spacing w:line="240" w:lineRule="atLeast"/>
                    <w:rPr>
                      <w:color w:val="000000"/>
                      <w:szCs w:val="18"/>
                    </w:rPr>
                  </w:pPr>
                  <w:r>
                    <w:rPr>
                      <w:rFonts w:hint="eastAsia"/>
                      <w:color w:val="000000"/>
                      <w:szCs w:val="18"/>
                    </w:rPr>
                    <w:t>25</w:t>
                  </w:r>
                </w:p>
              </w:tc>
              <w:tc>
                <w:tcPr>
                  <w:tcW w:w="240" w:type="pct"/>
                  <w:vMerge w:val="restart"/>
                  <w:vAlign w:val="center"/>
                </w:tcPr>
                <w:p>
                  <w:pPr>
                    <w:pStyle w:val="37"/>
                    <w:spacing w:line="240" w:lineRule="atLeast"/>
                    <w:rPr>
                      <w:color w:val="000000"/>
                      <w:szCs w:val="18"/>
                    </w:rPr>
                  </w:pPr>
                  <w:r>
                    <w:rPr>
                      <w:rFonts w:hint="eastAsia"/>
                      <w:color w:val="000000"/>
                      <w:szCs w:val="18"/>
                    </w:rPr>
                    <w:t>一般排放口</w:t>
                  </w:r>
                </w:p>
              </w:tc>
              <w:tc>
                <w:tcPr>
                  <w:tcW w:w="433" w:type="pct"/>
                  <w:vMerge w:val="restart"/>
                  <w:vAlign w:val="center"/>
                </w:tcPr>
                <w:p>
                  <w:pPr>
                    <w:pStyle w:val="37"/>
                    <w:spacing w:line="240" w:lineRule="atLeast"/>
                    <w:rPr>
                      <w:color w:val="000000"/>
                      <w:szCs w:val="18"/>
                    </w:rPr>
                  </w:pPr>
                  <w:r>
                    <w:rPr>
                      <w:rFonts w:hint="eastAsia"/>
                      <w:color w:val="000000"/>
                      <w:szCs w:val="18"/>
                    </w:rPr>
                    <w:t>E115°51′54.558″；N28°31′12.711″</w:t>
                  </w:r>
                </w:p>
              </w:tc>
              <w:tc>
                <w:tcPr>
                  <w:tcW w:w="215" w:type="pct"/>
                  <w:vAlign w:val="center"/>
                </w:tcPr>
                <w:p>
                  <w:pPr>
                    <w:pStyle w:val="37"/>
                    <w:spacing w:line="240" w:lineRule="atLeast"/>
                    <w:rPr>
                      <w:color w:val="000000"/>
                      <w:szCs w:val="18"/>
                    </w:rPr>
                  </w:pPr>
                  <w:r>
                    <w:rPr>
                      <w:rFonts w:hint="eastAsia"/>
                      <w:color w:val="000000"/>
                      <w:szCs w:val="18"/>
                    </w:rPr>
                    <w:t>120</w:t>
                  </w:r>
                </w:p>
              </w:tc>
              <w:tc>
                <w:tcPr>
                  <w:tcW w:w="215" w:type="pct"/>
                  <w:vAlign w:val="center"/>
                </w:tcPr>
                <w:p>
                  <w:pPr>
                    <w:pStyle w:val="37"/>
                    <w:spacing w:line="240" w:lineRule="atLeast"/>
                    <w:rPr>
                      <w:color w:val="000000"/>
                      <w:szCs w:val="18"/>
                    </w:rPr>
                  </w:pPr>
                  <w:r>
                    <w:rPr>
                      <w:rFonts w:hint="eastAsia"/>
                      <w:color w:val="000000"/>
                      <w:szCs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6" w:type="pct"/>
                  <w:vMerge w:val="continue"/>
                  <w:vAlign w:val="center"/>
                </w:tcPr>
                <w:p>
                  <w:pPr>
                    <w:pStyle w:val="37"/>
                    <w:spacing w:line="240" w:lineRule="atLeast"/>
                    <w:rPr>
                      <w:color w:val="000000"/>
                      <w:szCs w:val="18"/>
                    </w:rPr>
                  </w:pPr>
                </w:p>
              </w:tc>
              <w:tc>
                <w:tcPr>
                  <w:tcW w:w="135" w:type="pct"/>
                  <w:vMerge w:val="continue"/>
                  <w:vAlign w:val="center"/>
                </w:tcPr>
                <w:p>
                  <w:pPr>
                    <w:pStyle w:val="37"/>
                    <w:spacing w:line="240" w:lineRule="atLeast"/>
                    <w:rPr>
                      <w:color w:val="000000"/>
                      <w:szCs w:val="18"/>
                    </w:rPr>
                  </w:pPr>
                </w:p>
              </w:tc>
              <w:tc>
                <w:tcPr>
                  <w:tcW w:w="302" w:type="pct"/>
                  <w:vAlign w:val="center"/>
                </w:tcPr>
                <w:p>
                  <w:pPr>
                    <w:pStyle w:val="37"/>
                    <w:spacing w:line="240" w:lineRule="atLeast"/>
                    <w:rPr>
                      <w:color w:val="000000"/>
                      <w:szCs w:val="18"/>
                    </w:rPr>
                  </w:pPr>
                  <w:r>
                    <w:rPr>
                      <w:rFonts w:hint="eastAsia"/>
                      <w:color w:val="000000"/>
                      <w:szCs w:val="18"/>
                    </w:rPr>
                    <w:t>锡及其化合物</w:t>
                  </w:r>
                </w:p>
              </w:tc>
              <w:tc>
                <w:tcPr>
                  <w:tcW w:w="606"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0.292 </w:t>
                  </w:r>
                </w:p>
              </w:tc>
              <w:tc>
                <w:tcPr>
                  <w:tcW w:w="661"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0.006 </w:t>
                  </w:r>
                </w:p>
              </w:tc>
              <w:tc>
                <w:tcPr>
                  <w:tcW w:w="680"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24.788 </w:t>
                  </w:r>
                </w:p>
              </w:tc>
              <w:tc>
                <w:tcPr>
                  <w:tcW w:w="163" w:type="pct"/>
                  <w:vMerge w:val="continue"/>
                  <w:vAlign w:val="center"/>
                </w:tcPr>
                <w:p>
                  <w:pPr>
                    <w:pStyle w:val="37"/>
                    <w:spacing w:line="240" w:lineRule="atLeast"/>
                    <w:rPr>
                      <w:color w:val="000000"/>
                      <w:szCs w:val="18"/>
                    </w:rPr>
                  </w:pPr>
                </w:p>
              </w:tc>
              <w:tc>
                <w:tcPr>
                  <w:tcW w:w="156" w:type="pct"/>
                  <w:vMerge w:val="continue"/>
                  <w:vAlign w:val="center"/>
                </w:tcPr>
                <w:p>
                  <w:pPr>
                    <w:pStyle w:val="37"/>
                    <w:spacing w:line="240" w:lineRule="atLeast"/>
                    <w:rPr>
                      <w:color w:val="000000"/>
                      <w:szCs w:val="18"/>
                    </w:rPr>
                  </w:pPr>
                </w:p>
              </w:tc>
              <w:tc>
                <w:tcPr>
                  <w:tcW w:w="168" w:type="pct"/>
                  <w:vMerge w:val="continue"/>
                  <w:vAlign w:val="center"/>
                </w:tcPr>
                <w:p>
                  <w:pPr>
                    <w:pStyle w:val="37"/>
                    <w:spacing w:line="240" w:lineRule="atLeast"/>
                    <w:rPr>
                      <w:color w:val="000000"/>
                      <w:szCs w:val="18"/>
                    </w:rPr>
                  </w:pPr>
                </w:p>
              </w:tc>
              <w:tc>
                <w:tcPr>
                  <w:tcW w:w="133" w:type="pct"/>
                  <w:vMerge w:val="continue"/>
                  <w:vAlign w:val="center"/>
                </w:tcPr>
                <w:p>
                  <w:pPr>
                    <w:pStyle w:val="37"/>
                    <w:spacing w:line="240" w:lineRule="atLeast"/>
                    <w:rPr>
                      <w:color w:val="000000"/>
                      <w:szCs w:val="18"/>
                    </w:rPr>
                  </w:pPr>
                </w:p>
              </w:tc>
              <w:tc>
                <w:tcPr>
                  <w:tcW w:w="228" w:type="pct"/>
                  <w:vMerge w:val="continue"/>
                  <w:vAlign w:val="center"/>
                </w:tcPr>
                <w:p>
                  <w:pPr>
                    <w:pStyle w:val="37"/>
                    <w:spacing w:line="240" w:lineRule="atLeast"/>
                    <w:rPr>
                      <w:color w:val="000000"/>
                      <w:szCs w:val="18"/>
                    </w:rPr>
                  </w:pPr>
                </w:p>
              </w:tc>
              <w:tc>
                <w:tcPr>
                  <w:tcW w:w="618"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0.003 </w:t>
                  </w:r>
                </w:p>
              </w:tc>
              <w:tc>
                <w:tcPr>
                  <w:tcW w:w="594"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0.00006 </w:t>
                  </w:r>
                </w:p>
              </w:tc>
              <w:tc>
                <w:tcPr>
                  <w:tcW w:w="637"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0.248 </w:t>
                  </w:r>
                </w:p>
              </w:tc>
              <w:tc>
                <w:tcPr>
                  <w:tcW w:w="202" w:type="pct"/>
                  <w:vMerge w:val="continue"/>
                  <w:vAlign w:val="center"/>
                </w:tcPr>
                <w:p>
                  <w:pPr>
                    <w:pStyle w:val="37"/>
                    <w:spacing w:line="240" w:lineRule="atLeast"/>
                    <w:rPr>
                      <w:color w:val="000000"/>
                      <w:szCs w:val="18"/>
                    </w:rPr>
                  </w:pPr>
                </w:p>
              </w:tc>
              <w:tc>
                <w:tcPr>
                  <w:tcW w:w="136" w:type="pct"/>
                  <w:vMerge w:val="continue"/>
                  <w:vAlign w:val="center"/>
                </w:tcPr>
                <w:p>
                  <w:pPr>
                    <w:pStyle w:val="37"/>
                    <w:spacing w:line="240" w:lineRule="atLeast"/>
                    <w:rPr>
                      <w:color w:val="000000"/>
                      <w:szCs w:val="18"/>
                    </w:rPr>
                  </w:pPr>
                </w:p>
              </w:tc>
              <w:tc>
                <w:tcPr>
                  <w:tcW w:w="205" w:type="pct"/>
                  <w:vMerge w:val="continue"/>
                  <w:vAlign w:val="center"/>
                </w:tcPr>
                <w:p>
                  <w:pPr>
                    <w:pStyle w:val="37"/>
                    <w:spacing w:line="240" w:lineRule="atLeast"/>
                    <w:rPr>
                      <w:color w:val="000000"/>
                      <w:szCs w:val="18"/>
                    </w:rPr>
                  </w:pPr>
                </w:p>
              </w:tc>
              <w:tc>
                <w:tcPr>
                  <w:tcW w:w="170" w:type="pct"/>
                  <w:vMerge w:val="continue"/>
                  <w:vAlign w:val="center"/>
                </w:tcPr>
                <w:p>
                  <w:pPr>
                    <w:pStyle w:val="37"/>
                    <w:spacing w:line="240" w:lineRule="atLeast"/>
                    <w:rPr>
                      <w:color w:val="000000"/>
                      <w:szCs w:val="18"/>
                    </w:rPr>
                  </w:pPr>
                </w:p>
              </w:tc>
              <w:tc>
                <w:tcPr>
                  <w:tcW w:w="240" w:type="pct"/>
                  <w:vMerge w:val="continue"/>
                  <w:vAlign w:val="center"/>
                </w:tcPr>
                <w:p>
                  <w:pPr>
                    <w:pStyle w:val="37"/>
                    <w:spacing w:line="240" w:lineRule="atLeast"/>
                    <w:rPr>
                      <w:color w:val="000000"/>
                      <w:szCs w:val="18"/>
                    </w:rPr>
                  </w:pPr>
                </w:p>
              </w:tc>
              <w:tc>
                <w:tcPr>
                  <w:tcW w:w="433" w:type="pct"/>
                  <w:vMerge w:val="continue"/>
                  <w:vAlign w:val="center"/>
                </w:tcPr>
                <w:p>
                  <w:pPr>
                    <w:pStyle w:val="37"/>
                    <w:spacing w:line="240" w:lineRule="atLeast"/>
                    <w:rPr>
                      <w:color w:val="000000"/>
                      <w:szCs w:val="18"/>
                    </w:rPr>
                  </w:pPr>
                </w:p>
              </w:tc>
              <w:tc>
                <w:tcPr>
                  <w:tcW w:w="215" w:type="pct"/>
                  <w:vAlign w:val="center"/>
                </w:tcPr>
                <w:p>
                  <w:pPr>
                    <w:pStyle w:val="37"/>
                    <w:spacing w:line="240" w:lineRule="atLeast"/>
                    <w:rPr>
                      <w:color w:val="000000"/>
                      <w:szCs w:val="18"/>
                    </w:rPr>
                  </w:pPr>
                  <w:r>
                    <w:rPr>
                      <w:rFonts w:hint="eastAsia"/>
                      <w:color w:val="000000"/>
                      <w:szCs w:val="18"/>
                    </w:rPr>
                    <w:t>8.5</w:t>
                  </w:r>
                </w:p>
              </w:tc>
              <w:tc>
                <w:tcPr>
                  <w:tcW w:w="215" w:type="pct"/>
                  <w:vAlign w:val="center"/>
                </w:tcPr>
                <w:p>
                  <w:pPr>
                    <w:pStyle w:val="37"/>
                    <w:spacing w:line="240" w:lineRule="atLeast"/>
                    <w:rPr>
                      <w:color w:val="000000"/>
                      <w:szCs w:val="18"/>
                    </w:rPr>
                  </w:pPr>
                  <w:r>
                    <w:rPr>
                      <w:rFonts w:hint="eastAsia"/>
                      <w:color w:val="000000"/>
                      <w:szCs w:val="18"/>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6" w:type="pct"/>
                  <w:vMerge w:val="restart"/>
                  <w:vAlign w:val="center"/>
                </w:tcPr>
                <w:p>
                  <w:pPr>
                    <w:pStyle w:val="37"/>
                    <w:spacing w:line="240" w:lineRule="atLeast"/>
                    <w:rPr>
                      <w:color w:val="000000"/>
                      <w:szCs w:val="18"/>
                    </w:rPr>
                  </w:pPr>
                  <w:r>
                    <w:rPr>
                      <w:rFonts w:hint="eastAsia"/>
                      <w:color w:val="000000"/>
                      <w:szCs w:val="18"/>
                    </w:rPr>
                    <w:t>后副车架焊接</w:t>
                  </w:r>
                </w:p>
              </w:tc>
              <w:tc>
                <w:tcPr>
                  <w:tcW w:w="135" w:type="pct"/>
                  <w:vMerge w:val="continue"/>
                  <w:vAlign w:val="center"/>
                </w:tcPr>
                <w:p>
                  <w:pPr>
                    <w:pStyle w:val="37"/>
                    <w:spacing w:line="240" w:lineRule="atLeast"/>
                    <w:rPr>
                      <w:color w:val="000000"/>
                      <w:szCs w:val="18"/>
                    </w:rPr>
                  </w:pPr>
                </w:p>
              </w:tc>
              <w:tc>
                <w:tcPr>
                  <w:tcW w:w="302" w:type="pct"/>
                  <w:vAlign w:val="center"/>
                </w:tcPr>
                <w:p>
                  <w:pPr>
                    <w:pStyle w:val="37"/>
                    <w:spacing w:line="240" w:lineRule="atLeast"/>
                    <w:rPr>
                      <w:color w:val="000000"/>
                      <w:szCs w:val="18"/>
                    </w:rPr>
                  </w:pPr>
                  <w:r>
                    <w:rPr>
                      <w:rFonts w:hint="eastAsia"/>
                      <w:color w:val="000000"/>
                      <w:szCs w:val="18"/>
                    </w:rPr>
                    <w:t>颗粒物</w:t>
                  </w:r>
                </w:p>
              </w:tc>
              <w:tc>
                <w:tcPr>
                  <w:tcW w:w="606"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0.163 </w:t>
                  </w:r>
                </w:p>
              </w:tc>
              <w:tc>
                <w:tcPr>
                  <w:tcW w:w="661"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0.003 </w:t>
                  </w:r>
                </w:p>
              </w:tc>
              <w:tc>
                <w:tcPr>
                  <w:tcW w:w="680"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13.813 </w:t>
                  </w:r>
                </w:p>
              </w:tc>
              <w:tc>
                <w:tcPr>
                  <w:tcW w:w="163" w:type="pct"/>
                  <w:vMerge w:val="restart"/>
                  <w:vAlign w:val="center"/>
                </w:tcPr>
                <w:p>
                  <w:pPr>
                    <w:pStyle w:val="37"/>
                    <w:spacing w:line="240" w:lineRule="atLeast"/>
                    <w:rPr>
                      <w:color w:val="000000"/>
                      <w:szCs w:val="18"/>
                    </w:rPr>
                  </w:pPr>
                  <w:r>
                    <w:rPr>
                      <w:rFonts w:hint="eastAsia"/>
                      <w:color w:val="000000"/>
                      <w:szCs w:val="18"/>
                    </w:rPr>
                    <w:t>20000</w:t>
                  </w:r>
                </w:p>
              </w:tc>
              <w:tc>
                <w:tcPr>
                  <w:tcW w:w="156" w:type="pct"/>
                  <w:vMerge w:val="restart"/>
                  <w:vAlign w:val="center"/>
                </w:tcPr>
                <w:p>
                  <w:pPr>
                    <w:pStyle w:val="37"/>
                    <w:spacing w:line="240" w:lineRule="atLeast"/>
                    <w:rPr>
                      <w:color w:val="000000"/>
                      <w:szCs w:val="18"/>
                    </w:rPr>
                  </w:pPr>
                  <w:r>
                    <w:rPr>
                      <w:rFonts w:hint="eastAsia"/>
                      <w:color w:val="000000"/>
                      <w:szCs w:val="18"/>
                    </w:rPr>
                    <w:t>90</w:t>
                  </w:r>
                </w:p>
              </w:tc>
              <w:tc>
                <w:tcPr>
                  <w:tcW w:w="168" w:type="pct"/>
                  <w:vMerge w:val="restart"/>
                  <w:vAlign w:val="center"/>
                </w:tcPr>
                <w:p>
                  <w:pPr>
                    <w:pStyle w:val="37"/>
                    <w:spacing w:line="240" w:lineRule="atLeast"/>
                    <w:rPr>
                      <w:color w:val="000000"/>
                      <w:szCs w:val="18"/>
                    </w:rPr>
                  </w:pPr>
                  <w:r>
                    <w:rPr>
                      <w:rFonts w:hint="eastAsia"/>
                      <w:color w:val="000000"/>
                      <w:szCs w:val="18"/>
                    </w:rPr>
                    <w:t>99</w:t>
                  </w:r>
                </w:p>
              </w:tc>
              <w:tc>
                <w:tcPr>
                  <w:tcW w:w="133" w:type="pct"/>
                  <w:vMerge w:val="restart"/>
                  <w:vAlign w:val="center"/>
                </w:tcPr>
                <w:p>
                  <w:pPr>
                    <w:pStyle w:val="37"/>
                    <w:spacing w:line="240" w:lineRule="atLeast"/>
                    <w:rPr>
                      <w:color w:val="000000"/>
                      <w:szCs w:val="18"/>
                    </w:rPr>
                  </w:pPr>
                  <w:r>
                    <w:rPr>
                      <w:rFonts w:hint="eastAsia"/>
                      <w:color w:val="000000"/>
                      <w:szCs w:val="18"/>
                    </w:rPr>
                    <w:t>是</w:t>
                  </w:r>
                </w:p>
              </w:tc>
              <w:tc>
                <w:tcPr>
                  <w:tcW w:w="228" w:type="pct"/>
                  <w:vMerge w:val="restart"/>
                  <w:vAlign w:val="center"/>
                </w:tcPr>
                <w:p>
                  <w:pPr>
                    <w:pStyle w:val="37"/>
                    <w:spacing w:line="240" w:lineRule="atLeast"/>
                    <w:rPr>
                      <w:color w:val="000000"/>
                      <w:szCs w:val="18"/>
                    </w:rPr>
                  </w:pPr>
                  <w:r>
                    <w:rPr>
                      <w:rFonts w:hint="eastAsia"/>
                      <w:color w:val="000000"/>
                      <w:szCs w:val="18"/>
                    </w:rPr>
                    <w:t>布袋除尘</w:t>
                  </w:r>
                </w:p>
              </w:tc>
              <w:tc>
                <w:tcPr>
                  <w:tcW w:w="618"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0.002 </w:t>
                  </w:r>
                </w:p>
              </w:tc>
              <w:tc>
                <w:tcPr>
                  <w:tcW w:w="594"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0.00003 </w:t>
                  </w:r>
                </w:p>
              </w:tc>
              <w:tc>
                <w:tcPr>
                  <w:tcW w:w="637"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0.138 </w:t>
                  </w:r>
                </w:p>
              </w:tc>
              <w:tc>
                <w:tcPr>
                  <w:tcW w:w="202" w:type="pct"/>
                  <w:vMerge w:val="restart"/>
                  <w:vAlign w:val="center"/>
                </w:tcPr>
                <w:p>
                  <w:pPr>
                    <w:pStyle w:val="37"/>
                    <w:spacing w:line="240" w:lineRule="atLeast"/>
                    <w:rPr>
                      <w:color w:val="000000"/>
                      <w:szCs w:val="18"/>
                    </w:rPr>
                  </w:pPr>
                  <w:r>
                    <w:rPr>
                      <w:rFonts w:hint="eastAsia"/>
                      <w:color w:val="000000"/>
                      <w:szCs w:val="18"/>
                    </w:rPr>
                    <w:t>DA002</w:t>
                  </w:r>
                </w:p>
              </w:tc>
              <w:tc>
                <w:tcPr>
                  <w:tcW w:w="136" w:type="pct"/>
                  <w:vMerge w:val="restart"/>
                  <w:vAlign w:val="center"/>
                </w:tcPr>
                <w:p>
                  <w:pPr>
                    <w:pStyle w:val="37"/>
                    <w:spacing w:line="240" w:lineRule="atLeast"/>
                    <w:rPr>
                      <w:color w:val="000000"/>
                      <w:szCs w:val="18"/>
                    </w:rPr>
                  </w:pPr>
                  <w:r>
                    <w:rPr>
                      <w:rFonts w:hint="eastAsia"/>
                      <w:color w:val="000000"/>
                      <w:szCs w:val="18"/>
                    </w:rPr>
                    <w:t>15</w:t>
                  </w:r>
                </w:p>
              </w:tc>
              <w:tc>
                <w:tcPr>
                  <w:tcW w:w="205" w:type="pct"/>
                  <w:vMerge w:val="restart"/>
                  <w:vAlign w:val="center"/>
                </w:tcPr>
                <w:p>
                  <w:pPr>
                    <w:pStyle w:val="37"/>
                    <w:spacing w:line="240" w:lineRule="atLeast"/>
                    <w:rPr>
                      <w:color w:val="000000"/>
                      <w:szCs w:val="18"/>
                    </w:rPr>
                  </w:pPr>
                  <w:r>
                    <w:rPr>
                      <w:rFonts w:hint="eastAsia"/>
                      <w:color w:val="000000"/>
                      <w:szCs w:val="18"/>
                    </w:rPr>
                    <w:t>0.2</w:t>
                  </w:r>
                </w:p>
              </w:tc>
              <w:tc>
                <w:tcPr>
                  <w:tcW w:w="170" w:type="pct"/>
                  <w:vMerge w:val="restart"/>
                  <w:vAlign w:val="center"/>
                </w:tcPr>
                <w:p>
                  <w:pPr>
                    <w:pStyle w:val="37"/>
                    <w:spacing w:line="240" w:lineRule="atLeast"/>
                    <w:rPr>
                      <w:color w:val="000000"/>
                      <w:szCs w:val="18"/>
                    </w:rPr>
                  </w:pPr>
                  <w:r>
                    <w:rPr>
                      <w:rFonts w:hint="eastAsia"/>
                      <w:color w:val="000000"/>
                      <w:szCs w:val="18"/>
                    </w:rPr>
                    <w:t>25</w:t>
                  </w:r>
                </w:p>
              </w:tc>
              <w:tc>
                <w:tcPr>
                  <w:tcW w:w="240" w:type="pct"/>
                  <w:vMerge w:val="restart"/>
                  <w:vAlign w:val="center"/>
                </w:tcPr>
                <w:p>
                  <w:pPr>
                    <w:pStyle w:val="37"/>
                    <w:spacing w:line="240" w:lineRule="atLeast"/>
                    <w:rPr>
                      <w:color w:val="000000"/>
                      <w:szCs w:val="18"/>
                    </w:rPr>
                  </w:pPr>
                  <w:r>
                    <w:rPr>
                      <w:rFonts w:hint="eastAsia"/>
                      <w:color w:val="000000"/>
                      <w:szCs w:val="18"/>
                    </w:rPr>
                    <w:t>一般排放口</w:t>
                  </w:r>
                </w:p>
              </w:tc>
              <w:tc>
                <w:tcPr>
                  <w:tcW w:w="433" w:type="pct"/>
                  <w:vMerge w:val="restart"/>
                  <w:vAlign w:val="center"/>
                </w:tcPr>
                <w:p>
                  <w:pPr>
                    <w:pStyle w:val="37"/>
                    <w:spacing w:line="240" w:lineRule="atLeast"/>
                    <w:rPr>
                      <w:color w:val="000000"/>
                      <w:szCs w:val="18"/>
                    </w:rPr>
                  </w:pPr>
                  <w:r>
                    <w:rPr>
                      <w:rFonts w:hint="eastAsia"/>
                      <w:color w:val="000000"/>
                      <w:szCs w:val="18"/>
                    </w:rPr>
                    <w:t>E115°51′56.190″；N28°31′12.730″</w:t>
                  </w:r>
                </w:p>
              </w:tc>
              <w:tc>
                <w:tcPr>
                  <w:tcW w:w="215" w:type="pct"/>
                  <w:vAlign w:val="center"/>
                </w:tcPr>
                <w:p>
                  <w:pPr>
                    <w:pStyle w:val="37"/>
                    <w:spacing w:line="240" w:lineRule="atLeast"/>
                    <w:rPr>
                      <w:color w:val="000000"/>
                      <w:szCs w:val="18"/>
                    </w:rPr>
                  </w:pPr>
                  <w:r>
                    <w:rPr>
                      <w:rFonts w:hint="eastAsia"/>
                      <w:color w:val="000000"/>
                      <w:szCs w:val="18"/>
                    </w:rPr>
                    <w:t>120</w:t>
                  </w:r>
                </w:p>
              </w:tc>
              <w:tc>
                <w:tcPr>
                  <w:tcW w:w="215" w:type="pct"/>
                  <w:vAlign w:val="center"/>
                </w:tcPr>
                <w:p>
                  <w:pPr>
                    <w:pStyle w:val="37"/>
                    <w:spacing w:line="240" w:lineRule="atLeast"/>
                    <w:rPr>
                      <w:color w:val="000000"/>
                      <w:szCs w:val="18"/>
                    </w:rPr>
                  </w:pPr>
                  <w:r>
                    <w:rPr>
                      <w:rFonts w:hint="eastAsia"/>
                      <w:color w:val="000000"/>
                      <w:szCs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6" w:type="pct"/>
                  <w:vMerge w:val="continue"/>
                  <w:vAlign w:val="center"/>
                </w:tcPr>
                <w:p>
                  <w:pPr>
                    <w:pStyle w:val="37"/>
                    <w:spacing w:line="240" w:lineRule="atLeast"/>
                    <w:rPr>
                      <w:color w:val="000000"/>
                      <w:szCs w:val="18"/>
                    </w:rPr>
                  </w:pPr>
                </w:p>
              </w:tc>
              <w:tc>
                <w:tcPr>
                  <w:tcW w:w="135" w:type="pct"/>
                  <w:vMerge w:val="continue"/>
                  <w:vAlign w:val="center"/>
                </w:tcPr>
                <w:p>
                  <w:pPr>
                    <w:pStyle w:val="37"/>
                    <w:spacing w:line="240" w:lineRule="atLeast"/>
                    <w:rPr>
                      <w:color w:val="000000"/>
                      <w:szCs w:val="18"/>
                    </w:rPr>
                  </w:pPr>
                </w:p>
              </w:tc>
              <w:tc>
                <w:tcPr>
                  <w:tcW w:w="302" w:type="pct"/>
                  <w:vAlign w:val="center"/>
                </w:tcPr>
                <w:p>
                  <w:pPr>
                    <w:pStyle w:val="37"/>
                    <w:spacing w:line="240" w:lineRule="atLeast"/>
                    <w:rPr>
                      <w:color w:val="000000"/>
                      <w:szCs w:val="18"/>
                    </w:rPr>
                  </w:pPr>
                  <w:r>
                    <w:rPr>
                      <w:rFonts w:hint="eastAsia"/>
                      <w:color w:val="000000"/>
                      <w:szCs w:val="18"/>
                    </w:rPr>
                    <w:t>锡及其化合物</w:t>
                  </w:r>
                </w:p>
              </w:tc>
              <w:tc>
                <w:tcPr>
                  <w:tcW w:w="606"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0.147 </w:t>
                  </w:r>
                </w:p>
              </w:tc>
              <w:tc>
                <w:tcPr>
                  <w:tcW w:w="661"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0.003 </w:t>
                  </w:r>
                </w:p>
              </w:tc>
              <w:tc>
                <w:tcPr>
                  <w:tcW w:w="680"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12.431 </w:t>
                  </w:r>
                </w:p>
              </w:tc>
              <w:tc>
                <w:tcPr>
                  <w:tcW w:w="163" w:type="pct"/>
                  <w:vMerge w:val="continue"/>
                  <w:vAlign w:val="center"/>
                </w:tcPr>
                <w:p>
                  <w:pPr>
                    <w:pStyle w:val="37"/>
                    <w:spacing w:line="240" w:lineRule="atLeast"/>
                    <w:rPr>
                      <w:color w:val="000000"/>
                      <w:szCs w:val="18"/>
                    </w:rPr>
                  </w:pPr>
                </w:p>
              </w:tc>
              <w:tc>
                <w:tcPr>
                  <w:tcW w:w="156" w:type="pct"/>
                  <w:vMerge w:val="continue"/>
                  <w:vAlign w:val="center"/>
                </w:tcPr>
                <w:p>
                  <w:pPr>
                    <w:pStyle w:val="37"/>
                    <w:spacing w:line="240" w:lineRule="atLeast"/>
                    <w:rPr>
                      <w:color w:val="000000"/>
                      <w:szCs w:val="18"/>
                    </w:rPr>
                  </w:pPr>
                </w:p>
              </w:tc>
              <w:tc>
                <w:tcPr>
                  <w:tcW w:w="168" w:type="pct"/>
                  <w:vMerge w:val="continue"/>
                  <w:vAlign w:val="center"/>
                </w:tcPr>
                <w:p>
                  <w:pPr>
                    <w:pStyle w:val="37"/>
                    <w:spacing w:line="240" w:lineRule="atLeast"/>
                    <w:rPr>
                      <w:color w:val="000000"/>
                      <w:szCs w:val="18"/>
                    </w:rPr>
                  </w:pPr>
                </w:p>
              </w:tc>
              <w:tc>
                <w:tcPr>
                  <w:tcW w:w="133" w:type="pct"/>
                  <w:vMerge w:val="continue"/>
                  <w:vAlign w:val="center"/>
                </w:tcPr>
                <w:p>
                  <w:pPr>
                    <w:pStyle w:val="37"/>
                    <w:spacing w:line="240" w:lineRule="atLeast"/>
                    <w:rPr>
                      <w:color w:val="000000"/>
                      <w:szCs w:val="18"/>
                    </w:rPr>
                  </w:pPr>
                </w:p>
              </w:tc>
              <w:tc>
                <w:tcPr>
                  <w:tcW w:w="228" w:type="pct"/>
                  <w:vMerge w:val="continue"/>
                  <w:vAlign w:val="center"/>
                </w:tcPr>
                <w:p>
                  <w:pPr>
                    <w:pStyle w:val="37"/>
                    <w:spacing w:line="240" w:lineRule="atLeast"/>
                    <w:rPr>
                      <w:color w:val="000000"/>
                      <w:szCs w:val="18"/>
                    </w:rPr>
                  </w:pPr>
                </w:p>
              </w:tc>
              <w:tc>
                <w:tcPr>
                  <w:tcW w:w="618"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0.001 </w:t>
                  </w:r>
                </w:p>
              </w:tc>
              <w:tc>
                <w:tcPr>
                  <w:tcW w:w="594" w:type="dxa"/>
                  <w:vAlign w:val="center"/>
                </w:tcPr>
                <w:p>
                  <w:pPr>
                    <w:pStyle w:val="37"/>
                    <w:spacing w:line="240" w:lineRule="atLeast"/>
                    <w:rPr>
                      <w:rFonts w:hint="eastAsia" w:ascii="Times New Roman" w:hAnsi="Times New Roman" w:eastAsia="宋体" w:cs="Times New Roman"/>
                      <w:color w:val="000000"/>
                      <w:szCs w:val="18"/>
                    </w:rPr>
                  </w:pPr>
                  <w:r>
                    <w:rPr>
                      <w:rFonts w:hint="eastAsia" w:ascii="Times New Roman" w:hAnsi="Times New Roman" w:eastAsia="宋体" w:cs="Times New Roman"/>
                      <w:color w:val="000000"/>
                      <w:szCs w:val="18"/>
                      <w:lang w:val="en-US" w:eastAsia="zh-CN"/>
                    </w:rPr>
                    <w:t xml:space="preserve">0.00003 </w:t>
                  </w:r>
                </w:p>
              </w:tc>
              <w:tc>
                <w:tcPr>
                  <w:tcW w:w="637"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0.124 </w:t>
                  </w:r>
                </w:p>
              </w:tc>
              <w:tc>
                <w:tcPr>
                  <w:tcW w:w="202" w:type="pct"/>
                  <w:vMerge w:val="continue"/>
                  <w:vAlign w:val="center"/>
                </w:tcPr>
                <w:p>
                  <w:pPr>
                    <w:pStyle w:val="37"/>
                    <w:spacing w:line="240" w:lineRule="atLeast"/>
                    <w:rPr>
                      <w:color w:val="000000"/>
                      <w:szCs w:val="18"/>
                    </w:rPr>
                  </w:pPr>
                </w:p>
              </w:tc>
              <w:tc>
                <w:tcPr>
                  <w:tcW w:w="136" w:type="pct"/>
                  <w:vMerge w:val="continue"/>
                  <w:vAlign w:val="center"/>
                </w:tcPr>
                <w:p>
                  <w:pPr>
                    <w:pStyle w:val="37"/>
                    <w:spacing w:line="240" w:lineRule="atLeast"/>
                    <w:rPr>
                      <w:color w:val="000000"/>
                      <w:szCs w:val="18"/>
                    </w:rPr>
                  </w:pPr>
                </w:p>
              </w:tc>
              <w:tc>
                <w:tcPr>
                  <w:tcW w:w="205" w:type="pct"/>
                  <w:vMerge w:val="continue"/>
                  <w:vAlign w:val="center"/>
                </w:tcPr>
                <w:p>
                  <w:pPr>
                    <w:pStyle w:val="37"/>
                    <w:spacing w:line="240" w:lineRule="atLeast"/>
                    <w:rPr>
                      <w:color w:val="000000"/>
                      <w:szCs w:val="18"/>
                    </w:rPr>
                  </w:pPr>
                </w:p>
              </w:tc>
              <w:tc>
                <w:tcPr>
                  <w:tcW w:w="170" w:type="pct"/>
                  <w:vMerge w:val="continue"/>
                  <w:vAlign w:val="center"/>
                </w:tcPr>
                <w:p>
                  <w:pPr>
                    <w:pStyle w:val="37"/>
                    <w:spacing w:line="240" w:lineRule="atLeast"/>
                    <w:rPr>
                      <w:color w:val="000000"/>
                      <w:szCs w:val="18"/>
                    </w:rPr>
                  </w:pPr>
                </w:p>
              </w:tc>
              <w:tc>
                <w:tcPr>
                  <w:tcW w:w="240" w:type="pct"/>
                  <w:vMerge w:val="continue"/>
                  <w:vAlign w:val="center"/>
                </w:tcPr>
                <w:p>
                  <w:pPr>
                    <w:pStyle w:val="37"/>
                    <w:spacing w:line="240" w:lineRule="atLeast"/>
                    <w:rPr>
                      <w:color w:val="000000"/>
                      <w:szCs w:val="18"/>
                    </w:rPr>
                  </w:pPr>
                </w:p>
              </w:tc>
              <w:tc>
                <w:tcPr>
                  <w:tcW w:w="433" w:type="pct"/>
                  <w:vMerge w:val="continue"/>
                  <w:vAlign w:val="center"/>
                </w:tcPr>
                <w:p>
                  <w:pPr>
                    <w:pStyle w:val="37"/>
                    <w:spacing w:line="240" w:lineRule="atLeast"/>
                    <w:rPr>
                      <w:color w:val="000000"/>
                      <w:szCs w:val="18"/>
                    </w:rPr>
                  </w:pPr>
                </w:p>
              </w:tc>
              <w:tc>
                <w:tcPr>
                  <w:tcW w:w="215" w:type="pct"/>
                  <w:vAlign w:val="center"/>
                </w:tcPr>
                <w:p>
                  <w:pPr>
                    <w:pStyle w:val="37"/>
                    <w:spacing w:line="240" w:lineRule="atLeast"/>
                    <w:rPr>
                      <w:color w:val="000000"/>
                      <w:szCs w:val="18"/>
                    </w:rPr>
                  </w:pPr>
                  <w:r>
                    <w:rPr>
                      <w:rFonts w:hint="eastAsia"/>
                      <w:color w:val="000000"/>
                      <w:szCs w:val="18"/>
                    </w:rPr>
                    <w:t>8.5</w:t>
                  </w:r>
                </w:p>
              </w:tc>
              <w:tc>
                <w:tcPr>
                  <w:tcW w:w="215" w:type="pct"/>
                  <w:vAlign w:val="center"/>
                </w:tcPr>
                <w:p>
                  <w:pPr>
                    <w:pStyle w:val="37"/>
                    <w:spacing w:line="240" w:lineRule="atLeast"/>
                    <w:rPr>
                      <w:color w:val="000000"/>
                      <w:szCs w:val="18"/>
                    </w:rPr>
                  </w:pPr>
                  <w:r>
                    <w:rPr>
                      <w:rFonts w:hint="eastAsia"/>
                      <w:color w:val="000000"/>
                      <w:szCs w:val="18"/>
                    </w:rPr>
                    <w:t>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6" w:type="pct"/>
                  <w:vMerge w:val="restart"/>
                  <w:vAlign w:val="center"/>
                </w:tcPr>
                <w:p>
                  <w:pPr>
                    <w:pStyle w:val="37"/>
                    <w:spacing w:line="240" w:lineRule="atLeast"/>
                    <w:rPr>
                      <w:color w:val="000000"/>
                      <w:szCs w:val="18"/>
                    </w:rPr>
                  </w:pPr>
                  <w:r>
                    <w:rPr>
                      <w:rFonts w:hint="eastAsia"/>
                      <w:color w:val="000000"/>
                      <w:szCs w:val="18"/>
                    </w:rPr>
                    <w:t>车架焊接</w:t>
                  </w:r>
                </w:p>
              </w:tc>
              <w:tc>
                <w:tcPr>
                  <w:tcW w:w="135" w:type="pct"/>
                  <w:vMerge w:val="restart"/>
                  <w:vAlign w:val="center"/>
                </w:tcPr>
                <w:p>
                  <w:pPr>
                    <w:pStyle w:val="37"/>
                    <w:spacing w:line="240" w:lineRule="atLeast"/>
                    <w:rPr>
                      <w:color w:val="000000"/>
                      <w:szCs w:val="18"/>
                    </w:rPr>
                  </w:pPr>
                  <w:r>
                    <w:rPr>
                      <w:rFonts w:hint="eastAsia"/>
                      <w:color w:val="000000"/>
                      <w:szCs w:val="18"/>
                    </w:rPr>
                    <w:t>无组织</w:t>
                  </w:r>
                </w:p>
              </w:tc>
              <w:tc>
                <w:tcPr>
                  <w:tcW w:w="302" w:type="pct"/>
                  <w:vAlign w:val="center"/>
                </w:tcPr>
                <w:p>
                  <w:pPr>
                    <w:pStyle w:val="37"/>
                    <w:spacing w:line="240" w:lineRule="atLeast"/>
                    <w:rPr>
                      <w:color w:val="000000"/>
                      <w:szCs w:val="18"/>
                    </w:rPr>
                  </w:pPr>
                  <w:r>
                    <w:rPr>
                      <w:rFonts w:hint="eastAsia"/>
                      <w:color w:val="000000"/>
                      <w:szCs w:val="18"/>
                    </w:rPr>
                    <w:t>颗粒物</w:t>
                  </w:r>
                </w:p>
              </w:tc>
              <w:tc>
                <w:tcPr>
                  <w:tcW w:w="606"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w:t>
                  </w:r>
                </w:p>
              </w:tc>
              <w:tc>
                <w:tcPr>
                  <w:tcW w:w="661"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0.001 </w:t>
                  </w:r>
                </w:p>
              </w:tc>
              <w:tc>
                <w:tcPr>
                  <w:tcW w:w="680"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4.595 </w:t>
                  </w:r>
                </w:p>
              </w:tc>
              <w:tc>
                <w:tcPr>
                  <w:tcW w:w="163" w:type="pct"/>
                  <w:vMerge w:val="restart"/>
                  <w:vAlign w:val="center"/>
                </w:tcPr>
                <w:p>
                  <w:pPr>
                    <w:pStyle w:val="37"/>
                    <w:spacing w:line="240" w:lineRule="atLeast"/>
                    <w:rPr>
                      <w:color w:val="000000"/>
                      <w:szCs w:val="18"/>
                    </w:rPr>
                  </w:pPr>
                  <w:r>
                    <w:rPr>
                      <w:rFonts w:hint="eastAsia"/>
                      <w:color w:val="000000"/>
                      <w:szCs w:val="18"/>
                    </w:rPr>
                    <w:t>/</w:t>
                  </w:r>
                </w:p>
              </w:tc>
              <w:tc>
                <w:tcPr>
                  <w:tcW w:w="156" w:type="pct"/>
                  <w:vMerge w:val="restart"/>
                  <w:vAlign w:val="center"/>
                </w:tcPr>
                <w:p>
                  <w:pPr>
                    <w:pStyle w:val="37"/>
                    <w:spacing w:line="240" w:lineRule="atLeast"/>
                    <w:rPr>
                      <w:color w:val="000000"/>
                      <w:szCs w:val="18"/>
                    </w:rPr>
                  </w:pPr>
                  <w:r>
                    <w:rPr>
                      <w:rFonts w:hint="eastAsia"/>
                      <w:color w:val="000000"/>
                      <w:szCs w:val="18"/>
                    </w:rPr>
                    <w:t>/</w:t>
                  </w:r>
                </w:p>
              </w:tc>
              <w:tc>
                <w:tcPr>
                  <w:tcW w:w="168" w:type="pct"/>
                  <w:vMerge w:val="restart"/>
                  <w:vAlign w:val="center"/>
                </w:tcPr>
                <w:p>
                  <w:pPr>
                    <w:pStyle w:val="37"/>
                    <w:spacing w:line="240" w:lineRule="atLeast"/>
                    <w:rPr>
                      <w:color w:val="000000"/>
                      <w:szCs w:val="18"/>
                    </w:rPr>
                  </w:pPr>
                  <w:r>
                    <w:rPr>
                      <w:rFonts w:hint="eastAsia"/>
                      <w:color w:val="000000"/>
                      <w:szCs w:val="18"/>
                    </w:rPr>
                    <w:t>/</w:t>
                  </w:r>
                </w:p>
              </w:tc>
              <w:tc>
                <w:tcPr>
                  <w:tcW w:w="133" w:type="pct"/>
                  <w:vMerge w:val="restart"/>
                  <w:vAlign w:val="center"/>
                </w:tcPr>
                <w:p>
                  <w:pPr>
                    <w:pStyle w:val="37"/>
                    <w:spacing w:line="240" w:lineRule="atLeast"/>
                    <w:rPr>
                      <w:color w:val="000000"/>
                      <w:szCs w:val="18"/>
                    </w:rPr>
                  </w:pPr>
                  <w:r>
                    <w:rPr>
                      <w:rFonts w:hint="eastAsia"/>
                      <w:color w:val="000000"/>
                      <w:szCs w:val="18"/>
                    </w:rPr>
                    <w:t>是</w:t>
                  </w:r>
                </w:p>
              </w:tc>
              <w:tc>
                <w:tcPr>
                  <w:tcW w:w="228" w:type="pct"/>
                  <w:vAlign w:val="center"/>
                </w:tcPr>
                <w:p>
                  <w:pPr>
                    <w:pStyle w:val="37"/>
                    <w:spacing w:line="240" w:lineRule="atLeast"/>
                    <w:rPr>
                      <w:color w:val="000000"/>
                      <w:szCs w:val="18"/>
                    </w:rPr>
                  </w:pPr>
                  <w:r>
                    <w:rPr>
                      <w:rFonts w:hint="eastAsia"/>
                      <w:color w:val="000000"/>
                      <w:szCs w:val="18"/>
                    </w:rPr>
                    <w:t>/</w:t>
                  </w:r>
                </w:p>
              </w:tc>
              <w:tc>
                <w:tcPr>
                  <w:tcW w:w="618"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w:t>
                  </w:r>
                </w:p>
              </w:tc>
              <w:tc>
                <w:tcPr>
                  <w:tcW w:w="594"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0.001 </w:t>
                  </w:r>
                </w:p>
              </w:tc>
              <w:tc>
                <w:tcPr>
                  <w:tcW w:w="637"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4.595 </w:t>
                  </w:r>
                </w:p>
              </w:tc>
              <w:tc>
                <w:tcPr>
                  <w:tcW w:w="202" w:type="pct"/>
                  <w:vMerge w:val="restart"/>
                  <w:vAlign w:val="center"/>
                </w:tcPr>
                <w:p>
                  <w:pPr>
                    <w:pStyle w:val="37"/>
                    <w:spacing w:line="240" w:lineRule="atLeast"/>
                    <w:rPr>
                      <w:color w:val="000000"/>
                      <w:szCs w:val="18"/>
                    </w:rPr>
                  </w:pPr>
                  <w:r>
                    <w:rPr>
                      <w:rFonts w:hint="eastAsia"/>
                      <w:color w:val="000000"/>
                      <w:szCs w:val="18"/>
                    </w:rPr>
                    <w:t>/</w:t>
                  </w:r>
                </w:p>
              </w:tc>
              <w:tc>
                <w:tcPr>
                  <w:tcW w:w="136" w:type="pct"/>
                  <w:vMerge w:val="restart"/>
                  <w:vAlign w:val="center"/>
                </w:tcPr>
                <w:p>
                  <w:pPr>
                    <w:pStyle w:val="37"/>
                    <w:spacing w:line="240" w:lineRule="atLeast"/>
                    <w:rPr>
                      <w:color w:val="000000"/>
                      <w:szCs w:val="18"/>
                    </w:rPr>
                  </w:pPr>
                  <w:r>
                    <w:rPr>
                      <w:rFonts w:hint="eastAsia"/>
                      <w:color w:val="000000"/>
                      <w:szCs w:val="18"/>
                    </w:rPr>
                    <w:t>/</w:t>
                  </w:r>
                </w:p>
              </w:tc>
              <w:tc>
                <w:tcPr>
                  <w:tcW w:w="205" w:type="pct"/>
                  <w:vMerge w:val="restart"/>
                  <w:vAlign w:val="center"/>
                </w:tcPr>
                <w:p>
                  <w:pPr>
                    <w:pStyle w:val="37"/>
                    <w:spacing w:line="240" w:lineRule="atLeast"/>
                    <w:rPr>
                      <w:color w:val="000000"/>
                      <w:szCs w:val="18"/>
                    </w:rPr>
                  </w:pPr>
                  <w:r>
                    <w:rPr>
                      <w:rFonts w:hint="eastAsia"/>
                      <w:color w:val="000000"/>
                      <w:szCs w:val="18"/>
                    </w:rPr>
                    <w:t>/</w:t>
                  </w:r>
                </w:p>
              </w:tc>
              <w:tc>
                <w:tcPr>
                  <w:tcW w:w="170" w:type="pct"/>
                  <w:vMerge w:val="restart"/>
                  <w:vAlign w:val="center"/>
                </w:tcPr>
                <w:p>
                  <w:pPr>
                    <w:pStyle w:val="37"/>
                    <w:spacing w:line="240" w:lineRule="atLeast"/>
                    <w:rPr>
                      <w:color w:val="000000"/>
                      <w:szCs w:val="18"/>
                    </w:rPr>
                  </w:pPr>
                  <w:r>
                    <w:rPr>
                      <w:rFonts w:hint="eastAsia"/>
                      <w:color w:val="000000"/>
                      <w:szCs w:val="18"/>
                    </w:rPr>
                    <w:t>/</w:t>
                  </w:r>
                </w:p>
              </w:tc>
              <w:tc>
                <w:tcPr>
                  <w:tcW w:w="240" w:type="pct"/>
                  <w:vMerge w:val="restart"/>
                  <w:vAlign w:val="center"/>
                </w:tcPr>
                <w:p>
                  <w:pPr>
                    <w:pStyle w:val="37"/>
                    <w:spacing w:line="240" w:lineRule="atLeast"/>
                    <w:rPr>
                      <w:color w:val="000000"/>
                      <w:szCs w:val="18"/>
                    </w:rPr>
                  </w:pPr>
                  <w:r>
                    <w:rPr>
                      <w:rFonts w:hint="eastAsia"/>
                      <w:color w:val="000000"/>
                      <w:szCs w:val="18"/>
                    </w:rPr>
                    <w:t>/</w:t>
                  </w:r>
                </w:p>
              </w:tc>
              <w:tc>
                <w:tcPr>
                  <w:tcW w:w="433" w:type="pct"/>
                  <w:vMerge w:val="restart"/>
                  <w:vAlign w:val="center"/>
                </w:tcPr>
                <w:p>
                  <w:pPr>
                    <w:pStyle w:val="37"/>
                    <w:spacing w:line="240" w:lineRule="atLeast"/>
                    <w:rPr>
                      <w:color w:val="000000"/>
                      <w:szCs w:val="18"/>
                    </w:rPr>
                  </w:pPr>
                  <w:r>
                    <w:rPr>
                      <w:rFonts w:hint="eastAsia"/>
                      <w:color w:val="000000"/>
                      <w:szCs w:val="18"/>
                    </w:rPr>
                    <w:t>/</w:t>
                  </w:r>
                </w:p>
              </w:tc>
              <w:tc>
                <w:tcPr>
                  <w:tcW w:w="215" w:type="pct"/>
                  <w:vAlign w:val="center"/>
                </w:tcPr>
                <w:p>
                  <w:pPr>
                    <w:pStyle w:val="37"/>
                    <w:spacing w:line="240" w:lineRule="atLeast"/>
                    <w:rPr>
                      <w:color w:val="000000"/>
                      <w:szCs w:val="18"/>
                    </w:rPr>
                  </w:pPr>
                  <w:r>
                    <w:rPr>
                      <w:rFonts w:hint="eastAsia"/>
                      <w:color w:val="000000"/>
                      <w:szCs w:val="18"/>
                    </w:rPr>
                    <w:t>1.0</w:t>
                  </w:r>
                </w:p>
              </w:tc>
              <w:tc>
                <w:tcPr>
                  <w:tcW w:w="215" w:type="pct"/>
                  <w:vAlign w:val="center"/>
                </w:tcPr>
                <w:p>
                  <w:pPr>
                    <w:pStyle w:val="37"/>
                    <w:spacing w:line="240" w:lineRule="atLeast"/>
                    <w:rPr>
                      <w:color w:val="000000"/>
                      <w:szCs w:val="18"/>
                    </w:rPr>
                  </w:pPr>
                  <w:r>
                    <w:rPr>
                      <w:rFonts w:hint="eastAsia"/>
                      <w:color w:val="00000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6" w:type="pct"/>
                  <w:vMerge w:val="continue"/>
                  <w:vAlign w:val="center"/>
                </w:tcPr>
                <w:p>
                  <w:pPr>
                    <w:pStyle w:val="37"/>
                    <w:spacing w:line="240" w:lineRule="atLeast"/>
                    <w:rPr>
                      <w:color w:val="000000"/>
                      <w:szCs w:val="18"/>
                    </w:rPr>
                  </w:pPr>
                </w:p>
              </w:tc>
              <w:tc>
                <w:tcPr>
                  <w:tcW w:w="135" w:type="pct"/>
                  <w:vMerge w:val="continue"/>
                  <w:vAlign w:val="center"/>
                </w:tcPr>
                <w:p>
                  <w:pPr>
                    <w:pStyle w:val="37"/>
                    <w:spacing w:line="240" w:lineRule="atLeast"/>
                    <w:rPr>
                      <w:color w:val="000000"/>
                      <w:szCs w:val="18"/>
                    </w:rPr>
                  </w:pPr>
                </w:p>
              </w:tc>
              <w:tc>
                <w:tcPr>
                  <w:tcW w:w="302" w:type="pct"/>
                  <w:vAlign w:val="center"/>
                </w:tcPr>
                <w:p>
                  <w:pPr>
                    <w:pStyle w:val="37"/>
                    <w:spacing w:line="240" w:lineRule="atLeast"/>
                    <w:rPr>
                      <w:color w:val="000000"/>
                      <w:szCs w:val="18"/>
                    </w:rPr>
                  </w:pPr>
                  <w:r>
                    <w:rPr>
                      <w:rFonts w:hint="eastAsia"/>
                      <w:color w:val="000000"/>
                      <w:szCs w:val="18"/>
                    </w:rPr>
                    <w:t>颗粒物</w:t>
                  </w:r>
                </w:p>
              </w:tc>
              <w:tc>
                <w:tcPr>
                  <w:tcW w:w="606"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w:t>
                  </w:r>
                </w:p>
              </w:tc>
              <w:tc>
                <w:tcPr>
                  <w:tcW w:w="661"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0.001 </w:t>
                  </w:r>
                </w:p>
              </w:tc>
              <w:tc>
                <w:tcPr>
                  <w:tcW w:w="680"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4.136 </w:t>
                  </w:r>
                </w:p>
              </w:tc>
              <w:tc>
                <w:tcPr>
                  <w:tcW w:w="163" w:type="pct"/>
                  <w:vMerge w:val="continue"/>
                  <w:vAlign w:val="center"/>
                </w:tcPr>
                <w:p>
                  <w:pPr>
                    <w:pStyle w:val="37"/>
                    <w:spacing w:line="240" w:lineRule="atLeast"/>
                    <w:rPr>
                      <w:color w:val="000000"/>
                      <w:szCs w:val="18"/>
                    </w:rPr>
                  </w:pPr>
                </w:p>
              </w:tc>
              <w:tc>
                <w:tcPr>
                  <w:tcW w:w="156" w:type="pct"/>
                  <w:vMerge w:val="continue"/>
                  <w:vAlign w:val="center"/>
                </w:tcPr>
                <w:p>
                  <w:pPr>
                    <w:pStyle w:val="37"/>
                    <w:spacing w:line="240" w:lineRule="atLeast"/>
                    <w:rPr>
                      <w:color w:val="000000"/>
                      <w:szCs w:val="18"/>
                    </w:rPr>
                  </w:pPr>
                </w:p>
              </w:tc>
              <w:tc>
                <w:tcPr>
                  <w:tcW w:w="168" w:type="pct"/>
                  <w:vMerge w:val="continue"/>
                  <w:vAlign w:val="center"/>
                </w:tcPr>
                <w:p>
                  <w:pPr>
                    <w:pStyle w:val="37"/>
                    <w:spacing w:line="240" w:lineRule="atLeast"/>
                    <w:rPr>
                      <w:color w:val="000000"/>
                      <w:szCs w:val="18"/>
                    </w:rPr>
                  </w:pPr>
                </w:p>
              </w:tc>
              <w:tc>
                <w:tcPr>
                  <w:tcW w:w="133" w:type="pct"/>
                  <w:vMerge w:val="continue"/>
                  <w:vAlign w:val="center"/>
                </w:tcPr>
                <w:p>
                  <w:pPr>
                    <w:pStyle w:val="37"/>
                    <w:spacing w:line="240" w:lineRule="atLeast"/>
                    <w:rPr>
                      <w:color w:val="000000"/>
                      <w:szCs w:val="18"/>
                    </w:rPr>
                  </w:pPr>
                </w:p>
              </w:tc>
              <w:tc>
                <w:tcPr>
                  <w:tcW w:w="228" w:type="pct"/>
                  <w:vAlign w:val="center"/>
                </w:tcPr>
                <w:p>
                  <w:pPr>
                    <w:pStyle w:val="37"/>
                    <w:spacing w:line="240" w:lineRule="atLeast"/>
                    <w:rPr>
                      <w:color w:val="000000"/>
                      <w:szCs w:val="18"/>
                    </w:rPr>
                  </w:pPr>
                  <w:r>
                    <w:rPr>
                      <w:rFonts w:hint="eastAsia"/>
                      <w:color w:val="000000"/>
                      <w:szCs w:val="18"/>
                    </w:rPr>
                    <w:t>/</w:t>
                  </w:r>
                </w:p>
              </w:tc>
              <w:tc>
                <w:tcPr>
                  <w:tcW w:w="618"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w:t>
                  </w:r>
                </w:p>
              </w:tc>
              <w:tc>
                <w:tcPr>
                  <w:tcW w:w="594"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0.001 </w:t>
                  </w:r>
                </w:p>
              </w:tc>
              <w:tc>
                <w:tcPr>
                  <w:tcW w:w="637" w:type="dxa"/>
                  <w:vAlign w:val="center"/>
                </w:tcPr>
                <w:p>
                  <w:pPr>
                    <w:pStyle w:val="37"/>
                    <w:spacing w:line="240" w:lineRule="atLeast"/>
                    <w:rPr>
                      <w:rFonts w:hint="eastAsia" w:ascii="Times New Roman" w:hAnsi="Times New Roman" w:eastAsia="宋体" w:cs="Times New Roman"/>
                      <w:color w:val="000000"/>
                      <w:szCs w:val="18"/>
                    </w:rPr>
                  </w:pPr>
                  <w:r>
                    <w:rPr>
                      <w:rFonts w:hint="default" w:ascii="Times New Roman" w:hAnsi="Times New Roman" w:eastAsia="宋体" w:cs="Times New Roman"/>
                      <w:color w:val="000000"/>
                      <w:szCs w:val="18"/>
                      <w:lang w:val="en-US" w:eastAsia="zh-CN"/>
                    </w:rPr>
                    <w:t xml:space="preserve">4.136 </w:t>
                  </w:r>
                </w:p>
              </w:tc>
              <w:tc>
                <w:tcPr>
                  <w:tcW w:w="202" w:type="pct"/>
                  <w:vMerge w:val="continue"/>
                  <w:vAlign w:val="center"/>
                </w:tcPr>
                <w:p>
                  <w:pPr>
                    <w:pStyle w:val="37"/>
                    <w:spacing w:line="240" w:lineRule="atLeast"/>
                    <w:rPr>
                      <w:color w:val="000000"/>
                      <w:szCs w:val="18"/>
                    </w:rPr>
                  </w:pPr>
                </w:p>
              </w:tc>
              <w:tc>
                <w:tcPr>
                  <w:tcW w:w="136" w:type="pct"/>
                  <w:vMerge w:val="continue"/>
                  <w:vAlign w:val="center"/>
                </w:tcPr>
                <w:p>
                  <w:pPr>
                    <w:pStyle w:val="37"/>
                    <w:spacing w:line="240" w:lineRule="atLeast"/>
                    <w:rPr>
                      <w:color w:val="000000"/>
                      <w:szCs w:val="18"/>
                    </w:rPr>
                  </w:pPr>
                </w:p>
              </w:tc>
              <w:tc>
                <w:tcPr>
                  <w:tcW w:w="205" w:type="pct"/>
                  <w:vMerge w:val="continue"/>
                  <w:vAlign w:val="center"/>
                </w:tcPr>
                <w:p>
                  <w:pPr>
                    <w:pStyle w:val="37"/>
                    <w:spacing w:line="240" w:lineRule="atLeast"/>
                    <w:rPr>
                      <w:color w:val="000000"/>
                      <w:szCs w:val="18"/>
                    </w:rPr>
                  </w:pPr>
                </w:p>
              </w:tc>
              <w:tc>
                <w:tcPr>
                  <w:tcW w:w="170" w:type="pct"/>
                  <w:vMerge w:val="continue"/>
                  <w:vAlign w:val="center"/>
                </w:tcPr>
                <w:p>
                  <w:pPr>
                    <w:pStyle w:val="37"/>
                    <w:spacing w:line="240" w:lineRule="atLeast"/>
                    <w:rPr>
                      <w:color w:val="000000"/>
                      <w:szCs w:val="18"/>
                    </w:rPr>
                  </w:pPr>
                </w:p>
              </w:tc>
              <w:tc>
                <w:tcPr>
                  <w:tcW w:w="240" w:type="pct"/>
                  <w:vMerge w:val="continue"/>
                  <w:vAlign w:val="center"/>
                </w:tcPr>
                <w:p>
                  <w:pPr>
                    <w:pStyle w:val="37"/>
                    <w:spacing w:line="240" w:lineRule="atLeast"/>
                    <w:rPr>
                      <w:color w:val="000000"/>
                      <w:szCs w:val="18"/>
                    </w:rPr>
                  </w:pPr>
                </w:p>
              </w:tc>
              <w:tc>
                <w:tcPr>
                  <w:tcW w:w="433" w:type="pct"/>
                  <w:vMerge w:val="continue"/>
                  <w:vAlign w:val="center"/>
                </w:tcPr>
                <w:p>
                  <w:pPr>
                    <w:pStyle w:val="37"/>
                    <w:spacing w:line="240" w:lineRule="atLeast"/>
                    <w:rPr>
                      <w:color w:val="000000"/>
                      <w:szCs w:val="18"/>
                    </w:rPr>
                  </w:pPr>
                </w:p>
              </w:tc>
              <w:tc>
                <w:tcPr>
                  <w:tcW w:w="215" w:type="pct"/>
                  <w:vAlign w:val="center"/>
                </w:tcPr>
                <w:p>
                  <w:pPr>
                    <w:pStyle w:val="37"/>
                    <w:spacing w:line="240" w:lineRule="atLeast"/>
                    <w:rPr>
                      <w:color w:val="000000"/>
                      <w:szCs w:val="18"/>
                    </w:rPr>
                  </w:pPr>
                  <w:r>
                    <w:rPr>
                      <w:rFonts w:hint="eastAsia"/>
                      <w:color w:val="000000"/>
                      <w:szCs w:val="18"/>
                    </w:rPr>
                    <w:t>0.24</w:t>
                  </w:r>
                </w:p>
              </w:tc>
              <w:tc>
                <w:tcPr>
                  <w:tcW w:w="215" w:type="pct"/>
                  <w:vAlign w:val="center"/>
                </w:tcPr>
                <w:p>
                  <w:pPr>
                    <w:pStyle w:val="37"/>
                    <w:spacing w:line="240" w:lineRule="atLeast"/>
                    <w:rPr>
                      <w:color w:val="000000"/>
                      <w:szCs w:val="18"/>
                    </w:rPr>
                  </w:pPr>
                  <w:r>
                    <w:rPr>
                      <w:rFonts w:hint="eastAsia"/>
                      <w:color w:val="000000"/>
                      <w:szCs w:val="18"/>
                    </w:rPr>
                    <w:t>/</w:t>
                  </w:r>
                </w:p>
              </w:tc>
            </w:tr>
          </w:tbl>
          <w:p>
            <w:pPr>
              <w:pStyle w:val="38"/>
              <w:spacing w:beforeLines="50"/>
              <w:rPr>
                <w:color w:val="000000"/>
              </w:rPr>
            </w:pPr>
          </w:p>
          <w:p>
            <w:pPr>
              <w:pStyle w:val="38"/>
              <w:spacing w:beforeLines="50"/>
              <w:rPr>
                <w:color w:val="000000"/>
              </w:rPr>
            </w:pPr>
          </w:p>
          <w:p>
            <w:pPr>
              <w:pStyle w:val="38"/>
              <w:spacing w:beforeLines="50"/>
              <w:rPr>
                <w:color w:val="000000"/>
              </w:rPr>
            </w:pPr>
          </w:p>
          <w:p>
            <w:pPr>
              <w:pStyle w:val="38"/>
              <w:spacing w:beforeLines="50"/>
              <w:rPr>
                <w:color w:val="000000"/>
              </w:rPr>
            </w:pPr>
          </w:p>
          <w:p>
            <w:pPr>
              <w:pStyle w:val="38"/>
              <w:spacing w:beforeLines="50"/>
              <w:rPr>
                <w:color w:val="000000"/>
              </w:rPr>
            </w:pPr>
          </w:p>
          <w:p>
            <w:pPr>
              <w:pStyle w:val="38"/>
              <w:spacing w:beforeLines="50"/>
              <w:rPr>
                <w:color w:val="000000"/>
              </w:rPr>
            </w:pPr>
            <w:r>
              <w:rPr>
                <w:rFonts w:hint="eastAsia"/>
                <w:color w:val="000000"/>
              </w:rPr>
              <w:t>表4-2  废气污染源非正常排放汇总表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816"/>
              <w:gridCol w:w="758"/>
              <w:gridCol w:w="650"/>
              <w:gridCol w:w="775"/>
              <w:gridCol w:w="811"/>
              <w:gridCol w:w="714"/>
              <w:gridCol w:w="606"/>
              <w:gridCol w:w="603"/>
              <w:gridCol w:w="762"/>
              <w:gridCol w:w="279"/>
              <w:gridCol w:w="303"/>
              <w:gridCol w:w="363"/>
              <w:gridCol w:w="630"/>
              <w:gridCol w:w="1247"/>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restart"/>
                  <w:vAlign w:val="center"/>
                </w:tcPr>
                <w:p>
                  <w:pPr>
                    <w:pStyle w:val="37"/>
                    <w:rPr>
                      <w:b/>
                      <w:bCs/>
                      <w:color w:val="000000"/>
                      <w:kern w:val="2"/>
                      <w:szCs w:val="24"/>
                    </w:rPr>
                  </w:pPr>
                  <w:r>
                    <w:rPr>
                      <w:b/>
                      <w:bCs/>
                      <w:color w:val="000000"/>
                      <w:kern w:val="2"/>
                      <w:szCs w:val="24"/>
                    </w:rPr>
                    <w:t>产排污环节</w:t>
                  </w:r>
                </w:p>
              </w:tc>
              <w:tc>
                <w:tcPr>
                  <w:tcW w:w="339" w:type="pct"/>
                  <w:vMerge w:val="restart"/>
                  <w:vAlign w:val="center"/>
                </w:tcPr>
                <w:p>
                  <w:pPr>
                    <w:pStyle w:val="37"/>
                    <w:rPr>
                      <w:b/>
                      <w:bCs/>
                      <w:color w:val="000000"/>
                      <w:kern w:val="2"/>
                      <w:szCs w:val="24"/>
                    </w:rPr>
                  </w:pPr>
                  <w:r>
                    <w:rPr>
                      <w:b/>
                      <w:bCs/>
                      <w:color w:val="000000"/>
                      <w:kern w:val="2"/>
                      <w:szCs w:val="24"/>
                    </w:rPr>
                    <w:t>污染物排放形式</w:t>
                  </w:r>
                </w:p>
              </w:tc>
              <w:tc>
                <w:tcPr>
                  <w:tcW w:w="315" w:type="pct"/>
                  <w:vMerge w:val="restart"/>
                  <w:vAlign w:val="center"/>
                </w:tcPr>
                <w:p>
                  <w:pPr>
                    <w:pStyle w:val="37"/>
                    <w:rPr>
                      <w:b/>
                      <w:bCs/>
                      <w:color w:val="000000"/>
                      <w:kern w:val="2"/>
                      <w:szCs w:val="24"/>
                    </w:rPr>
                  </w:pPr>
                  <w:r>
                    <w:rPr>
                      <w:b/>
                      <w:bCs/>
                      <w:color w:val="000000"/>
                      <w:kern w:val="2"/>
                      <w:szCs w:val="24"/>
                    </w:rPr>
                    <w:t>污染物</w:t>
                  </w:r>
                </w:p>
                <w:p>
                  <w:pPr>
                    <w:pStyle w:val="37"/>
                    <w:rPr>
                      <w:b/>
                      <w:bCs/>
                      <w:color w:val="000000"/>
                      <w:kern w:val="2"/>
                      <w:szCs w:val="24"/>
                    </w:rPr>
                  </w:pPr>
                  <w:r>
                    <w:rPr>
                      <w:b/>
                      <w:bCs/>
                      <w:color w:val="000000"/>
                      <w:kern w:val="2"/>
                      <w:szCs w:val="24"/>
                    </w:rPr>
                    <w:t>种类</w:t>
                  </w:r>
                </w:p>
              </w:tc>
              <w:tc>
                <w:tcPr>
                  <w:tcW w:w="930" w:type="pct"/>
                  <w:gridSpan w:val="3"/>
                  <w:vAlign w:val="center"/>
                </w:tcPr>
                <w:p>
                  <w:pPr>
                    <w:pStyle w:val="37"/>
                    <w:rPr>
                      <w:b/>
                      <w:bCs/>
                      <w:color w:val="000000"/>
                      <w:kern w:val="2"/>
                      <w:szCs w:val="24"/>
                    </w:rPr>
                  </w:pPr>
                  <w:r>
                    <w:rPr>
                      <w:b/>
                      <w:bCs/>
                      <w:color w:val="000000"/>
                      <w:kern w:val="2"/>
                      <w:szCs w:val="24"/>
                    </w:rPr>
                    <w:t>非正常排放频次</w:t>
                  </w:r>
                </w:p>
              </w:tc>
              <w:tc>
                <w:tcPr>
                  <w:tcW w:w="800" w:type="pct"/>
                  <w:gridSpan w:val="3"/>
                  <w:vAlign w:val="center"/>
                </w:tcPr>
                <w:p>
                  <w:pPr>
                    <w:pStyle w:val="37"/>
                    <w:rPr>
                      <w:b/>
                      <w:bCs/>
                      <w:color w:val="000000"/>
                      <w:kern w:val="2"/>
                      <w:szCs w:val="24"/>
                    </w:rPr>
                  </w:pPr>
                  <w:r>
                    <w:rPr>
                      <w:b/>
                      <w:bCs/>
                      <w:color w:val="000000"/>
                      <w:kern w:val="2"/>
                      <w:szCs w:val="24"/>
                    </w:rPr>
                    <w:t>污染物排放量和浓度</w:t>
                  </w:r>
                </w:p>
              </w:tc>
              <w:tc>
                <w:tcPr>
                  <w:tcW w:w="1491" w:type="pct"/>
                  <w:gridSpan w:val="6"/>
                  <w:vAlign w:val="center"/>
                </w:tcPr>
                <w:p>
                  <w:pPr>
                    <w:pStyle w:val="37"/>
                    <w:rPr>
                      <w:b/>
                      <w:bCs/>
                      <w:color w:val="000000"/>
                      <w:kern w:val="2"/>
                      <w:szCs w:val="24"/>
                    </w:rPr>
                  </w:pPr>
                  <w:r>
                    <w:rPr>
                      <w:b/>
                      <w:bCs/>
                      <w:color w:val="000000"/>
                      <w:kern w:val="2"/>
                      <w:szCs w:val="24"/>
                    </w:rPr>
                    <w:t>排放口基本情况</w:t>
                  </w:r>
                </w:p>
              </w:tc>
              <w:tc>
                <w:tcPr>
                  <w:tcW w:w="730" w:type="pct"/>
                  <w:vMerge w:val="restart"/>
                  <w:vAlign w:val="center"/>
                </w:tcPr>
                <w:p>
                  <w:pPr>
                    <w:pStyle w:val="37"/>
                    <w:rPr>
                      <w:b/>
                      <w:bCs/>
                      <w:color w:val="000000"/>
                      <w:kern w:val="2"/>
                      <w:szCs w:val="24"/>
                    </w:rPr>
                  </w:pPr>
                  <w:r>
                    <w:rPr>
                      <w:b/>
                      <w:bCs/>
                      <w:color w:val="000000"/>
                      <w:kern w:val="2"/>
                      <w:szCs w:val="24"/>
                    </w:rPr>
                    <w:t>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vAlign w:val="center"/>
                </w:tcPr>
                <w:p>
                  <w:pPr>
                    <w:pStyle w:val="37"/>
                    <w:rPr>
                      <w:b/>
                      <w:bCs/>
                      <w:color w:val="000000"/>
                      <w:kern w:val="2"/>
                      <w:szCs w:val="24"/>
                    </w:rPr>
                  </w:pPr>
                </w:p>
              </w:tc>
              <w:tc>
                <w:tcPr>
                  <w:tcW w:w="339" w:type="pct"/>
                  <w:vMerge w:val="continue"/>
                  <w:vAlign w:val="center"/>
                </w:tcPr>
                <w:p>
                  <w:pPr>
                    <w:pStyle w:val="37"/>
                    <w:rPr>
                      <w:b/>
                      <w:bCs/>
                      <w:color w:val="000000"/>
                      <w:kern w:val="2"/>
                      <w:szCs w:val="24"/>
                    </w:rPr>
                  </w:pPr>
                </w:p>
              </w:tc>
              <w:tc>
                <w:tcPr>
                  <w:tcW w:w="315" w:type="pct"/>
                  <w:vMerge w:val="continue"/>
                  <w:vAlign w:val="center"/>
                </w:tcPr>
                <w:p>
                  <w:pPr>
                    <w:pStyle w:val="37"/>
                    <w:rPr>
                      <w:b/>
                      <w:bCs/>
                      <w:color w:val="000000"/>
                      <w:kern w:val="2"/>
                      <w:szCs w:val="24"/>
                    </w:rPr>
                  </w:pPr>
                </w:p>
              </w:tc>
              <w:tc>
                <w:tcPr>
                  <w:tcW w:w="270" w:type="pct"/>
                  <w:vAlign w:val="center"/>
                </w:tcPr>
                <w:p>
                  <w:pPr>
                    <w:pStyle w:val="37"/>
                    <w:rPr>
                      <w:b/>
                      <w:bCs/>
                      <w:color w:val="000000"/>
                      <w:kern w:val="2"/>
                      <w:szCs w:val="24"/>
                    </w:rPr>
                  </w:pPr>
                  <w:r>
                    <w:rPr>
                      <w:b/>
                      <w:bCs/>
                      <w:color w:val="000000"/>
                      <w:kern w:val="2"/>
                      <w:szCs w:val="24"/>
                    </w:rPr>
                    <w:t>次数</w:t>
                  </w:r>
                </w:p>
              </w:tc>
              <w:tc>
                <w:tcPr>
                  <w:tcW w:w="322" w:type="pct"/>
                  <w:vAlign w:val="center"/>
                </w:tcPr>
                <w:p>
                  <w:pPr>
                    <w:pStyle w:val="37"/>
                    <w:rPr>
                      <w:b/>
                      <w:bCs/>
                      <w:color w:val="000000"/>
                      <w:kern w:val="2"/>
                      <w:szCs w:val="24"/>
                    </w:rPr>
                  </w:pPr>
                  <w:r>
                    <w:rPr>
                      <w:b/>
                      <w:bCs/>
                      <w:color w:val="000000"/>
                      <w:kern w:val="2"/>
                      <w:szCs w:val="24"/>
                    </w:rPr>
                    <w:t>单次持续时间</w:t>
                  </w:r>
                </w:p>
              </w:tc>
              <w:tc>
                <w:tcPr>
                  <w:tcW w:w="337" w:type="pct"/>
                  <w:vAlign w:val="center"/>
                </w:tcPr>
                <w:p>
                  <w:pPr>
                    <w:pStyle w:val="37"/>
                    <w:rPr>
                      <w:b/>
                      <w:bCs/>
                      <w:color w:val="000000"/>
                      <w:kern w:val="2"/>
                      <w:szCs w:val="24"/>
                    </w:rPr>
                  </w:pPr>
                  <w:r>
                    <w:rPr>
                      <w:b/>
                      <w:bCs/>
                      <w:color w:val="000000"/>
                      <w:kern w:val="2"/>
                      <w:szCs w:val="24"/>
                    </w:rPr>
                    <w:t>总排放时间</w:t>
                  </w:r>
                </w:p>
              </w:tc>
              <w:tc>
                <w:tcPr>
                  <w:tcW w:w="297" w:type="pct"/>
                  <w:vMerge w:val="restart"/>
                  <w:vAlign w:val="center"/>
                </w:tcPr>
                <w:p>
                  <w:pPr>
                    <w:pStyle w:val="37"/>
                    <w:rPr>
                      <w:b/>
                      <w:bCs/>
                      <w:color w:val="000000"/>
                      <w:kern w:val="2"/>
                      <w:szCs w:val="24"/>
                    </w:rPr>
                  </w:pPr>
                  <w:r>
                    <w:rPr>
                      <w:b/>
                      <w:bCs/>
                      <w:color w:val="000000"/>
                      <w:kern w:val="2"/>
                      <w:szCs w:val="24"/>
                    </w:rPr>
                    <w:t>排放浓度</w:t>
                  </w:r>
                </w:p>
                <w:p>
                  <w:pPr>
                    <w:pStyle w:val="37"/>
                    <w:rPr>
                      <w:b/>
                      <w:bCs/>
                      <w:color w:val="000000"/>
                      <w:kern w:val="2"/>
                      <w:szCs w:val="24"/>
                    </w:rPr>
                  </w:pPr>
                  <w:r>
                    <w:rPr>
                      <w:b/>
                      <w:bCs/>
                      <w:color w:val="000000"/>
                      <w:kern w:val="2"/>
                      <w:szCs w:val="24"/>
                    </w:rPr>
                    <w:t>mg/m</w:t>
                  </w:r>
                  <w:r>
                    <w:rPr>
                      <w:b/>
                      <w:bCs/>
                      <w:color w:val="000000"/>
                      <w:kern w:val="2"/>
                      <w:szCs w:val="24"/>
                      <w:vertAlign w:val="superscript"/>
                    </w:rPr>
                    <w:t>3</w:t>
                  </w:r>
                </w:p>
              </w:tc>
              <w:tc>
                <w:tcPr>
                  <w:tcW w:w="502" w:type="pct"/>
                  <w:gridSpan w:val="2"/>
                  <w:vAlign w:val="center"/>
                </w:tcPr>
                <w:p>
                  <w:pPr>
                    <w:pStyle w:val="37"/>
                    <w:rPr>
                      <w:b/>
                      <w:bCs/>
                      <w:color w:val="000000"/>
                      <w:kern w:val="2"/>
                      <w:szCs w:val="24"/>
                    </w:rPr>
                  </w:pPr>
                  <w:r>
                    <w:rPr>
                      <w:b/>
                      <w:bCs/>
                      <w:color w:val="000000"/>
                      <w:kern w:val="2"/>
                      <w:szCs w:val="24"/>
                    </w:rPr>
                    <w:t>排放量</w:t>
                  </w:r>
                </w:p>
              </w:tc>
              <w:tc>
                <w:tcPr>
                  <w:tcW w:w="317" w:type="pct"/>
                  <w:vAlign w:val="center"/>
                </w:tcPr>
                <w:p>
                  <w:pPr>
                    <w:pStyle w:val="37"/>
                    <w:rPr>
                      <w:b/>
                      <w:bCs/>
                      <w:color w:val="000000"/>
                      <w:kern w:val="2"/>
                      <w:szCs w:val="24"/>
                    </w:rPr>
                  </w:pPr>
                  <w:r>
                    <w:rPr>
                      <w:b/>
                      <w:bCs/>
                      <w:color w:val="000000"/>
                      <w:kern w:val="2"/>
                      <w:szCs w:val="24"/>
                    </w:rPr>
                    <w:t>编号及名称</w:t>
                  </w:r>
                </w:p>
              </w:tc>
              <w:tc>
                <w:tcPr>
                  <w:tcW w:w="116" w:type="pct"/>
                  <w:vAlign w:val="center"/>
                </w:tcPr>
                <w:p>
                  <w:pPr>
                    <w:pStyle w:val="37"/>
                    <w:rPr>
                      <w:b/>
                      <w:bCs/>
                      <w:color w:val="000000"/>
                      <w:kern w:val="2"/>
                      <w:szCs w:val="24"/>
                    </w:rPr>
                  </w:pPr>
                  <w:r>
                    <w:rPr>
                      <w:b/>
                      <w:bCs/>
                      <w:color w:val="000000"/>
                      <w:kern w:val="2"/>
                      <w:szCs w:val="24"/>
                    </w:rPr>
                    <w:t>高度</w:t>
                  </w:r>
                </w:p>
              </w:tc>
              <w:tc>
                <w:tcPr>
                  <w:tcW w:w="126" w:type="pct"/>
                  <w:vAlign w:val="center"/>
                </w:tcPr>
                <w:p>
                  <w:pPr>
                    <w:pStyle w:val="37"/>
                    <w:rPr>
                      <w:b/>
                      <w:bCs/>
                      <w:color w:val="000000"/>
                      <w:kern w:val="2"/>
                      <w:szCs w:val="24"/>
                    </w:rPr>
                  </w:pPr>
                  <w:r>
                    <w:rPr>
                      <w:b/>
                      <w:bCs/>
                      <w:color w:val="000000"/>
                      <w:kern w:val="2"/>
                      <w:szCs w:val="24"/>
                    </w:rPr>
                    <w:t>内径</w:t>
                  </w:r>
                </w:p>
              </w:tc>
              <w:tc>
                <w:tcPr>
                  <w:tcW w:w="151" w:type="pct"/>
                  <w:vAlign w:val="center"/>
                </w:tcPr>
                <w:p>
                  <w:pPr>
                    <w:pStyle w:val="37"/>
                    <w:rPr>
                      <w:b/>
                      <w:bCs/>
                      <w:color w:val="000000"/>
                      <w:kern w:val="2"/>
                      <w:szCs w:val="24"/>
                    </w:rPr>
                  </w:pPr>
                  <w:r>
                    <w:rPr>
                      <w:b/>
                      <w:bCs/>
                      <w:color w:val="000000"/>
                      <w:kern w:val="2"/>
                      <w:szCs w:val="24"/>
                    </w:rPr>
                    <w:t>温度</w:t>
                  </w:r>
                </w:p>
              </w:tc>
              <w:tc>
                <w:tcPr>
                  <w:tcW w:w="262" w:type="pct"/>
                  <w:vAlign w:val="center"/>
                </w:tcPr>
                <w:p>
                  <w:pPr>
                    <w:pStyle w:val="37"/>
                    <w:rPr>
                      <w:b/>
                      <w:bCs/>
                      <w:color w:val="000000"/>
                      <w:kern w:val="2"/>
                      <w:szCs w:val="24"/>
                    </w:rPr>
                  </w:pPr>
                  <w:r>
                    <w:rPr>
                      <w:b/>
                      <w:bCs/>
                      <w:color w:val="000000"/>
                      <w:kern w:val="2"/>
                      <w:szCs w:val="24"/>
                    </w:rPr>
                    <w:t>类型</w:t>
                  </w:r>
                </w:p>
              </w:tc>
              <w:tc>
                <w:tcPr>
                  <w:tcW w:w="518" w:type="pct"/>
                  <w:vAlign w:val="center"/>
                </w:tcPr>
                <w:p>
                  <w:pPr>
                    <w:pStyle w:val="37"/>
                    <w:rPr>
                      <w:b/>
                      <w:bCs/>
                      <w:color w:val="000000"/>
                      <w:kern w:val="2"/>
                      <w:szCs w:val="24"/>
                    </w:rPr>
                  </w:pPr>
                  <w:r>
                    <w:rPr>
                      <w:b/>
                      <w:bCs/>
                      <w:color w:val="000000"/>
                      <w:kern w:val="2"/>
                      <w:szCs w:val="24"/>
                    </w:rPr>
                    <w:t>地理坐标</w:t>
                  </w:r>
                </w:p>
              </w:tc>
              <w:tc>
                <w:tcPr>
                  <w:tcW w:w="730" w:type="pct"/>
                  <w:vMerge w:val="continue"/>
                  <w:vAlign w:val="center"/>
                </w:tcPr>
                <w:p>
                  <w:pPr>
                    <w:pStyle w:val="37"/>
                    <w:rPr>
                      <w:b/>
                      <w:bCs/>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3" w:type="pct"/>
                  <w:vMerge w:val="continue"/>
                  <w:vAlign w:val="center"/>
                </w:tcPr>
                <w:p>
                  <w:pPr>
                    <w:pStyle w:val="37"/>
                    <w:rPr>
                      <w:b/>
                      <w:bCs/>
                      <w:color w:val="000000"/>
                      <w:kern w:val="2"/>
                      <w:szCs w:val="24"/>
                    </w:rPr>
                  </w:pPr>
                </w:p>
              </w:tc>
              <w:tc>
                <w:tcPr>
                  <w:tcW w:w="339" w:type="pct"/>
                  <w:vMerge w:val="continue"/>
                  <w:vAlign w:val="center"/>
                </w:tcPr>
                <w:p>
                  <w:pPr>
                    <w:pStyle w:val="37"/>
                    <w:rPr>
                      <w:b/>
                      <w:bCs/>
                      <w:color w:val="000000"/>
                      <w:kern w:val="2"/>
                      <w:szCs w:val="24"/>
                    </w:rPr>
                  </w:pPr>
                </w:p>
              </w:tc>
              <w:tc>
                <w:tcPr>
                  <w:tcW w:w="315" w:type="pct"/>
                  <w:vMerge w:val="continue"/>
                  <w:vAlign w:val="center"/>
                </w:tcPr>
                <w:p>
                  <w:pPr>
                    <w:pStyle w:val="37"/>
                    <w:rPr>
                      <w:b/>
                      <w:bCs/>
                      <w:color w:val="000000"/>
                      <w:kern w:val="2"/>
                      <w:szCs w:val="24"/>
                    </w:rPr>
                  </w:pPr>
                </w:p>
              </w:tc>
              <w:tc>
                <w:tcPr>
                  <w:tcW w:w="270" w:type="pct"/>
                  <w:vAlign w:val="center"/>
                </w:tcPr>
                <w:p>
                  <w:pPr>
                    <w:pStyle w:val="37"/>
                    <w:rPr>
                      <w:b/>
                      <w:bCs/>
                      <w:color w:val="000000"/>
                      <w:kern w:val="2"/>
                      <w:szCs w:val="24"/>
                    </w:rPr>
                  </w:pPr>
                  <w:r>
                    <w:rPr>
                      <w:b/>
                      <w:bCs/>
                      <w:color w:val="000000"/>
                      <w:kern w:val="2"/>
                      <w:szCs w:val="24"/>
                    </w:rPr>
                    <w:t>次/年</w:t>
                  </w:r>
                </w:p>
              </w:tc>
              <w:tc>
                <w:tcPr>
                  <w:tcW w:w="322" w:type="pct"/>
                  <w:vAlign w:val="center"/>
                </w:tcPr>
                <w:p>
                  <w:pPr>
                    <w:pStyle w:val="37"/>
                    <w:rPr>
                      <w:b/>
                      <w:bCs/>
                      <w:color w:val="000000"/>
                      <w:kern w:val="2"/>
                      <w:szCs w:val="24"/>
                    </w:rPr>
                  </w:pPr>
                  <w:r>
                    <w:rPr>
                      <w:b/>
                      <w:bCs/>
                      <w:color w:val="000000"/>
                      <w:kern w:val="2"/>
                      <w:szCs w:val="24"/>
                    </w:rPr>
                    <w:t>小时</w:t>
                  </w:r>
                </w:p>
              </w:tc>
              <w:tc>
                <w:tcPr>
                  <w:tcW w:w="337" w:type="pct"/>
                  <w:vAlign w:val="center"/>
                </w:tcPr>
                <w:p>
                  <w:pPr>
                    <w:pStyle w:val="37"/>
                    <w:rPr>
                      <w:b/>
                      <w:bCs/>
                      <w:color w:val="000000"/>
                      <w:kern w:val="2"/>
                      <w:szCs w:val="24"/>
                    </w:rPr>
                  </w:pPr>
                  <w:r>
                    <w:rPr>
                      <w:b/>
                      <w:bCs/>
                      <w:color w:val="000000"/>
                      <w:kern w:val="2"/>
                      <w:szCs w:val="24"/>
                    </w:rPr>
                    <w:t>小时</w:t>
                  </w:r>
                </w:p>
              </w:tc>
              <w:tc>
                <w:tcPr>
                  <w:tcW w:w="297" w:type="pct"/>
                  <w:vMerge w:val="continue"/>
                  <w:vAlign w:val="center"/>
                </w:tcPr>
                <w:p>
                  <w:pPr>
                    <w:pStyle w:val="37"/>
                    <w:rPr>
                      <w:b/>
                      <w:bCs/>
                      <w:color w:val="000000"/>
                      <w:kern w:val="2"/>
                      <w:szCs w:val="24"/>
                    </w:rPr>
                  </w:pPr>
                </w:p>
              </w:tc>
              <w:tc>
                <w:tcPr>
                  <w:tcW w:w="252" w:type="pct"/>
                  <w:vAlign w:val="center"/>
                </w:tcPr>
                <w:p>
                  <w:pPr>
                    <w:pStyle w:val="37"/>
                    <w:rPr>
                      <w:b/>
                      <w:bCs/>
                      <w:color w:val="000000"/>
                      <w:kern w:val="2"/>
                      <w:szCs w:val="24"/>
                    </w:rPr>
                  </w:pPr>
                  <w:r>
                    <w:rPr>
                      <w:b/>
                      <w:bCs/>
                      <w:color w:val="000000"/>
                      <w:kern w:val="2"/>
                      <w:szCs w:val="24"/>
                    </w:rPr>
                    <w:t>kg/h</w:t>
                  </w:r>
                </w:p>
              </w:tc>
              <w:tc>
                <w:tcPr>
                  <w:tcW w:w="250" w:type="pct"/>
                  <w:vAlign w:val="center"/>
                </w:tcPr>
                <w:p>
                  <w:pPr>
                    <w:pStyle w:val="37"/>
                    <w:rPr>
                      <w:b/>
                      <w:bCs/>
                      <w:color w:val="000000"/>
                      <w:kern w:val="2"/>
                      <w:szCs w:val="24"/>
                    </w:rPr>
                  </w:pPr>
                  <w:r>
                    <w:rPr>
                      <w:rFonts w:hint="eastAsia"/>
                      <w:b/>
                      <w:bCs/>
                      <w:color w:val="000000"/>
                      <w:kern w:val="2"/>
                      <w:szCs w:val="24"/>
                    </w:rPr>
                    <w:t>kg</w:t>
                  </w:r>
                  <w:r>
                    <w:rPr>
                      <w:b/>
                      <w:bCs/>
                      <w:color w:val="000000"/>
                      <w:kern w:val="2"/>
                      <w:szCs w:val="24"/>
                    </w:rPr>
                    <w:t>/a</w:t>
                  </w:r>
                </w:p>
              </w:tc>
              <w:tc>
                <w:tcPr>
                  <w:tcW w:w="317" w:type="pct"/>
                  <w:vAlign w:val="center"/>
                </w:tcPr>
                <w:p>
                  <w:pPr>
                    <w:pStyle w:val="37"/>
                    <w:rPr>
                      <w:b/>
                      <w:bCs/>
                      <w:color w:val="000000"/>
                      <w:kern w:val="2"/>
                      <w:szCs w:val="24"/>
                    </w:rPr>
                  </w:pPr>
                  <w:r>
                    <w:rPr>
                      <w:b/>
                      <w:bCs/>
                      <w:color w:val="000000"/>
                      <w:kern w:val="2"/>
                      <w:szCs w:val="24"/>
                    </w:rPr>
                    <w:t>/</w:t>
                  </w:r>
                </w:p>
              </w:tc>
              <w:tc>
                <w:tcPr>
                  <w:tcW w:w="116" w:type="pct"/>
                  <w:vAlign w:val="center"/>
                </w:tcPr>
                <w:p>
                  <w:pPr>
                    <w:pStyle w:val="37"/>
                    <w:rPr>
                      <w:b/>
                      <w:bCs/>
                      <w:color w:val="000000"/>
                      <w:kern w:val="2"/>
                      <w:szCs w:val="24"/>
                    </w:rPr>
                  </w:pPr>
                  <w:r>
                    <w:rPr>
                      <w:b/>
                      <w:bCs/>
                      <w:color w:val="000000"/>
                      <w:kern w:val="2"/>
                      <w:szCs w:val="24"/>
                    </w:rPr>
                    <w:t>m</w:t>
                  </w:r>
                </w:p>
              </w:tc>
              <w:tc>
                <w:tcPr>
                  <w:tcW w:w="126" w:type="pct"/>
                  <w:vAlign w:val="center"/>
                </w:tcPr>
                <w:p>
                  <w:pPr>
                    <w:pStyle w:val="37"/>
                    <w:rPr>
                      <w:b/>
                      <w:bCs/>
                      <w:color w:val="000000"/>
                      <w:kern w:val="2"/>
                      <w:szCs w:val="24"/>
                    </w:rPr>
                  </w:pPr>
                  <w:r>
                    <w:rPr>
                      <w:b/>
                      <w:bCs/>
                      <w:color w:val="000000"/>
                      <w:kern w:val="2"/>
                      <w:szCs w:val="24"/>
                    </w:rPr>
                    <w:t>m</w:t>
                  </w:r>
                </w:p>
              </w:tc>
              <w:tc>
                <w:tcPr>
                  <w:tcW w:w="151" w:type="pct"/>
                  <w:vAlign w:val="center"/>
                </w:tcPr>
                <w:p>
                  <w:pPr>
                    <w:pStyle w:val="37"/>
                    <w:rPr>
                      <w:b/>
                      <w:bCs/>
                      <w:color w:val="000000"/>
                      <w:kern w:val="2"/>
                      <w:szCs w:val="24"/>
                    </w:rPr>
                  </w:pPr>
                  <w:r>
                    <w:rPr>
                      <w:b/>
                      <w:bCs/>
                      <w:color w:val="000000"/>
                      <w:kern w:val="2"/>
                      <w:szCs w:val="24"/>
                    </w:rPr>
                    <w:t>℃</w:t>
                  </w:r>
                </w:p>
              </w:tc>
              <w:tc>
                <w:tcPr>
                  <w:tcW w:w="262" w:type="pct"/>
                  <w:vAlign w:val="center"/>
                </w:tcPr>
                <w:p>
                  <w:pPr>
                    <w:pStyle w:val="37"/>
                    <w:rPr>
                      <w:b/>
                      <w:bCs/>
                      <w:color w:val="000000"/>
                      <w:kern w:val="2"/>
                      <w:szCs w:val="24"/>
                    </w:rPr>
                  </w:pPr>
                  <w:r>
                    <w:rPr>
                      <w:b/>
                      <w:bCs/>
                      <w:color w:val="000000"/>
                      <w:kern w:val="2"/>
                      <w:szCs w:val="24"/>
                    </w:rPr>
                    <w:t>/</w:t>
                  </w:r>
                </w:p>
              </w:tc>
              <w:tc>
                <w:tcPr>
                  <w:tcW w:w="518" w:type="pct"/>
                  <w:vAlign w:val="center"/>
                </w:tcPr>
                <w:p>
                  <w:pPr>
                    <w:pStyle w:val="37"/>
                    <w:rPr>
                      <w:b/>
                      <w:bCs/>
                      <w:color w:val="000000"/>
                      <w:kern w:val="2"/>
                      <w:szCs w:val="24"/>
                    </w:rPr>
                  </w:pPr>
                  <w:r>
                    <w:rPr>
                      <w:b/>
                      <w:bCs/>
                      <w:color w:val="000000"/>
                      <w:kern w:val="2"/>
                      <w:szCs w:val="24"/>
                    </w:rPr>
                    <w:t>/</w:t>
                  </w:r>
                </w:p>
              </w:tc>
              <w:tc>
                <w:tcPr>
                  <w:tcW w:w="730"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3" w:type="pct"/>
                  <w:vMerge w:val="restart"/>
                  <w:vAlign w:val="center"/>
                </w:tcPr>
                <w:p>
                  <w:pPr>
                    <w:pStyle w:val="37"/>
                  </w:pPr>
                  <w:r>
                    <w:rPr>
                      <w:rFonts w:hint="eastAsia"/>
                    </w:rPr>
                    <w:t>前副车架焊接</w:t>
                  </w:r>
                </w:p>
              </w:tc>
              <w:tc>
                <w:tcPr>
                  <w:tcW w:w="339" w:type="pct"/>
                  <w:vMerge w:val="restart"/>
                  <w:vAlign w:val="center"/>
                </w:tcPr>
                <w:p>
                  <w:pPr>
                    <w:pStyle w:val="37"/>
                  </w:pPr>
                  <w:r>
                    <w:rPr>
                      <w:rFonts w:hint="eastAsia"/>
                    </w:rPr>
                    <w:t>有组织</w:t>
                  </w:r>
                </w:p>
              </w:tc>
              <w:tc>
                <w:tcPr>
                  <w:tcW w:w="315" w:type="pct"/>
                  <w:vAlign w:val="center"/>
                </w:tcPr>
                <w:p>
                  <w:pPr>
                    <w:pStyle w:val="37"/>
                  </w:pPr>
                  <w:r>
                    <w:rPr>
                      <w:rFonts w:hint="eastAsia"/>
                    </w:rPr>
                    <w:t>颗粒物</w:t>
                  </w:r>
                </w:p>
              </w:tc>
              <w:tc>
                <w:tcPr>
                  <w:tcW w:w="270" w:type="pct"/>
                  <w:vMerge w:val="restart"/>
                  <w:vAlign w:val="center"/>
                </w:tcPr>
                <w:p>
                  <w:pPr>
                    <w:pStyle w:val="37"/>
                    <w:rPr>
                      <w:color w:val="000000"/>
                      <w:kern w:val="2"/>
                      <w:szCs w:val="24"/>
                    </w:rPr>
                  </w:pPr>
                  <w:r>
                    <w:rPr>
                      <w:rFonts w:hint="eastAsia"/>
                      <w:color w:val="000000"/>
                      <w:kern w:val="2"/>
                      <w:szCs w:val="24"/>
                    </w:rPr>
                    <w:t>2</w:t>
                  </w:r>
                </w:p>
              </w:tc>
              <w:tc>
                <w:tcPr>
                  <w:tcW w:w="322" w:type="pct"/>
                  <w:vMerge w:val="restart"/>
                  <w:vAlign w:val="center"/>
                </w:tcPr>
                <w:p>
                  <w:pPr>
                    <w:pStyle w:val="37"/>
                    <w:rPr>
                      <w:color w:val="000000"/>
                      <w:kern w:val="2"/>
                      <w:szCs w:val="24"/>
                    </w:rPr>
                  </w:pPr>
                  <w:r>
                    <w:rPr>
                      <w:rFonts w:hint="eastAsia"/>
                      <w:color w:val="000000"/>
                      <w:kern w:val="2"/>
                      <w:szCs w:val="24"/>
                    </w:rPr>
                    <w:t>1</w:t>
                  </w:r>
                </w:p>
              </w:tc>
              <w:tc>
                <w:tcPr>
                  <w:tcW w:w="337" w:type="pct"/>
                  <w:vMerge w:val="restart"/>
                  <w:vAlign w:val="center"/>
                </w:tcPr>
                <w:p>
                  <w:pPr>
                    <w:pStyle w:val="37"/>
                    <w:rPr>
                      <w:color w:val="000000"/>
                      <w:kern w:val="2"/>
                      <w:szCs w:val="24"/>
                    </w:rPr>
                  </w:pPr>
                  <w:r>
                    <w:rPr>
                      <w:rFonts w:hint="eastAsia"/>
                      <w:color w:val="000000"/>
                      <w:kern w:val="2"/>
                      <w:szCs w:val="24"/>
                    </w:rPr>
                    <w:t>2</w:t>
                  </w:r>
                </w:p>
              </w:tc>
              <w:tc>
                <w:tcPr>
                  <w:tcW w:w="297" w:type="pct"/>
                  <w:vAlign w:val="center"/>
                </w:tcPr>
                <w:p>
                  <w:pPr>
                    <w:pStyle w:val="3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0.325 </w:t>
                  </w:r>
                </w:p>
              </w:tc>
              <w:tc>
                <w:tcPr>
                  <w:tcW w:w="252" w:type="pct"/>
                  <w:vAlign w:val="center"/>
                </w:tcPr>
                <w:p>
                  <w:pPr>
                    <w:pStyle w:val="3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0.006 </w:t>
                  </w:r>
                </w:p>
              </w:tc>
              <w:tc>
                <w:tcPr>
                  <w:tcW w:w="250" w:type="pct"/>
                  <w:vAlign w:val="center"/>
                </w:tcPr>
                <w:p>
                  <w:pPr>
                    <w:pStyle w:val="37"/>
                    <w:rPr>
                      <w:rFonts w:hint="eastAsia" w:ascii="Times New Roman" w:hAnsi="Times New Roman" w:eastAsia="宋体" w:cs="Times New Roman"/>
                    </w:rPr>
                  </w:pPr>
                  <w:r>
                    <w:rPr>
                      <w:rFonts w:hint="eastAsia" w:ascii="Times New Roman" w:hAnsi="Times New Roman" w:eastAsia="宋体" w:cs="Times New Roman"/>
                    </w:rPr>
                    <w:t>0.012</w:t>
                  </w:r>
                </w:p>
              </w:tc>
              <w:tc>
                <w:tcPr>
                  <w:tcW w:w="317" w:type="pct"/>
                  <w:vMerge w:val="restart"/>
                  <w:vAlign w:val="center"/>
                </w:tcPr>
                <w:p>
                  <w:pPr>
                    <w:pStyle w:val="37"/>
                    <w:rPr>
                      <w:color w:val="000000"/>
                      <w:kern w:val="2"/>
                      <w:szCs w:val="24"/>
                    </w:rPr>
                  </w:pPr>
                  <w:r>
                    <w:rPr>
                      <w:rFonts w:hint="eastAsia"/>
                      <w:color w:val="000000"/>
                      <w:kern w:val="2"/>
                      <w:szCs w:val="24"/>
                    </w:rPr>
                    <w:t>DA001</w:t>
                  </w:r>
                </w:p>
              </w:tc>
              <w:tc>
                <w:tcPr>
                  <w:tcW w:w="116" w:type="pct"/>
                  <w:vMerge w:val="restart"/>
                  <w:vAlign w:val="center"/>
                </w:tcPr>
                <w:p>
                  <w:pPr>
                    <w:pStyle w:val="37"/>
                    <w:rPr>
                      <w:color w:val="000000"/>
                      <w:kern w:val="2"/>
                      <w:szCs w:val="24"/>
                    </w:rPr>
                  </w:pPr>
                  <w:r>
                    <w:rPr>
                      <w:rFonts w:hint="eastAsia"/>
                      <w:color w:val="000000"/>
                      <w:kern w:val="2"/>
                      <w:szCs w:val="24"/>
                    </w:rPr>
                    <w:t>15</w:t>
                  </w:r>
                </w:p>
              </w:tc>
              <w:tc>
                <w:tcPr>
                  <w:tcW w:w="126" w:type="pct"/>
                  <w:vMerge w:val="restart"/>
                  <w:vAlign w:val="center"/>
                </w:tcPr>
                <w:p>
                  <w:pPr>
                    <w:pStyle w:val="37"/>
                    <w:rPr>
                      <w:color w:val="000000"/>
                      <w:kern w:val="2"/>
                      <w:szCs w:val="24"/>
                    </w:rPr>
                  </w:pPr>
                  <w:r>
                    <w:rPr>
                      <w:rFonts w:hint="eastAsia"/>
                      <w:color w:val="000000"/>
                      <w:kern w:val="2"/>
                      <w:szCs w:val="24"/>
                    </w:rPr>
                    <w:t>0.2</w:t>
                  </w:r>
                </w:p>
              </w:tc>
              <w:tc>
                <w:tcPr>
                  <w:tcW w:w="151" w:type="pct"/>
                  <w:vMerge w:val="restart"/>
                  <w:vAlign w:val="center"/>
                </w:tcPr>
                <w:p>
                  <w:pPr>
                    <w:pStyle w:val="37"/>
                    <w:rPr>
                      <w:color w:val="000000"/>
                      <w:kern w:val="2"/>
                      <w:szCs w:val="24"/>
                    </w:rPr>
                  </w:pPr>
                  <w:r>
                    <w:rPr>
                      <w:rFonts w:hint="eastAsia"/>
                      <w:color w:val="000000"/>
                      <w:kern w:val="2"/>
                      <w:szCs w:val="24"/>
                    </w:rPr>
                    <w:t>25</w:t>
                  </w:r>
                </w:p>
              </w:tc>
              <w:tc>
                <w:tcPr>
                  <w:tcW w:w="262" w:type="pct"/>
                  <w:vMerge w:val="restart"/>
                  <w:vAlign w:val="center"/>
                </w:tcPr>
                <w:p>
                  <w:pPr>
                    <w:pStyle w:val="37"/>
                    <w:rPr>
                      <w:color w:val="000000"/>
                      <w:kern w:val="2"/>
                      <w:szCs w:val="24"/>
                    </w:rPr>
                  </w:pPr>
                  <w:r>
                    <w:rPr>
                      <w:rFonts w:hint="eastAsia"/>
                      <w:color w:val="000000"/>
                      <w:kern w:val="2"/>
                      <w:szCs w:val="24"/>
                    </w:rPr>
                    <w:t>一般排放口</w:t>
                  </w:r>
                </w:p>
              </w:tc>
              <w:tc>
                <w:tcPr>
                  <w:tcW w:w="518" w:type="pct"/>
                  <w:vMerge w:val="restart"/>
                  <w:vAlign w:val="center"/>
                </w:tcPr>
                <w:p>
                  <w:pPr>
                    <w:pStyle w:val="37"/>
                  </w:pPr>
                  <w:r>
                    <w:rPr>
                      <w:rFonts w:hint="eastAsia"/>
                    </w:rPr>
                    <w:t>E115°51′54.558″；N28°31′12.711″</w:t>
                  </w:r>
                </w:p>
              </w:tc>
              <w:tc>
                <w:tcPr>
                  <w:tcW w:w="730" w:type="pct"/>
                  <w:vMerge w:val="restart"/>
                  <w:vAlign w:val="center"/>
                </w:tcPr>
                <w:p>
                  <w:pPr>
                    <w:pStyle w:val="37"/>
                    <w:rPr>
                      <w:color w:val="000000"/>
                      <w:kern w:val="2"/>
                      <w:szCs w:val="24"/>
                    </w:rPr>
                  </w:pPr>
                  <w:r>
                    <w:rPr>
                      <w:color w:val="000000"/>
                      <w:kern w:val="2"/>
                      <w:szCs w:val="24"/>
                    </w:rPr>
                    <w:t>企业应加强管理，一旦废气治理系统故障，立即停产检修，防止事故废气排放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3" w:type="pct"/>
                  <w:vMerge w:val="continue"/>
                  <w:vAlign w:val="center"/>
                </w:tcPr>
                <w:p>
                  <w:pPr>
                    <w:pStyle w:val="37"/>
                  </w:pPr>
                </w:p>
              </w:tc>
              <w:tc>
                <w:tcPr>
                  <w:tcW w:w="339" w:type="pct"/>
                  <w:vMerge w:val="continue"/>
                  <w:vAlign w:val="center"/>
                </w:tcPr>
                <w:p>
                  <w:pPr>
                    <w:pStyle w:val="37"/>
                  </w:pPr>
                </w:p>
              </w:tc>
              <w:tc>
                <w:tcPr>
                  <w:tcW w:w="315" w:type="pct"/>
                  <w:vAlign w:val="center"/>
                </w:tcPr>
                <w:p>
                  <w:pPr>
                    <w:pStyle w:val="37"/>
                  </w:pPr>
                  <w:r>
                    <w:rPr>
                      <w:rFonts w:hint="eastAsia"/>
                    </w:rPr>
                    <w:t>锡及其化合物</w:t>
                  </w:r>
                </w:p>
              </w:tc>
              <w:tc>
                <w:tcPr>
                  <w:tcW w:w="270" w:type="pct"/>
                  <w:vMerge w:val="continue"/>
                  <w:vAlign w:val="center"/>
                </w:tcPr>
                <w:p>
                  <w:pPr>
                    <w:pStyle w:val="37"/>
                    <w:rPr>
                      <w:color w:val="000000"/>
                      <w:kern w:val="2"/>
                      <w:szCs w:val="24"/>
                    </w:rPr>
                  </w:pPr>
                </w:p>
              </w:tc>
              <w:tc>
                <w:tcPr>
                  <w:tcW w:w="322" w:type="pct"/>
                  <w:vMerge w:val="continue"/>
                  <w:vAlign w:val="center"/>
                </w:tcPr>
                <w:p>
                  <w:pPr>
                    <w:pStyle w:val="37"/>
                    <w:rPr>
                      <w:color w:val="000000"/>
                      <w:kern w:val="2"/>
                      <w:szCs w:val="24"/>
                    </w:rPr>
                  </w:pPr>
                </w:p>
              </w:tc>
              <w:tc>
                <w:tcPr>
                  <w:tcW w:w="337" w:type="pct"/>
                  <w:vMerge w:val="continue"/>
                  <w:vAlign w:val="center"/>
                </w:tcPr>
                <w:p>
                  <w:pPr>
                    <w:pStyle w:val="37"/>
                    <w:rPr>
                      <w:color w:val="000000"/>
                      <w:kern w:val="2"/>
                      <w:szCs w:val="24"/>
                    </w:rPr>
                  </w:pPr>
                </w:p>
              </w:tc>
              <w:tc>
                <w:tcPr>
                  <w:tcW w:w="297" w:type="pct"/>
                  <w:vAlign w:val="center"/>
                </w:tcPr>
                <w:p>
                  <w:pPr>
                    <w:pStyle w:val="37"/>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0.292 </w:t>
                  </w:r>
                </w:p>
              </w:tc>
              <w:tc>
                <w:tcPr>
                  <w:tcW w:w="252" w:type="pct"/>
                  <w:vAlign w:val="center"/>
                </w:tcPr>
                <w:p>
                  <w:pPr>
                    <w:pStyle w:val="3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0.006 </w:t>
                  </w:r>
                </w:p>
              </w:tc>
              <w:tc>
                <w:tcPr>
                  <w:tcW w:w="250" w:type="pct"/>
                  <w:vAlign w:val="center"/>
                </w:tcPr>
                <w:p>
                  <w:pPr>
                    <w:pStyle w:val="37"/>
                    <w:rPr>
                      <w:rFonts w:hint="eastAsia" w:ascii="Times New Roman" w:hAnsi="Times New Roman" w:eastAsia="宋体" w:cs="Times New Roman"/>
                    </w:rPr>
                  </w:pPr>
                  <w:r>
                    <w:rPr>
                      <w:rFonts w:hint="eastAsia" w:ascii="Times New Roman" w:hAnsi="Times New Roman" w:eastAsia="宋体" w:cs="Times New Roman"/>
                    </w:rPr>
                    <w:t>0.012</w:t>
                  </w:r>
                </w:p>
              </w:tc>
              <w:tc>
                <w:tcPr>
                  <w:tcW w:w="317" w:type="pct"/>
                  <w:vMerge w:val="continue"/>
                  <w:vAlign w:val="center"/>
                </w:tcPr>
                <w:p>
                  <w:pPr>
                    <w:pStyle w:val="37"/>
                    <w:rPr>
                      <w:color w:val="000000"/>
                      <w:kern w:val="2"/>
                      <w:szCs w:val="24"/>
                    </w:rPr>
                  </w:pPr>
                </w:p>
              </w:tc>
              <w:tc>
                <w:tcPr>
                  <w:tcW w:w="116" w:type="pct"/>
                  <w:vMerge w:val="continue"/>
                  <w:vAlign w:val="center"/>
                </w:tcPr>
                <w:p>
                  <w:pPr>
                    <w:pStyle w:val="37"/>
                    <w:rPr>
                      <w:color w:val="000000"/>
                      <w:kern w:val="2"/>
                      <w:szCs w:val="24"/>
                    </w:rPr>
                  </w:pPr>
                </w:p>
              </w:tc>
              <w:tc>
                <w:tcPr>
                  <w:tcW w:w="126" w:type="pct"/>
                  <w:vMerge w:val="continue"/>
                  <w:vAlign w:val="center"/>
                </w:tcPr>
                <w:p>
                  <w:pPr>
                    <w:pStyle w:val="37"/>
                    <w:rPr>
                      <w:color w:val="000000"/>
                      <w:kern w:val="2"/>
                      <w:szCs w:val="24"/>
                    </w:rPr>
                  </w:pPr>
                </w:p>
              </w:tc>
              <w:tc>
                <w:tcPr>
                  <w:tcW w:w="151" w:type="pct"/>
                  <w:vMerge w:val="continue"/>
                  <w:vAlign w:val="center"/>
                </w:tcPr>
                <w:p>
                  <w:pPr>
                    <w:pStyle w:val="37"/>
                    <w:rPr>
                      <w:color w:val="000000"/>
                      <w:kern w:val="2"/>
                      <w:szCs w:val="24"/>
                    </w:rPr>
                  </w:pPr>
                </w:p>
              </w:tc>
              <w:tc>
                <w:tcPr>
                  <w:tcW w:w="262" w:type="pct"/>
                  <w:vMerge w:val="continue"/>
                  <w:vAlign w:val="center"/>
                </w:tcPr>
                <w:p>
                  <w:pPr>
                    <w:pStyle w:val="37"/>
                    <w:rPr>
                      <w:color w:val="000000"/>
                      <w:kern w:val="2"/>
                      <w:szCs w:val="24"/>
                    </w:rPr>
                  </w:pPr>
                </w:p>
              </w:tc>
              <w:tc>
                <w:tcPr>
                  <w:tcW w:w="518" w:type="pct"/>
                  <w:vMerge w:val="continue"/>
                  <w:vAlign w:val="center"/>
                </w:tcPr>
                <w:p>
                  <w:pPr>
                    <w:pStyle w:val="37"/>
                  </w:pPr>
                </w:p>
              </w:tc>
              <w:tc>
                <w:tcPr>
                  <w:tcW w:w="730"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3" w:type="pct"/>
                  <w:vMerge w:val="restart"/>
                  <w:vAlign w:val="center"/>
                </w:tcPr>
                <w:p>
                  <w:pPr>
                    <w:pStyle w:val="37"/>
                  </w:pPr>
                  <w:r>
                    <w:rPr>
                      <w:rFonts w:hint="eastAsia"/>
                    </w:rPr>
                    <w:t>后副车架焊接</w:t>
                  </w:r>
                </w:p>
              </w:tc>
              <w:tc>
                <w:tcPr>
                  <w:tcW w:w="339" w:type="pct"/>
                  <w:vMerge w:val="continue"/>
                  <w:vAlign w:val="center"/>
                </w:tcPr>
                <w:p>
                  <w:pPr>
                    <w:pStyle w:val="37"/>
                  </w:pPr>
                </w:p>
              </w:tc>
              <w:tc>
                <w:tcPr>
                  <w:tcW w:w="315" w:type="pct"/>
                  <w:vAlign w:val="center"/>
                </w:tcPr>
                <w:p>
                  <w:pPr>
                    <w:pStyle w:val="37"/>
                  </w:pPr>
                  <w:r>
                    <w:rPr>
                      <w:rFonts w:hint="eastAsia"/>
                    </w:rPr>
                    <w:t>颗粒物</w:t>
                  </w:r>
                </w:p>
              </w:tc>
              <w:tc>
                <w:tcPr>
                  <w:tcW w:w="270" w:type="pct"/>
                  <w:vMerge w:val="continue"/>
                  <w:vAlign w:val="center"/>
                </w:tcPr>
                <w:p>
                  <w:pPr>
                    <w:pStyle w:val="37"/>
                    <w:rPr>
                      <w:color w:val="000000"/>
                      <w:kern w:val="2"/>
                      <w:szCs w:val="24"/>
                    </w:rPr>
                  </w:pPr>
                </w:p>
              </w:tc>
              <w:tc>
                <w:tcPr>
                  <w:tcW w:w="322" w:type="pct"/>
                  <w:vMerge w:val="continue"/>
                  <w:vAlign w:val="center"/>
                </w:tcPr>
                <w:p>
                  <w:pPr>
                    <w:pStyle w:val="37"/>
                    <w:rPr>
                      <w:color w:val="000000"/>
                      <w:kern w:val="2"/>
                      <w:szCs w:val="24"/>
                    </w:rPr>
                  </w:pPr>
                </w:p>
              </w:tc>
              <w:tc>
                <w:tcPr>
                  <w:tcW w:w="337" w:type="pct"/>
                  <w:vMerge w:val="continue"/>
                  <w:vAlign w:val="center"/>
                </w:tcPr>
                <w:p>
                  <w:pPr>
                    <w:pStyle w:val="37"/>
                    <w:rPr>
                      <w:color w:val="000000"/>
                      <w:kern w:val="2"/>
                      <w:szCs w:val="24"/>
                    </w:rPr>
                  </w:pPr>
                </w:p>
              </w:tc>
              <w:tc>
                <w:tcPr>
                  <w:tcW w:w="297" w:type="pct"/>
                  <w:vAlign w:val="center"/>
                </w:tcPr>
                <w:p>
                  <w:pPr>
                    <w:pStyle w:val="37"/>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0.163 </w:t>
                  </w:r>
                </w:p>
              </w:tc>
              <w:tc>
                <w:tcPr>
                  <w:tcW w:w="252" w:type="pct"/>
                  <w:vAlign w:val="center"/>
                </w:tcPr>
                <w:p>
                  <w:pPr>
                    <w:pStyle w:val="3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0.003 </w:t>
                  </w:r>
                </w:p>
              </w:tc>
              <w:tc>
                <w:tcPr>
                  <w:tcW w:w="250" w:type="pct"/>
                  <w:vAlign w:val="center"/>
                </w:tcPr>
                <w:p>
                  <w:pPr>
                    <w:pStyle w:val="37"/>
                    <w:rPr>
                      <w:rFonts w:hint="eastAsia" w:ascii="Times New Roman" w:hAnsi="Times New Roman" w:eastAsia="宋体" w:cs="Times New Roman"/>
                    </w:rPr>
                  </w:pPr>
                  <w:r>
                    <w:rPr>
                      <w:rFonts w:hint="eastAsia" w:ascii="Times New Roman" w:hAnsi="Times New Roman" w:eastAsia="宋体" w:cs="Times New Roman"/>
                    </w:rPr>
                    <w:t>0.006</w:t>
                  </w:r>
                </w:p>
              </w:tc>
              <w:tc>
                <w:tcPr>
                  <w:tcW w:w="317" w:type="pct"/>
                  <w:vMerge w:val="restart"/>
                  <w:vAlign w:val="center"/>
                </w:tcPr>
                <w:p>
                  <w:pPr>
                    <w:pStyle w:val="37"/>
                    <w:rPr>
                      <w:color w:val="000000"/>
                      <w:kern w:val="2"/>
                      <w:szCs w:val="24"/>
                    </w:rPr>
                  </w:pPr>
                  <w:r>
                    <w:rPr>
                      <w:rFonts w:hint="eastAsia"/>
                      <w:color w:val="000000"/>
                      <w:kern w:val="2"/>
                      <w:szCs w:val="24"/>
                    </w:rPr>
                    <w:t>DA002</w:t>
                  </w:r>
                </w:p>
              </w:tc>
              <w:tc>
                <w:tcPr>
                  <w:tcW w:w="116" w:type="pct"/>
                  <w:vMerge w:val="restart"/>
                  <w:vAlign w:val="center"/>
                </w:tcPr>
                <w:p>
                  <w:pPr>
                    <w:pStyle w:val="37"/>
                    <w:rPr>
                      <w:color w:val="000000"/>
                      <w:kern w:val="2"/>
                      <w:szCs w:val="24"/>
                    </w:rPr>
                  </w:pPr>
                  <w:r>
                    <w:rPr>
                      <w:rFonts w:hint="eastAsia"/>
                      <w:color w:val="000000"/>
                      <w:kern w:val="2"/>
                      <w:szCs w:val="24"/>
                    </w:rPr>
                    <w:t>15</w:t>
                  </w:r>
                </w:p>
              </w:tc>
              <w:tc>
                <w:tcPr>
                  <w:tcW w:w="126" w:type="pct"/>
                  <w:vMerge w:val="restart"/>
                  <w:vAlign w:val="center"/>
                </w:tcPr>
                <w:p>
                  <w:pPr>
                    <w:pStyle w:val="37"/>
                    <w:rPr>
                      <w:color w:val="000000"/>
                      <w:kern w:val="2"/>
                      <w:szCs w:val="24"/>
                    </w:rPr>
                  </w:pPr>
                  <w:r>
                    <w:rPr>
                      <w:rFonts w:hint="eastAsia"/>
                      <w:color w:val="000000"/>
                      <w:kern w:val="2"/>
                      <w:szCs w:val="24"/>
                    </w:rPr>
                    <w:t>0.2</w:t>
                  </w:r>
                </w:p>
              </w:tc>
              <w:tc>
                <w:tcPr>
                  <w:tcW w:w="151" w:type="pct"/>
                  <w:vMerge w:val="restart"/>
                  <w:vAlign w:val="center"/>
                </w:tcPr>
                <w:p>
                  <w:pPr>
                    <w:pStyle w:val="37"/>
                    <w:rPr>
                      <w:color w:val="000000"/>
                      <w:kern w:val="2"/>
                      <w:szCs w:val="24"/>
                    </w:rPr>
                  </w:pPr>
                  <w:r>
                    <w:rPr>
                      <w:rFonts w:hint="eastAsia"/>
                      <w:color w:val="000000"/>
                      <w:kern w:val="2"/>
                      <w:szCs w:val="24"/>
                    </w:rPr>
                    <w:t>25</w:t>
                  </w:r>
                </w:p>
              </w:tc>
              <w:tc>
                <w:tcPr>
                  <w:tcW w:w="262" w:type="pct"/>
                  <w:vMerge w:val="restart"/>
                  <w:vAlign w:val="center"/>
                </w:tcPr>
                <w:p>
                  <w:pPr>
                    <w:pStyle w:val="37"/>
                    <w:rPr>
                      <w:color w:val="000000"/>
                      <w:kern w:val="2"/>
                      <w:szCs w:val="24"/>
                    </w:rPr>
                  </w:pPr>
                  <w:r>
                    <w:rPr>
                      <w:rFonts w:hint="eastAsia"/>
                      <w:color w:val="000000"/>
                      <w:kern w:val="2"/>
                      <w:szCs w:val="24"/>
                    </w:rPr>
                    <w:t>一般排放口</w:t>
                  </w:r>
                </w:p>
              </w:tc>
              <w:tc>
                <w:tcPr>
                  <w:tcW w:w="518" w:type="pct"/>
                  <w:vMerge w:val="restart"/>
                  <w:vAlign w:val="center"/>
                </w:tcPr>
                <w:p>
                  <w:pPr>
                    <w:pStyle w:val="37"/>
                  </w:pPr>
                  <w:r>
                    <w:rPr>
                      <w:rFonts w:hint="eastAsia"/>
                    </w:rPr>
                    <w:t>E115°51′56.190″；N28°31′12.730″</w:t>
                  </w:r>
                </w:p>
              </w:tc>
              <w:tc>
                <w:tcPr>
                  <w:tcW w:w="730"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3" w:type="pct"/>
                  <w:vMerge w:val="continue"/>
                  <w:vAlign w:val="center"/>
                </w:tcPr>
                <w:p>
                  <w:pPr>
                    <w:pStyle w:val="37"/>
                  </w:pPr>
                </w:p>
              </w:tc>
              <w:tc>
                <w:tcPr>
                  <w:tcW w:w="339" w:type="pct"/>
                  <w:vMerge w:val="continue"/>
                  <w:vAlign w:val="center"/>
                </w:tcPr>
                <w:p>
                  <w:pPr>
                    <w:pStyle w:val="37"/>
                  </w:pPr>
                </w:p>
              </w:tc>
              <w:tc>
                <w:tcPr>
                  <w:tcW w:w="315" w:type="pct"/>
                  <w:vAlign w:val="center"/>
                </w:tcPr>
                <w:p>
                  <w:pPr>
                    <w:pStyle w:val="37"/>
                  </w:pPr>
                  <w:r>
                    <w:rPr>
                      <w:rFonts w:hint="eastAsia"/>
                    </w:rPr>
                    <w:t>锡及其化合物</w:t>
                  </w:r>
                </w:p>
              </w:tc>
              <w:tc>
                <w:tcPr>
                  <w:tcW w:w="270" w:type="pct"/>
                  <w:vMerge w:val="continue"/>
                  <w:vAlign w:val="center"/>
                </w:tcPr>
                <w:p>
                  <w:pPr>
                    <w:pStyle w:val="37"/>
                    <w:rPr>
                      <w:color w:val="000000"/>
                      <w:kern w:val="2"/>
                      <w:szCs w:val="24"/>
                    </w:rPr>
                  </w:pPr>
                </w:p>
              </w:tc>
              <w:tc>
                <w:tcPr>
                  <w:tcW w:w="322" w:type="pct"/>
                  <w:vMerge w:val="continue"/>
                  <w:vAlign w:val="center"/>
                </w:tcPr>
                <w:p>
                  <w:pPr>
                    <w:pStyle w:val="37"/>
                    <w:rPr>
                      <w:color w:val="000000"/>
                      <w:kern w:val="2"/>
                      <w:szCs w:val="24"/>
                    </w:rPr>
                  </w:pPr>
                </w:p>
              </w:tc>
              <w:tc>
                <w:tcPr>
                  <w:tcW w:w="337" w:type="pct"/>
                  <w:vMerge w:val="continue"/>
                  <w:vAlign w:val="center"/>
                </w:tcPr>
                <w:p>
                  <w:pPr>
                    <w:pStyle w:val="37"/>
                    <w:rPr>
                      <w:color w:val="000000"/>
                      <w:kern w:val="2"/>
                      <w:szCs w:val="24"/>
                    </w:rPr>
                  </w:pPr>
                </w:p>
              </w:tc>
              <w:tc>
                <w:tcPr>
                  <w:tcW w:w="297" w:type="pct"/>
                  <w:vAlign w:val="center"/>
                </w:tcPr>
                <w:p>
                  <w:pPr>
                    <w:pStyle w:val="3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0.147 </w:t>
                  </w:r>
                </w:p>
              </w:tc>
              <w:tc>
                <w:tcPr>
                  <w:tcW w:w="252" w:type="pct"/>
                  <w:vAlign w:val="center"/>
                </w:tcPr>
                <w:p>
                  <w:pPr>
                    <w:pStyle w:val="3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0.003 </w:t>
                  </w:r>
                </w:p>
              </w:tc>
              <w:tc>
                <w:tcPr>
                  <w:tcW w:w="250" w:type="pct"/>
                  <w:vAlign w:val="center"/>
                </w:tcPr>
                <w:p>
                  <w:pPr>
                    <w:pStyle w:val="37"/>
                    <w:rPr>
                      <w:rFonts w:hint="eastAsia" w:ascii="Times New Roman" w:hAnsi="Times New Roman" w:eastAsia="宋体" w:cs="Times New Roman"/>
                    </w:rPr>
                  </w:pPr>
                  <w:r>
                    <w:rPr>
                      <w:rFonts w:hint="eastAsia" w:ascii="Times New Roman" w:hAnsi="Times New Roman" w:eastAsia="宋体" w:cs="Times New Roman"/>
                    </w:rPr>
                    <w:t>0.006</w:t>
                  </w:r>
                </w:p>
              </w:tc>
              <w:tc>
                <w:tcPr>
                  <w:tcW w:w="317" w:type="pct"/>
                  <w:vMerge w:val="continue"/>
                  <w:vAlign w:val="center"/>
                </w:tcPr>
                <w:p>
                  <w:pPr>
                    <w:pStyle w:val="37"/>
                    <w:rPr>
                      <w:color w:val="000000"/>
                      <w:kern w:val="2"/>
                      <w:szCs w:val="24"/>
                    </w:rPr>
                  </w:pPr>
                </w:p>
              </w:tc>
              <w:tc>
                <w:tcPr>
                  <w:tcW w:w="116" w:type="pct"/>
                  <w:vMerge w:val="continue"/>
                  <w:vAlign w:val="center"/>
                </w:tcPr>
                <w:p>
                  <w:pPr>
                    <w:pStyle w:val="37"/>
                    <w:rPr>
                      <w:color w:val="000000"/>
                    </w:rPr>
                  </w:pPr>
                </w:p>
              </w:tc>
              <w:tc>
                <w:tcPr>
                  <w:tcW w:w="126" w:type="pct"/>
                  <w:vMerge w:val="continue"/>
                  <w:vAlign w:val="center"/>
                </w:tcPr>
                <w:p>
                  <w:pPr>
                    <w:pStyle w:val="37"/>
                    <w:rPr>
                      <w:color w:val="000000"/>
                    </w:rPr>
                  </w:pPr>
                </w:p>
              </w:tc>
              <w:tc>
                <w:tcPr>
                  <w:tcW w:w="151" w:type="pct"/>
                  <w:vMerge w:val="continue"/>
                  <w:vAlign w:val="center"/>
                </w:tcPr>
                <w:p>
                  <w:pPr>
                    <w:pStyle w:val="37"/>
                    <w:rPr>
                      <w:color w:val="000000"/>
                    </w:rPr>
                  </w:pPr>
                </w:p>
              </w:tc>
              <w:tc>
                <w:tcPr>
                  <w:tcW w:w="262" w:type="pct"/>
                  <w:vMerge w:val="continue"/>
                  <w:vAlign w:val="center"/>
                </w:tcPr>
                <w:p>
                  <w:pPr>
                    <w:pStyle w:val="37"/>
                    <w:rPr>
                      <w:color w:val="000000"/>
                    </w:rPr>
                  </w:pPr>
                </w:p>
              </w:tc>
              <w:tc>
                <w:tcPr>
                  <w:tcW w:w="518" w:type="pct"/>
                  <w:vMerge w:val="continue"/>
                  <w:vAlign w:val="center"/>
                </w:tcPr>
                <w:p>
                  <w:pPr>
                    <w:pStyle w:val="37"/>
                    <w:rPr>
                      <w:color w:val="000000"/>
                    </w:rPr>
                  </w:pPr>
                </w:p>
              </w:tc>
              <w:tc>
                <w:tcPr>
                  <w:tcW w:w="730" w:type="pct"/>
                  <w:vMerge w:val="continue"/>
                  <w:vAlign w:val="center"/>
                </w:tcPr>
                <w:p>
                  <w:pPr>
                    <w:pStyle w:val="37"/>
                    <w:rPr>
                      <w:color w:val="000000"/>
                      <w:kern w:val="2"/>
                      <w:szCs w:val="24"/>
                    </w:rPr>
                  </w:pPr>
                </w:p>
              </w:tc>
            </w:tr>
          </w:tbl>
          <w:p>
            <w:pPr>
              <w:pStyle w:val="17"/>
              <w:ind w:firstLine="0" w:firstLineChars="0"/>
              <w:rPr>
                <w:color w:val="000000"/>
              </w:rPr>
            </w:pPr>
            <w:r>
              <w:rPr>
                <w:rFonts w:hint="eastAsia"/>
                <w:color w:val="000000"/>
              </w:rPr>
              <w:t>注：本次评价废气污染源非正常排放情况采用表4-1中废气最大浓度时段进行分析。</w:t>
            </w:r>
          </w:p>
          <w:p>
            <w:pPr>
              <w:adjustRightInd w:val="0"/>
              <w:snapToGrid w:val="0"/>
              <w:spacing w:beforeLines="50"/>
              <w:ind w:firstLine="482"/>
              <w:rPr>
                <w:b/>
                <w:bCs/>
                <w:color w:val="000000"/>
              </w:rPr>
            </w:pPr>
            <w:r>
              <w:rPr>
                <w:rFonts w:hint="eastAsia"/>
                <w:b/>
                <w:bCs/>
                <w:color w:val="000000"/>
              </w:rPr>
              <w:t>废气</w:t>
            </w:r>
            <w:r>
              <w:rPr>
                <w:b/>
                <w:bCs/>
                <w:color w:val="000000"/>
              </w:rPr>
              <w:t>污染源强核算过程：</w:t>
            </w:r>
          </w:p>
          <w:p>
            <w:pPr>
              <w:ind w:firstLine="480"/>
              <w:rPr>
                <w:color w:val="000000"/>
              </w:rPr>
            </w:pPr>
            <w:r>
              <w:rPr>
                <w:rFonts w:hint="eastAsia"/>
                <w:color w:val="000000"/>
              </w:rPr>
              <w:t>项目废气污染源为：前/后副车架生产过程中产生的焊接废气，主要污染物为：颗粒物、锡及其化合物。前副车架焊接废气（G1）、后副车架焊接废气（G2）经密闭焊</w:t>
            </w:r>
            <w:r>
              <w:rPr>
                <w:rFonts w:hint="eastAsia"/>
                <w:color w:val="000000"/>
                <w:lang w:val="en-US" w:eastAsia="zh-CN"/>
              </w:rPr>
              <w:t>接</w:t>
            </w:r>
            <w:r>
              <w:rPr>
                <w:rFonts w:hint="eastAsia"/>
                <w:color w:val="000000"/>
              </w:rPr>
              <w:t>房顶部集气装置收集（焊</w:t>
            </w:r>
            <w:r>
              <w:rPr>
                <w:rFonts w:hint="eastAsia"/>
                <w:color w:val="000000"/>
                <w:lang w:val="en-US" w:eastAsia="zh-CN"/>
              </w:rPr>
              <w:t>接</w:t>
            </w:r>
            <w:r>
              <w:rPr>
                <w:rFonts w:hint="eastAsia"/>
                <w:color w:val="000000"/>
              </w:rPr>
              <w:t>房为密闭房体，收集效率取90%）后，各由1套布袋除尘装置处理（处理效率取99%），再分别经过2根15m高排气筒（DA001、DA002）排放。</w:t>
            </w:r>
          </w:p>
          <w:p>
            <w:pPr>
              <w:ind w:firstLine="480"/>
              <w:rPr>
                <w:color w:val="000000"/>
              </w:rPr>
            </w:pPr>
            <w:r>
              <w:rPr>
                <w:rFonts w:hint="eastAsia"/>
                <w:color w:val="000000"/>
              </w:rPr>
              <w:t>①DA001排气筒（前副车架焊接废气）</w:t>
            </w:r>
          </w:p>
          <w:p>
            <w:pPr>
              <w:ind w:firstLine="480"/>
              <w:rPr>
                <w:color w:val="000000"/>
              </w:rPr>
            </w:pPr>
            <w:r>
              <w:rPr>
                <w:rFonts w:hint="eastAsia"/>
                <w:color w:val="000000"/>
              </w:rPr>
              <w:t>1）颗粒物</w:t>
            </w:r>
          </w:p>
          <w:p>
            <w:pPr>
              <w:ind w:firstLine="480"/>
              <w:rPr>
                <w:color w:val="000000"/>
              </w:rPr>
            </w:pPr>
            <w:r>
              <w:rPr>
                <w:rFonts w:hint="eastAsia"/>
                <w:color w:val="000000"/>
              </w:rPr>
              <w:t>无铅焊丝焊接产污情况根据《第二次全国污染源普查产排污核算方法和系数手册（发布稿）》中“33-37、431-434机械行业系数手册”中“09 焊接”，实芯焊丝在焊接过程中产生的颗粒物产污系数为9.19kg/t-原料，前副车架和后副车架焊接过程中使用的焊材占比约为2：1，扩建项目无铅焊丝年用量为</w:t>
            </w:r>
            <w:r>
              <w:rPr>
                <w:rFonts w:hint="eastAsia"/>
                <w:color w:val="000000"/>
                <w:lang w:val="en-US" w:eastAsia="zh-CN"/>
              </w:rPr>
              <w:t>5</w:t>
            </w:r>
            <w:r>
              <w:rPr>
                <w:rFonts w:hint="eastAsia"/>
                <w:color w:val="000000"/>
              </w:rPr>
              <w:t>t，则前副车架焊接过程中焊丝用量约为</w:t>
            </w:r>
            <w:r>
              <w:rPr>
                <w:rFonts w:hint="eastAsia"/>
                <w:color w:val="000000"/>
                <w:lang w:val="en-US" w:eastAsia="zh-CN"/>
              </w:rPr>
              <w:t>3.33</w:t>
            </w:r>
            <w:r>
              <w:rPr>
                <w:rFonts w:hint="eastAsia"/>
                <w:color w:val="000000"/>
              </w:rPr>
              <w:t>t/a，颗粒物产生量为</w:t>
            </w:r>
            <w:r>
              <w:rPr>
                <w:rFonts w:hint="eastAsia"/>
                <w:color w:val="000000"/>
                <w:lang w:val="en-US" w:eastAsia="zh-CN"/>
              </w:rPr>
              <w:t>30.603</w:t>
            </w:r>
            <w:r>
              <w:rPr>
                <w:rFonts w:hint="eastAsia"/>
                <w:color w:val="000000"/>
              </w:rPr>
              <w:t>kg/a；经收集处理后有组织废气颗粒物排放量为</w:t>
            </w:r>
            <w:r>
              <w:rPr>
                <w:rFonts w:hint="eastAsia"/>
                <w:color w:val="000000"/>
                <w:lang w:val="en-US" w:eastAsia="zh-CN"/>
              </w:rPr>
              <w:t>0.275</w:t>
            </w:r>
            <w:r>
              <w:rPr>
                <w:rFonts w:hint="eastAsia"/>
                <w:color w:val="000000"/>
              </w:rPr>
              <w:t>kg/a（0.00006kg/h，0.003mg/m</w:t>
            </w:r>
            <w:r>
              <w:rPr>
                <w:rFonts w:hint="eastAsia"/>
                <w:color w:val="000000"/>
                <w:vertAlign w:val="superscript"/>
              </w:rPr>
              <w:t>3</w:t>
            </w:r>
            <w:r>
              <w:rPr>
                <w:rFonts w:hint="eastAsia"/>
                <w:color w:val="000000"/>
              </w:rPr>
              <w:t>），无组织废气颗粒物排放量为</w:t>
            </w:r>
            <w:r>
              <w:rPr>
                <w:rFonts w:hint="eastAsia"/>
                <w:color w:val="000000"/>
                <w:lang w:val="en-US" w:eastAsia="zh-CN"/>
              </w:rPr>
              <w:t>3.060</w:t>
            </w:r>
            <w:r>
              <w:rPr>
                <w:rFonts w:hint="eastAsia"/>
                <w:color w:val="000000"/>
              </w:rPr>
              <w:t>kg/a。</w:t>
            </w:r>
          </w:p>
          <w:p>
            <w:pPr>
              <w:ind w:firstLine="480"/>
              <w:rPr>
                <w:color w:val="000000"/>
              </w:rPr>
            </w:pPr>
            <w:r>
              <w:rPr>
                <w:rFonts w:hint="eastAsia"/>
                <w:color w:val="000000"/>
              </w:rPr>
              <w:t>2）锡及其化合物</w:t>
            </w:r>
          </w:p>
          <w:p>
            <w:pPr>
              <w:ind w:firstLine="480"/>
              <w:rPr>
                <w:color w:val="000000"/>
              </w:rPr>
            </w:pPr>
            <w:r>
              <w:rPr>
                <w:rFonts w:hint="eastAsia"/>
                <w:color w:val="000000"/>
              </w:rPr>
              <w:t>无铅焊丝中含有锡，在焊接过程中会产生锡及其化合物，根据企业提供资料，无铅焊丝中锡占比</w:t>
            </w:r>
            <w:r>
              <w:rPr>
                <w:color w:val="000000"/>
              </w:rPr>
              <w:t>&gt;</w:t>
            </w:r>
            <w:r>
              <w:rPr>
                <w:rFonts w:hint="eastAsia"/>
                <w:color w:val="000000"/>
              </w:rPr>
              <w:t>90%，本次评价以90%计，则锡及其化合物的产生量为</w:t>
            </w:r>
            <w:r>
              <w:rPr>
                <w:rFonts w:hint="eastAsia"/>
                <w:color w:val="000000"/>
                <w:lang w:val="en-US" w:eastAsia="zh-CN"/>
              </w:rPr>
              <w:t>30.603</w:t>
            </w:r>
            <w:r>
              <w:rPr>
                <w:rFonts w:hint="eastAsia"/>
                <w:color w:val="000000"/>
              </w:rPr>
              <w:t>kg/a</w:t>
            </w:r>
            <w:r>
              <w:rPr>
                <w:rFonts w:ascii="Arial" w:hAnsi="Arial" w:cs="Arial"/>
                <w:color w:val="000000"/>
              </w:rPr>
              <w:t>×</w:t>
            </w:r>
            <w:r>
              <w:rPr>
                <w:rFonts w:hint="eastAsia"/>
                <w:color w:val="000000"/>
              </w:rPr>
              <w:t>90%=</w:t>
            </w:r>
            <w:r>
              <w:rPr>
                <w:rFonts w:hint="eastAsia"/>
                <w:color w:val="000000"/>
                <w:lang w:val="en-US" w:eastAsia="zh-CN"/>
              </w:rPr>
              <w:t>27.542</w:t>
            </w:r>
            <w:r>
              <w:rPr>
                <w:rFonts w:hint="eastAsia"/>
                <w:color w:val="000000"/>
              </w:rPr>
              <w:t>t/a，经收集处理后有组织废气锡及其化合物排放量为</w:t>
            </w:r>
            <w:r>
              <w:rPr>
                <w:rFonts w:hint="eastAsia"/>
                <w:color w:val="000000"/>
                <w:lang w:val="en-US" w:eastAsia="zh-CN"/>
              </w:rPr>
              <w:t>0.248</w:t>
            </w:r>
            <w:r>
              <w:rPr>
                <w:rFonts w:hint="eastAsia"/>
                <w:color w:val="000000"/>
              </w:rPr>
              <w:t>kg/a（0.00006kg/h，0.003mg/m</w:t>
            </w:r>
            <w:r>
              <w:rPr>
                <w:rFonts w:hint="eastAsia"/>
                <w:color w:val="000000"/>
                <w:vertAlign w:val="superscript"/>
              </w:rPr>
              <w:t>3</w:t>
            </w:r>
            <w:r>
              <w:rPr>
                <w:rFonts w:hint="eastAsia"/>
                <w:color w:val="000000"/>
              </w:rPr>
              <w:t>），无组织废气锡及其化合物排放量为</w:t>
            </w:r>
            <w:r>
              <w:rPr>
                <w:rFonts w:hint="eastAsia"/>
                <w:color w:val="000000"/>
                <w:lang w:val="en-US" w:eastAsia="zh-CN"/>
              </w:rPr>
              <w:t>2.754</w:t>
            </w:r>
            <w:r>
              <w:rPr>
                <w:rFonts w:hint="eastAsia"/>
                <w:color w:val="000000"/>
              </w:rPr>
              <w:t>kg/a。</w:t>
            </w:r>
          </w:p>
          <w:p>
            <w:pPr>
              <w:ind w:firstLine="480"/>
              <w:rPr>
                <w:color w:val="000000"/>
              </w:rPr>
            </w:pPr>
            <w:r>
              <w:rPr>
                <w:rFonts w:hint="eastAsia"/>
                <w:color w:val="000000"/>
              </w:rPr>
              <w:t>②DA002排气筒（后副车架焊接废气）</w:t>
            </w:r>
          </w:p>
          <w:p>
            <w:pPr>
              <w:ind w:firstLine="480"/>
              <w:rPr>
                <w:color w:val="000000"/>
              </w:rPr>
            </w:pPr>
            <w:r>
              <w:rPr>
                <w:rFonts w:hint="eastAsia"/>
                <w:color w:val="000000"/>
              </w:rPr>
              <w:t>1）颗粒物</w:t>
            </w:r>
          </w:p>
          <w:p>
            <w:pPr>
              <w:ind w:firstLine="480"/>
              <w:rPr>
                <w:color w:val="000000"/>
              </w:rPr>
            </w:pPr>
            <w:r>
              <w:rPr>
                <w:rFonts w:hint="eastAsia"/>
                <w:color w:val="000000"/>
              </w:rPr>
              <w:t>后副车架焊接过程中无铅焊丝焊接产生的颗粒物产污系数与前副车架焊接废气一致，后副车架焊接过程中焊丝用量约为</w:t>
            </w:r>
            <w:r>
              <w:rPr>
                <w:rFonts w:hint="eastAsia"/>
                <w:color w:val="000000"/>
                <w:lang w:val="en-US" w:eastAsia="zh-CN"/>
              </w:rPr>
              <w:t>1.67</w:t>
            </w:r>
            <w:r>
              <w:rPr>
                <w:rFonts w:hint="eastAsia"/>
                <w:color w:val="000000"/>
              </w:rPr>
              <w:t>t/a，颗粒物产生量为</w:t>
            </w:r>
            <w:r>
              <w:rPr>
                <w:rFonts w:hint="eastAsia"/>
                <w:color w:val="000000"/>
                <w:lang w:val="en-US" w:eastAsia="zh-CN"/>
              </w:rPr>
              <w:t>15.347</w:t>
            </w:r>
            <w:r>
              <w:rPr>
                <w:rFonts w:hint="eastAsia"/>
                <w:color w:val="000000"/>
              </w:rPr>
              <w:t>kg/a；经收集处理后有组织废气颗粒物排放量为</w:t>
            </w:r>
            <w:r>
              <w:rPr>
                <w:rFonts w:hint="eastAsia"/>
                <w:color w:val="000000"/>
                <w:lang w:val="en-US" w:eastAsia="zh-CN"/>
              </w:rPr>
              <w:t>0.138</w:t>
            </w:r>
            <w:r>
              <w:rPr>
                <w:rFonts w:hint="eastAsia"/>
                <w:color w:val="000000"/>
              </w:rPr>
              <w:t>kg/a（0.00003kg/h，0.002mg/m</w:t>
            </w:r>
            <w:r>
              <w:rPr>
                <w:rFonts w:hint="eastAsia"/>
                <w:color w:val="000000"/>
                <w:vertAlign w:val="superscript"/>
              </w:rPr>
              <w:t>3</w:t>
            </w:r>
            <w:r>
              <w:rPr>
                <w:rFonts w:hint="eastAsia"/>
                <w:color w:val="000000"/>
              </w:rPr>
              <w:t>），无组织废气颗粒物排放量为</w:t>
            </w:r>
            <w:r>
              <w:rPr>
                <w:rFonts w:hint="eastAsia"/>
                <w:color w:val="000000"/>
                <w:lang w:val="en-US" w:eastAsia="zh-CN"/>
              </w:rPr>
              <w:t>1.535</w:t>
            </w:r>
            <w:r>
              <w:rPr>
                <w:rFonts w:hint="eastAsia"/>
                <w:color w:val="000000"/>
              </w:rPr>
              <w:t>kg/a。</w:t>
            </w:r>
          </w:p>
          <w:p>
            <w:pPr>
              <w:ind w:firstLine="480"/>
              <w:rPr>
                <w:color w:val="000000"/>
              </w:rPr>
            </w:pPr>
            <w:r>
              <w:rPr>
                <w:rFonts w:hint="eastAsia"/>
                <w:color w:val="000000"/>
              </w:rPr>
              <w:t>2）锡及其化合物</w:t>
            </w:r>
          </w:p>
          <w:p>
            <w:pPr>
              <w:ind w:firstLine="480"/>
              <w:rPr>
                <w:color w:val="000000"/>
              </w:rPr>
            </w:pPr>
            <w:r>
              <w:rPr>
                <w:rFonts w:hint="eastAsia"/>
                <w:color w:val="000000"/>
              </w:rPr>
              <w:t>无铅焊丝中含有锡（锡占比</w:t>
            </w:r>
            <w:r>
              <w:rPr>
                <w:color w:val="000000"/>
              </w:rPr>
              <w:t>&gt;</w:t>
            </w:r>
            <w:r>
              <w:rPr>
                <w:rFonts w:hint="eastAsia"/>
                <w:color w:val="000000"/>
              </w:rPr>
              <w:t>90%，本次评价以90%计），在后副车架焊接过程中产生的锡及其化合物，产生量为</w:t>
            </w:r>
            <w:r>
              <w:rPr>
                <w:rFonts w:hint="eastAsia"/>
                <w:color w:val="000000"/>
                <w:lang w:val="en-US" w:eastAsia="zh-CN"/>
              </w:rPr>
              <w:t>15.347</w:t>
            </w:r>
            <w:r>
              <w:rPr>
                <w:rFonts w:hint="eastAsia"/>
                <w:color w:val="000000"/>
              </w:rPr>
              <w:t>kg/a</w:t>
            </w:r>
            <w:r>
              <w:rPr>
                <w:rFonts w:ascii="Arial" w:hAnsi="Arial" w:cs="Arial"/>
                <w:color w:val="000000"/>
              </w:rPr>
              <w:t>×</w:t>
            </w:r>
            <w:r>
              <w:rPr>
                <w:rFonts w:hint="eastAsia"/>
                <w:color w:val="000000"/>
              </w:rPr>
              <w:t>90%=</w:t>
            </w:r>
            <w:r>
              <w:rPr>
                <w:rFonts w:hint="eastAsia"/>
                <w:color w:val="000000"/>
                <w:lang w:val="en-US" w:eastAsia="zh-CN"/>
              </w:rPr>
              <w:t>13.813</w:t>
            </w:r>
            <w:r>
              <w:rPr>
                <w:rFonts w:hint="eastAsia"/>
                <w:color w:val="000000"/>
              </w:rPr>
              <w:t>t/a，经收集处理后有组织废气锡及其化合物排放量为</w:t>
            </w:r>
            <w:r>
              <w:rPr>
                <w:rFonts w:hint="eastAsia"/>
                <w:color w:val="000000"/>
                <w:lang w:val="en-US" w:eastAsia="zh-CN"/>
              </w:rPr>
              <w:t>0.138</w:t>
            </w:r>
            <w:r>
              <w:rPr>
                <w:rFonts w:hint="eastAsia"/>
                <w:color w:val="000000"/>
              </w:rPr>
              <w:t>kg/a（0.00003kg/h，0.002mg/m</w:t>
            </w:r>
            <w:r>
              <w:rPr>
                <w:rFonts w:hint="eastAsia"/>
                <w:color w:val="000000"/>
                <w:vertAlign w:val="superscript"/>
              </w:rPr>
              <w:t>3</w:t>
            </w:r>
            <w:r>
              <w:rPr>
                <w:rFonts w:hint="eastAsia"/>
                <w:color w:val="000000"/>
              </w:rPr>
              <w:t>），无组织废气锡及其化合物排放量为</w:t>
            </w:r>
            <w:r>
              <w:rPr>
                <w:rFonts w:hint="eastAsia"/>
                <w:color w:val="000000"/>
                <w:lang w:val="en-US" w:eastAsia="zh-CN"/>
              </w:rPr>
              <w:t>0.124</w:t>
            </w:r>
            <w:r>
              <w:rPr>
                <w:rFonts w:hint="eastAsia"/>
                <w:color w:val="000000"/>
              </w:rPr>
              <w:t>kg/a。</w:t>
            </w:r>
          </w:p>
          <w:p>
            <w:pPr>
              <w:ind w:firstLine="480"/>
              <w:rPr>
                <w:color w:val="000000"/>
              </w:rPr>
            </w:pPr>
            <w:r>
              <w:rPr>
                <w:rFonts w:hint="eastAsia"/>
                <w:color w:val="000000"/>
              </w:rPr>
              <w:t>③无组织废气</w:t>
            </w:r>
          </w:p>
          <w:p>
            <w:pPr>
              <w:ind w:firstLine="480"/>
              <w:rPr>
                <w:color w:val="000000"/>
              </w:rPr>
            </w:pPr>
            <w:r>
              <w:rPr>
                <w:rFonts w:hint="eastAsia"/>
                <w:color w:val="000000"/>
              </w:rPr>
              <w:t>焊接废气中未被有效收集的部分作无组织排放，由上述分析可知，未被收集的无组织废气颗粒物排放量为</w:t>
            </w:r>
            <w:r>
              <w:rPr>
                <w:rFonts w:hint="eastAsia"/>
                <w:color w:val="000000"/>
                <w:lang w:val="en-US" w:eastAsia="zh-CN"/>
              </w:rPr>
              <w:t>4.595</w:t>
            </w:r>
            <w:r>
              <w:rPr>
                <w:rFonts w:hint="eastAsia"/>
                <w:color w:val="000000"/>
              </w:rPr>
              <w:t>kg/a（0.001kg/h），锡及其化合物排放量为</w:t>
            </w:r>
            <w:r>
              <w:rPr>
                <w:rFonts w:hint="eastAsia"/>
                <w:color w:val="000000"/>
                <w:lang w:val="en-US" w:eastAsia="zh-CN"/>
              </w:rPr>
              <w:t>4.136</w:t>
            </w:r>
            <w:r>
              <w:rPr>
                <w:rFonts w:hint="eastAsia"/>
                <w:color w:val="000000"/>
              </w:rPr>
              <w:t>kg/a（0.001kg/h）。</w:t>
            </w:r>
          </w:p>
          <w:p>
            <w:pPr>
              <w:widowControl/>
              <w:ind w:firstLine="482"/>
              <w:jc w:val="left"/>
              <w:rPr>
                <w:color w:val="000000"/>
              </w:rPr>
            </w:pPr>
            <w:r>
              <w:rPr>
                <w:rFonts w:hint="eastAsia"/>
                <w:b/>
                <w:bCs/>
                <w:color w:val="000000"/>
              </w:rPr>
              <w:t>2</w:t>
            </w:r>
            <w:r>
              <w:rPr>
                <w:b/>
                <w:bCs/>
                <w:color w:val="000000"/>
              </w:rPr>
              <w:t>、废气治理设施可行性分析</w:t>
            </w:r>
          </w:p>
          <w:p>
            <w:pPr>
              <w:adjustRightInd w:val="0"/>
              <w:snapToGrid w:val="0"/>
              <w:ind w:firstLine="480"/>
              <w:jc w:val="left"/>
              <w:rPr>
                <w:color w:val="000000"/>
              </w:rPr>
            </w:pPr>
            <w:r>
              <w:rPr>
                <w:rFonts w:hint="eastAsia"/>
                <w:color w:val="000000"/>
              </w:rPr>
              <w:t>根据《排污许可证申请与核发技术规范 汽车制造业》（HJ971-2018），焊接过程产生颗粒物的污染防治可行技术为袋式过滤、静电净化等。</w:t>
            </w:r>
            <w:r>
              <w:rPr>
                <w:rFonts w:hint="eastAsia" w:cs="宋体"/>
                <w:color w:val="000000"/>
              </w:rPr>
              <w:t>项目焊接工序产生的焊接废气经焊</w:t>
            </w:r>
            <w:r>
              <w:rPr>
                <w:rFonts w:hint="eastAsia" w:cs="宋体"/>
                <w:color w:val="000000"/>
                <w:lang w:val="en-US" w:eastAsia="zh-CN"/>
              </w:rPr>
              <w:t>接</w:t>
            </w:r>
            <w:r>
              <w:rPr>
                <w:rFonts w:hint="eastAsia" w:cs="宋体"/>
                <w:color w:val="000000"/>
              </w:rPr>
              <w:t>房密闭收集后经布袋除尘器处理，各污染物均可达标排放。</w:t>
            </w:r>
            <w:r>
              <w:rPr>
                <w:rFonts w:hint="eastAsia"/>
                <w:color w:val="000000"/>
              </w:rPr>
              <w:t>布袋除尘器：</w:t>
            </w:r>
            <w:r>
              <w:rPr>
                <w:color w:val="000000"/>
              </w:rPr>
              <w:t>含尘烟气通过过滤材料，尘粒被过滤下来，过滤材料捕集粗粒粉尘主要靠惯性碰撞作用，捕集细粒粉尘主要靠扩散和筛分作用。</w:t>
            </w:r>
          </w:p>
          <w:p>
            <w:pPr>
              <w:ind w:firstLine="480"/>
              <w:rPr>
                <w:color w:val="000000"/>
              </w:rPr>
            </w:pPr>
            <w:r>
              <w:rPr>
                <w:rFonts w:hint="eastAsia"/>
                <w:color w:val="000000"/>
              </w:rPr>
              <w:t>综上所述，项目废气处理设施均为可行技术。</w:t>
            </w:r>
          </w:p>
          <w:p>
            <w:pPr>
              <w:adjustRightInd w:val="0"/>
              <w:snapToGrid w:val="0"/>
              <w:ind w:firstLine="482"/>
              <w:rPr>
                <w:b/>
                <w:bCs/>
                <w:color w:val="000000"/>
              </w:rPr>
            </w:pPr>
            <w:r>
              <w:rPr>
                <w:rFonts w:hint="eastAsia"/>
                <w:b/>
                <w:bCs/>
                <w:color w:val="000000"/>
              </w:rPr>
              <w:t>3</w:t>
            </w:r>
            <w:r>
              <w:rPr>
                <w:b/>
                <w:bCs/>
                <w:color w:val="000000"/>
              </w:rPr>
              <w:t>、废气环境影响分析</w:t>
            </w:r>
          </w:p>
          <w:p>
            <w:pPr>
              <w:ind w:firstLine="480"/>
              <w:rPr>
                <w:color w:val="000000"/>
              </w:rPr>
            </w:pPr>
            <w:r>
              <w:rPr>
                <w:rFonts w:hint="eastAsia"/>
                <w:color w:val="000000"/>
              </w:rPr>
              <w:t>根据表4-1，项目产生的前副车架焊接废气（颗粒物、锡及其化合物）、后副车架焊接废气（颗粒物、锡及其化合物）分别经密闭焊</w:t>
            </w:r>
            <w:r>
              <w:rPr>
                <w:rFonts w:hint="eastAsia"/>
                <w:color w:val="000000"/>
                <w:lang w:val="en-US" w:eastAsia="zh-CN"/>
              </w:rPr>
              <w:t>接</w:t>
            </w:r>
            <w:r>
              <w:rPr>
                <w:rFonts w:hint="eastAsia"/>
                <w:color w:val="000000"/>
              </w:rPr>
              <w:t>房收集进入布袋除尘器处理装置分别处理后，再由2根15m高排气筒（DA001、DA002）排放，有组织废气颗粒物、锡及其化合物的排放浓度和排放速率均可满足《大气污染物综合排放标准》（GB16297-1996）表2中二级标准要求（排放速率标准值按严格50%执行）。</w:t>
            </w:r>
          </w:p>
          <w:p>
            <w:pPr>
              <w:adjustRightInd w:val="0"/>
              <w:snapToGrid w:val="0"/>
              <w:ind w:firstLine="480"/>
              <w:rPr>
                <w:color w:val="000000"/>
              </w:rPr>
            </w:pPr>
            <w:r>
              <w:rPr>
                <w:bCs/>
                <w:color w:val="000000"/>
              </w:rPr>
              <w:t>为防止废气事故排放，企业应在生产过程中加强管理，一旦废气治理系统故障，立即停产检修，防止事故废气排放。同时</w:t>
            </w:r>
            <w:r>
              <w:rPr>
                <w:rFonts w:hint="eastAsia"/>
                <w:bCs/>
                <w:color w:val="000000"/>
              </w:rPr>
              <w:t>，企业应</w:t>
            </w:r>
            <w:r>
              <w:rPr>
                <w:bCs/>
                <w:color w:val="000000"/>
              </w:rPr>
              <w:t>加强生产管理，根据设备性质和要求做相应的点检和检修，预防</w:t>
            </w:r>
            <w:r>
              <w:rPr>
                <w:rFonts w:hint="eastAsia"/>
                <w:bCs/>
                <w:color w:val="000000"/>
              </w:rPr>
              <w:t>事故的发生</w:t>
            </w:r>
            <w:r>
              <w:rPr>
                <w:color w:val="000000"/>
              </w:rPr>
              <w:t>。</w:t>
            </w:r>
          </w:p>
          <w:p>
            <w:pPr>
              <w:adjustRightInd w:val="0"/>
              <w:snapToGrid w:val="0"/>
              <w:ind w:firstLine="480"/>
              <w:rPr>
                <w:color w:val="000000"/>
              </w:rPr>
            </w:pPr>
            <w:r>
              <w:rPr>
                <w:rFonts w:hint="eastAsia"/>
                <w:color w:val="000000"/>
              </w:rPr>
              <w:t>在企业妥善管理的前提下，项目外排废气经过处理后可达标排放，对环境影响较小。</w:t>
            </w:r>
          </w:p>
          <w:p>
            <w:pPr>
              <w:adjustRightInd w:val="0"/>
              <w:snapToGrid w:val="0"/>
              <w:ind w:firstLine="482"/>
              <w:rPr>
                <w:b/>
                <w:bCs/>
                <w:color w:val="000000"/>
              </w:rPr>
            </w:pPr>
            <w:r>
              <w:rPr>
                <w:rFonts w:hint="eastAsia"/>
                <w:b/>
                <w:bCs/>
                <w:color w:val="000000"/>
              </w:rPr>
              <w:t>4、</w:t>
            </w:r>
            <w:r>
              <w:rPr>
                <w:b/>
                <w:bCs/>
                <w:color w:val="000000"/>
              </w:rPr>
              <w:t>废气监测要求</w:t>
            </w:r>
          </w:p>
          <w:p>
            <w:pPr>
              <w:ind w:firstLine="480"/>
              <w:rPr>
                <w:color w:val="000000"/>
              </w:rPr>
            </w:pPr>
            <w:r>
              <w:rPr>
                <w:rFonts w:hint="eastAsia"/>
                <w:color w:val="000000"/>
              </w:rPr>
              <w:t>根据《排污许可证申请与核发技术规范 汽车制造业》（HJ971-2018）、《排污许可证申请与核发技术规范 总则》（HJ942-2018），项目废气自行监测管理要求如下：</w:t>
            </w:r>
          </w:p>
          <w:p>
            <w:pPr>
              <w:pStyle w:val="38"/>
              <w:rPr>
                <w:color w:val="000000"/>
                <w:szCs w:val="24"/>
              </w:rPr>
            </w:pPr>
          </w:p>
          <w:p>
            <w:pPr>
              <w:pStyle w:val="38"/>
              <w:rPr>
                <w:color w:val="000000"/>
                <w:szCs w:val="24"/>
              </w:rPr>
            </w:pPr>
          </w:p>
          <w:p>
            <w:pPr>
              <w:pStyle w:val="38"/>
              <w:rPr>
                <w:color w:val="000000"/>
                <w:szCs w:val="24"/>
              </w:rPr>
            </w:pPr>
          </w:p>
          <w:p>
            <w:pPr>
              <w:pStyle w:val="38"/>
              <w:rPr>
                <w:color w:val="000000"/>
                <w:szCs w:val="24"/>
              </w:rPr>
            </w:pPr>
            <w:r>
              <w:rPr>
                <w:color w:val="000000"/>
                <w:szCs w:val="24"/>
              </w:rPr>
              <w:t>表4-</w:t>
            </w:r>
            <w:r>
              <w:rPr>
                <w:rFonts w:hint="eastAsia"/>
                <w:color w:val="000000"/>
                <w:szCs w:val="24"/>
              </w:rPr>
              <w:t xml:space="preserve">5  </w:t>
            </w:r>
            <w:r>
              <w:rPr>
                <w:color w:val="000000"/>
                <w:szCs w:val="24"/>
              </w:rPr>
              <w:t>废气监测计划一览表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592"/>
              <w:gridCol w:w="1516"/>
              <w:gridCol w:w="6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Align w:val="center"/>
                </w:tcPr>
                <w:p>
                  <w:pPr>
                    <w:pStyle w:val="37"/>
                    <w:rPr>
                      <w:b/>
                      <w:bCs/>
                      <w:color w:val="000000"/>
                      <w:kern w:val="2"/>
                      <w:szCs w:val="24"/>
                    </w:rPr>
                  </w:pPr>
                  <w:r>
                    <w:rPr>
                      <w:b/>
                      <w:bCs/>
                      <w:color w:val="000000"/>
                      <w:kern w:val="2"/>
                      <w:szCs w:val="24"/>
                    </w:rPr>
                    <w:t>监测点位</w:t>
                  </w:r>
                </w:p>
              </w:tc>
              <w:tc>
                <w:tcPr>
                  <w:tcW w:w="1078" w:type="pct"/>
                  <w:vAlign w:val="center"/>
                </w:tcPr>
                <w:p>
                  <w:pPr>
                    <w:pStyle w:val="37"/>
                    <w:rPr>
                      <w:b/>
                      <w:bCs/>
                      <w:color w:val="000000"/>
                      <w:kern w:val="2"/>
                      <w:szCs w:val="24"/>
                    </w:rPr>
                  </w:pPr>
                  <w:r>
                    <w:rPr>
                      <w:b/>
                      <w:bCs/>
                      <w:color w:val="000000"/>
                      <w:kern w:val="2"/>
                      <w:szCs w:val="24"/>
                    </w:rPr>
                    <w:t>监测指标</w:t>
                  </w:r>
                </w:p>
              </w:tc>
              <w:tc>
                <w:tcPr>
                  <w:tcW w:w="631" w:type="pct"/>
                  <w:vAlign w:val="center"/>
                </w:tcPr>
                <w:p>
                  <w:pPr>
                    <w:pStyle w:val="37"/>
                    <w:rPr>
                      <w:b/>
                      <w:bCs/>
                      <w:color w:val="000000"/>
                      <w:kern w:val="2"/>
                      <w:szCs w:val="24"/>
                    </w:rPr>
                  </w:pPr>
                  <w:r>
                    <w:rPr>
                      <w:b/>
                      <w:bCs/>
                      <w:color w:val="000000"/>
                      <w:kern w:val="2"/>
                      <w:szCs w:val="24"/>
                    </w:rPr>
                    <w:t>监测频次</w:t>
                  </w:r>
                </w:p>
              </w:tc>
              <w:tc>
                <w:tcPr>
                  <w:tcW w:w="2578" w:type="pct"/>
                  <w:vAlign w:val="center"/>
                </w:tcPr>
                <w:p>
                  <w:pPr>
                    <w:pStyle w:val="37"/>
                    <w:rPr>
                      <w:b/>
                      <w:bCs/>
                      <w:color w:val="000000"/>
                      <w:kern w:val="2"/>
                      <w:szCs w:val="24"/>
                    </w:rPr>
                  </w:pPr>
                  <w:r>
                    <w:rPr>
                      <w:b/>
                      <w:bCs/>
                      <w:color w:val="000000"/>
                      <w:kern w:val="2"/>
                      <w:szCs w:val="24"/>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Align w:val="center"/>
                </w:tcPr>
                <w:p>
                  <w:pPr>
                    <w:pStyle w:val="37"/>
                    <w:rPr>
                      <w:color w:val="000000"/>
                      <w:kern w:val="2"/>
                      <w:szCs w:val="24"/>
                    </w:rPr>
                  </w:pPr>
                  <w:r>
                    <w:rPr>
                      <w:rFonts w:hint="eastAsia"/>
                      <w:color w:val="000000"/>
                      <w:kern w:val="2"/>
                      <w:szCs w:val="24"/>
                    </w:rPr>
                    <w:t>DA001、DA002</w:t>
                  </w:r>
                </w:p>
              </w:tc>
              <w:tc>
                <w:tcPr>
                  <w:tcW w:w="1078" w:type="pct"/>
                  <w:vAlign w:val="center"/>
                </w:tcPr>
                <w:p>
                  <w:pPr>
                    <w:pStyle w:val="37"/>
                    <w:rPr>
                      <w:color w:val="000000"/>
                      <w:kern w:val="2"/>
                      <w:szCs w:val="24"/>
                    </w:rPr>
                  </w:pPr>
                  <w:r>
                    <w:rPr>
                      <w:rFonts w:hint="eastAsia"/>
                      <w:color w:val="000000"/>
                      <w:kern w:val="2"/>
                      <w:szCs w:val="24"/>
                    </w:rPr>
                    <w:t>颗粒物、锡及其化合物</w:t>
                  </w:r>
                </w:p>
              </w:tc>
              <w:tc>
                <w:tcPr>
                  <w:tcW w:w="631" w:type="pct"/>
                  <w:vAlign w:val="center"/>
                </w:tcPr>
                <w:p>
                  <w:pPr>
                    <w:pStyle w:val="37"/>
                    <w:rPr>
                      <w:color w:val="000000"/>
                      <w:kern w:val="2"/>
                      <w:szCs w:val="24"/>
                    </w:rPr>
                  </w:pPr>
                  <w:r>
                    <w:rPr>
                      <w:color w:val="000000"/>
                      <w:kern w:val="2"/>
                      <w:szCs w:val="24"/>
                    </w:rPr>
                    <w:t>1次/</w:t>
                  </w:r>
                  <w:r>
                    <w:rPr>
                      <w:rFonts w:hint="eastAsia"/>
                      <w:color w:val="000000"/>
                      <w:kern w:val="2"/>
                      <w:szCs w:val="24"/>
                    </w:rPr>
                    <w:t>年</w:t>
                  </w:r>
                </w:p>
              </w:tc>
              <w:tc>
                <w:tcPr>
                  <w:tcW w:w="2578" w:type="pct"/>
                  <w:vMerge w:val="restart"/>
                  <w:vAlign w:val="center"/>
                </w:tcPr>
                <w:p>
                  <w:pPr>
                    <w:pStyle w:val="37"/>
                    <w:rPr>
                      <w:color w:val="000000"/>
                      <w:kern w:val="2"/>
                      <w:szCs w:val="24"/>
                    </w:rPr>
                  </w:pPr>
                  <w:r>
                    <w:rPr>
                      <w:rFonts w:hint="eastAsia"/>
                      <w:color w:val="000000"/>
                      <w:kern w:val="2"/>
                      <w:szCs w:val="24"/>
                    </w:rPr>
                    <w:t>《大气污染物综合排放标准》（GB16297-1996）表2中二级标准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vAlign w:val="center"/>
                </w:tcPr>
                <w:p>
                  <w:pPr>
                    <w:pStyle w:val="37"/>
                    <w:rPr>
                      <w:color w:val="000000"/>
                      <w:kern w:val="2"/>
                      <w:szCs w:val="24"/>
                    </w:rPr>
                  </w:pPr>
                  <w:r>
                    <w:rPr>
                      <w:rFonts w:hint="eastAsia"/>
                      <w:color w:val="000000"/>
                      <w:kern w:val="2"/>
                      <w:szCs w:val="24"/>
                    </w:rPr>
                    <w:t>厂界</w:t>
                  </w:r>
                </w:p>
              </w:tc>
              <w:tc>
                <w:tcPr>
                  <w:tcW w:w="1078" w:type="pct"/>
                  <w:vAlign w:val="center"/>
                </w:tcPr>
                <w:p>
                  <w:pPr>
                    <w:pStyle w:val="37"/>
                    <w:rPr>
                      <w:color w:val="000000"/>
                      <w:kern w:val="2"/>
                      <w:szCs w:val="24"/>
                    </w:rPr>
                  </w:pPr>
                  <w:r>
                    <w:rPr>
                      <w:rFonts w:hint="eastAsia"/>
                      <w:color w:val="000000"/>
                      <w:kern w:val="2"/>
                      <w:szCs w:val="24"/>
                    </w:rPr>
                    <w:t>颗粒物、锡及其化合物</w:t>
                  </w:r>
                </w:p>
              </w:tc>
              <w:tc>
                <w:tcPr>
                  <w:tcW w:w="631" w:type="pct"/>
                  <w:vAlign w:val="center"/>
                </w:tcPr>
                <w:p>
                  <w:pPr>
                    <w:pStyle w:val="37"/>
                    <w:rPr>
                      <w:color w:val="000000"/>
                      <w:kern w:val="2"/>
                      <w:szCs w:val="24"/>
                    </w:rPr>
                  </w:pPr>
                  <w:r>
                    <w:rPr>
                      <w:color w:val="000000"/>
                      <w:kern w:val="2"/>
                      <w:szCs w:val="24"/>
                    </w:rPr>
                    <w:t>1次/</w:t>
                  </w:r>
                  <w:r>
                    <w:rPr>
                      <w:rFonts w:hint="eastAsia"/>
                      <w:color w:val="000000"/>
                      <w:kern w:val="2"/>
                      <w:szCs w:val="24"/>
                    </w:rPr>
                    <w:t>年</w:t>
                  </w:r>
                </w:p>
              </w:tc>
              <w:tc>
                <w:tcPr>
                  <w:tcW w:w="2578" w:type="pct"/>
                  <w:vMerge w:val="continue"/>
                  <w:vAlign w:val="center"/>
                </w:tcPr>
                <w:p>
                  <w:pPr>
                    <w:pStyle w:val="37"/>
                    <w:rPr>
                      <w:color w:val="000000"/>
                    </w:rPr>
                  </w:pPr>
                </w:p>
              </w:tc>
            </w:tr>
          </w:tbl>
          <w:p>
            <w:pPr>
              <w:adjustRightInd w:val="0"/>
              <w:snapToGrid w:val="0"/>
              <w:ind w:firstLine="482"/>
              <w:rPr>
                <w:b/>
                <w:color w:val="000000"/>
              </w:rPr>
            </w:pPr>
            <w:r>
              <w:rPr>
                <w:b/>
                <w:color w:val="000000"/>
              </w:rPr>
              <w:t>（2）废水</w:t>
            </w:r>
          </w:p>
          <w:p>
            <w:pPr>
              <w:ind w:firstLine="480"/>
              <w:rPr>
                <w:color w:val="000000"/>
              </w:rPr>
            </w:pPr>
            <w:r>
              <w:rPr>
                <w:rFonts w:hint="eastAsia"/>
                <w:color w:val="000000"/>
              </w:rPr>
              <w:t>根据企业提供的资料，本次扩建项目员工均由现有项目岗位人员进行调配，全场不新增人员，则不新增生活污水；同时项目生产设备体型较大，占地较多，项目建成后，焊</w:t>
            </w:r>
            <w:r>
              <w:rPr>
                <w:rFonts w:hint="eastAsia"/>
                <w:color w:val="000000"/>
                <w:lang w:val="en-US" w:eastAsia="zh-CN"/>
              </w:rPr>
              <w:t>接</w:t>
            </w:r>
            <w:r>
              <w:rPr>
                <w:rFonts w:hint="eastAsia"/>
                <w:color w:val="000000"/>
              </w:rPr>
              <w:t>房内空闲空间较少，不适用于地面拖洗的方式进行清洁，且地面主要为焊接过程中产生的焊接粉尘，故本次评价采取地面清扫的方式保持焊</w:t>
            </w:r>
            <w:r>
              <w:rPr>
                <w:rFonts w:hint="eastAsia"/>
                <w:color w:val="000000"/>
                <w:lang w:val="en-US" w:eastAsia="zh-CN"/>
              </w:rPr>
              <w:t>接</w:t>
            </w:r>
            <w:r>
              <w:rPr>
                <w:rFonts w:hint="eastAsia"/>
                <w:color w:val="000000"/>
              </w:rPr>
              <w:t>房的地面整洁，不会产生地面拖洗废水</w:t>
            </w:r>
            <w:r>
              <w:rPr>
                <w:color w:val="000000"/>
              </w:rPr>
              <w:t>。</w:t>
            </w:r>
          </w:p>
          <w:p>
            <w:pPr>
              <w:pStyle w:val="96"/>
              <w:adjustRightInd w:val="0"/>
              <w:snapToGrid w:val="0"/>
              <w:ind w:right="0" w:firstLine="482"/>
              <w:rPr>
                <w:b/>
                <w:color w:val="000000"/>
              </w:rPr>
            </w:pPr>
            <w:r>
              <w:rPr>
                <w:b/>
                <w:color w:val="000000"/>
              </w:rPr>
              <w:t>（3）噪声</w:t>
            </w:r>
          </w:p>
          <w:p>
            <w:pPr>
              <w:pStyle w:val="96"/>
              <w:adjustRightInd w:val="0"/>
              <w:snapToGrid w:val="0"/>
              <w:ind w:right="0" w:firstLine="482"/>
              <w:rPr>
                <w:b/>
                <w:bCs/>
                <w:color w:val="000000"/>
              </w:rPr>
            </w:pPr>
            <w:r>
              <w:rPr>
                <w:b/>
                <w:bCs/>
                <w:color w:val="000000"/>
              </w:rPr>
              <w:t>1、噪声污染源情况</w:t>
            </w:r>
          </w:p>
          <w:p>
            <w:pPr>
              <w:ind w:firstLine="480"/>
              <w:rPr>
                <w:color w:val="000000"/>
              </w:rPr>
            </w:pPr>
            <w:r>
              <w:rPr>
                <w:rFonts w:hint="eastAsia"/>
                <w:color w:val="000000"/>
              </w:rPr>
              <w:t>项目营运期噪声源主要为焊接机器人、手工焊机、除尘设施、液压冲孔机、风机等设备，噪声源强在85-90dB（A）</w:t>
            </w:r>
            <w:r>
              <w:rPr>
                <w:color w:val="000000"/>
              </w:rPr>
              <w:t>。</w:t>
            </w:r>
          </w:p>
          <w:p>
            <w:pPr>
              <w:pStyle w:val="38"/>
              <w:rPr>
                <w:color w:val="000000"/>
                <w:spacing w:val="0"/>
              </w:rPr>
            </w:pPr>
            <w:r>
              <w:rPr>
                <w:color w:val="000000"/>
                <w:spacing w:val="0"/>
              </w:rPr>
              <w:t>表</w:t>
            </w:r>
            <w:r>
              <w:rPr>
                <w:rFonts w:hint="eastAsia"/>
                <w:color w:val="000000"/>
                <w:spacing w:val="0"/>
              </w:rPr>
              <w:t xml:space="preserve">4-9 </w:t>
            </w:r>
            <w:r>
              <w:rPr>
                <w:color w:val="000000"/>
                <w:spacing w:val="0"/>
              </w:rPr>
              <w:t xml:space="preserve"> </w:t>
            </w:r>
            <w:r>
              <w:rPr>
                <w:rFonts w:hint="eastAsia"/>
                <w:color w:val="000000"/>
                <w:spacing w:val="0"/>
              </w:rPr>
              <w:t>工业企业噪声源强调查清单（室内声源）</w:t>
            </w:r>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16"/>
              <w:gridCol w:w="1468"/>
              <w:gridCol w:w="383"/>
              <w:gridCol w:w="1336"/>
              <w:gridCol w:w="594"/>
              <w:gridCol w:w="592"/>
              <w:gridCol w:w="491"/>
              <w:gridCol w:w="497"/>
              <w:gridCol w:w="699"/>
              <w:gridCol w:w="771"/>
              <w:gridCol w:w="615"/>
              <w:gridCol w:w="874"/>
              <w:gridCol w:w="970"/>
              <w:gridCol w:w="84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Merge w:val="restart"/>
                  <w:vAlign w:val="center"/>
                </w:tcPr>
                <w:p>
                  <w:pPr>
                    <w:pStyle w:val="37"/>
                    <w:rPr>
                      <w:b/>
                      <w:bCs/>
                      <w:color w:val="000000"/>
                    </w:rPr>
                  </w:pPr>
                  <w:r>
                    <w:rPr>
                      <w:rFonts w:hint="eastAsia"/>
                      <w:b/>
                      <w:bCs/>
                      <w:color w:val="000000"/>
                    </w:rPr>
                    <w:t>序号</w:t>
                  </w:r>
                </w:p>
              </w:tc>
              <w:tc>
                <w:tcPr>
                  <w:tcW w:w="256" w:type="pct"/>
                  <w:vMerge w:val="restart"/>
                  <w:vAlign w:val="center"/>
                </w:tcPr>
                <w:p>
                  <w:pPr>
                    <w:pStyle w:val="37"/>
                    <w:rPr>
                      <w:b/>
                      <w:bCs/>
                      <w:color w:val="000000"/>
                    </w:rPr>
                  </w:pPr>
                  <w:r>
                    <w:rPr>
                      <w:rFonts w:hint="eastAsia"/>
                      <w:b/>
                      <w:bCs/>
                      <w:color w:val="000000"/>
                    </w:rPr>
                    <w:t>建筑物名称</w:t>
                  </w:r>
                </w:p>
              </w:tc>
              <w:tc>
                <w:tcPr>
                  <w:tcW w:w="610" w:type="pct"/>
                  <w:vMerge w:val="restart"/>
                  <w:vAlign w:val="center"/>
                </w:tcPr>
                <w:p>
                  <w:pPr>
                    <w:pStyle w:val="37"/>
                    <w:rPr>
                      <w:b/>
                      <w:bCs/>
                      <w:color w:val="000000"/>
                    </w:rPr>
                  </w:pPr>
                  <w:r>
                    <w:rPr>
                      <w:rFonts w:hint="eastAsia"/>
                      <w:b/>
                      <w:bCs/>
                      <w:color w:val="000000"/>
                    </w:rPr>
                    <w:t>声源名称</w:t>
                  </w:r>
                </w:p>
              </w:tc>
              <w:tc>
                <w:tcPr>
                  <w:tcW w:w="159" w:type="pct"/>
                  <w:vMerge w:val="restart"/>
                  <w:vAlign w:val="center"/>
                </w:tcPr>
                <w:p>
                  <w:pPr>
                    <w:pStyle w:val="37"/>
                    <w:rPr>
                      <w:b/>
                      <w:bCs/>
                      <w:color w:val="000000"/>
                    </w:rPr>
                  </w:pPr>
                  <w:r>
                    <w:rPr>
                      <w:rFonts w:hint="eastAsia"/>
                      <w:b/>
                      <w:bCs/>
                      <w:color w:val="000000"/>
                    </w:rPr>
                    <w:t>型号</w:t>
                  </w:r>
                </w:p>
              </w:tc>
              <w:tc>
                <w:tcPr>
                  <w:tcW w:w="802" w:type="pct"/>
                  <w:gridSpan w:val="2"/>
                  <w:vAlign w:val="center"/>
                </w:tcPr>
                <w:p>
                  <w:pPr>
                    <w:pStyle w:val="37"/>
                    <w:rPr>
                      <w:b/>
                      <w:bCs/>
                      <w:color w:val="000000"/>
                    </w:rPr>
                  </w:pPr>
                  <w:r>
                    <w:rPr>
                      <w:b/>
                      <w:bCs/>
                      <w:color w:val="000000"/>
                    </w:rPr>
                    <w:t>声源源强</w:t>
                  </w:r>
                  <w:r>
                    <w:rPr>
                      <w:rFonts w:hint="eastAsia"/>
                      <w:b/>
                      <w:bCs/>
                      <w:color w:val="000000"/>
                    </w:rPr>
                    <w:t>（任选一种）</w:t>
                  </w:r>
                </w:p>
              </w:tc>
              <w:tc>
                <w:tcPr>
                  <w:tcW w:w="657" w:type="pct"/>
                  <w:gridSpan w:val="3"/>
                  <w:vAlign w:val="center"/>
                </w:tcPr>
                <w:p>
                  <w:pPr>
                    <w:pStyle w:val="37"/>
                    <w:rPr>
                      <w:b/>
                      <w:bCs/>
                      <w:color w:val="000000"/>
                    </w:rPr>
                  </w:pPr>
                  <w:r>
                    <w:rPr>
                      <w:b/>
                      <w:bCs/>
                      <w:color w:val="000000"/>
                    </w:rPr>
                    <w:t>空间相对位置/m</w:t>
                  </w:r>
                </w:p>
              </w:tc>
              <w:tc>
                <w:tcPr>
                  <w:tcW w:w="291" w:type="pct"/>
                  <w:vMerge w:val="restart"/>
                  <w:vAlign w:val="center"/>
                </w:tcPr>
                <w:p>
                  <w:pPr>
                    <w:pStyle w:val="37"/>
                    <w:rPr>
                      <w:b/>
                      <w:bCs/>
                      <w:color w:val="000000"/>
                    </w:rPr>
                  </w:pPr>
                  <w:r>
                    <w:rPr>
                      <w:rFonts w:hint="eastAsia"/>
                      <w:b/>
                      <w:bCs/>
                      <w:color w:val="000000"/>
                    </w:rPr>
                    <w:t>距室内边界距离/m</w:t>
                  </w:r>
                </w:p>
              </w:tc>
              <w:tc>
                <w:tcPr>
                  <w:tcW w:w="321" w:type="pct"/>
                  <w:vMerge w:val="restart"/>
                  <w:vAlign w:val="center"/>
                </w:tcPr>
                <w:p>
                  <w:pPr>
                    <w:pStyle w:val="37"/>
                    <w:rPr>
                      <w:b/>
                      <w:bCs/>
                      <w:color w:val="000000"/>
                    </w:rPr>
                  </w:pPr>
                  <w:r>
                    <w:rPr>
                      <w:rFonts w:hint="eastAsia"/>
                      <w:b/>
                      <w:bCs/>
                      <w:color w:val="000000"/>
                    </w:rPr>
                    <w:t>室内边界声级/dB（A）</w:t>
                  </w:r>
                </w:p>
              </w:tc>
              <w:tc>
                <w:tcPr>
                  <w:tcW w:w="256" w:type="pct"/>
                  <w:vMerge w:val="restart"/>
                  <w:vAlign w:val="center"/>
                </w:tcPr>
                <w:p>
                  <w:pPr>
                    <w:pStyle w:val="37"/>
                    <w:rPr>
                      <w:b/>
                      <w:bCs/>
                      <w:color w:val="000000"/>
                    </w:rPr>
                  </w:pPr>
                  <w:r>
                    <w:rPr>
                      <w:rFonts w:hint="eastAsia"/>
                      <w:b/>
                      <w:bCs/>
                      <w:color w:val="000000"/>
                    </w:rPr>
                    <w:t>运行时段</w:t>
                  </w:r>
                </w:p>
              </w:tc>
              <w:tc>
                <w:tcPr>
                  <w:tcW w:w="364" w:type="pct"/>
                  <w:vMerge w:val="restart"/>
                  <w:vAlign w:val="center"/>
                </w:tcPr>
                <w:p>
                  <w:pPr>
                    <w:pStyle w:val="37"/>
                    <w:rPr>
                      <w:b/>
                      <w:bCs/>
                      <w:color w:val="000000"/>
                    </w:rPr>
                  </w:pPr>
                  <w:r>
                    <w:rPr>
                      <w:rFonts w:hint="eastAsia"/>
                      <w:b/>
                      <w:bCs/>
                      <w:color w:val="000000"/>
                    </w:rPr>
                    <w:t>建筑物插入损失/（dB（A））</w:t>
                  </w:r>
                </w:p>
              </w:tc>
              <w:tc>
                <w:tcPr>
                  <w:tcW w:w="755" w:type="pct"/>
                  <w:gridSpan w:val="2"/>
                  <w:vAlign w:val="center"/>
                </w:tcPr>
                <w:p>
                  <w:pPr>
                    <w:pStyle w:val="37"/>
                    <w:rPr>
                      <w:b/>
                      <w:bCs/>
                      <w:color w:val="000000"/>
                    </w:rPr>
                  </w:pPr>
                  <w:r>
                    <w:rPr>
                      <w:rFonts w:hint="eastAsia"/>
                      <w:b/>
                      <w:bCs/>
                      <w:color w:val="000000"/>
                    </w:rPr>
                    <w:t>建筑物外噪声</w:t>
                  </w:r>
                </w:p>
              </w:tc>
              <w:tc>
                <w:tcPr>
                  <w:tcW w:w="336" w:type="pct"/>
                  <w:vMerge w:val="restart"/>
                  <w:vAlign w:val="center"/>
                </w:tcPr>
                <w:p>
                  <w:pPr>
                    <w:pStyle w:val="37"/>
                    <w:rPr>
                      <w:b/>
                      <w:bCs/>
                      <w:color w:val="000000"/>
                    </w:rPr>
                  </w:pPr>
                  <w:r>
                    <w:rPr>
                      <w:rFonts w:hint="eastAsia"/>
                      <w:b/>
                      <w:bCs/>
                      <w:color w:val="000000"/>
                    </w:rPr>
                    <w:t>噪声控制措施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Merge w:val="continue"/>
                  <w:vAlign w:val="center"/>
                </w:tcPr>
                <w:p>
                  <w:pPr>
                    <w:pStyle w:val="37"/>
                    <w:rPr>
                      <w:b/>
                      <w:bCs/>
                      <w:color w:val="000000"/>
                    </w:rPr>
                  </w:pPr>
                </w:p>
              </w:tc>
              <w:tc>
                <w:tcPr>
                  <w:tcW w:w="256" w:type="pct"/>
                  <w:vMerge w:val="continue"/>
                  <w:vAlign w:val="center"/>
                </w:tcPr>
                <w:p>
                  <w:pPr>
                    <w:pStyle w:val="37"/>
                    <w:rPr>
                      <w:b/>
                      <w:bCs/>
                      <w:color w:val="000000"/>
                    </w:rPr>
                  </w:pPr>
                </w:p>
              </w:tc>
              <w:tc>
                <w:tcPr>
                  <w:tcW w:w="610" w:type="pct"/>
                  <w:vMerge w:val="continue"/>
                  <w:vAlign w:val="center"/>
                </w:tcPr>
                <w:p>
                  <w:pPr>
                    <w:pStyle w:val="37"/>
                    <w:rPr>
                      <w:b/>
                      <w:bCs/>
                      <w:color w:val="000000"/>
                    </w:rPr>
                  </w:pPr>
                </w:p>
              </w:tc>
              <w:tc>
                <w:tcPr>
                  <w:tcW w:w="159" w:type="pct"/>
                  <w:vMerge w:val="continue"/>
                  <w:vAlign w:val="center"/>
                </w:tcPr>
                <w:p>
                  <w:pPr>
                    <w:pStyle w:val="37"/>
                    <w:rPr>
                      <w:b/>
                      <w:bCs/>
                      <w:color w:val="000000"/>
                    </w:rPr>
                  </w:pPr>
                </w:p>
              </w:tc>
              <w:tc>
                <w:tcPr>
                  <w:tcW w:w="555" w:type="pct"/>
                  <w:vAlign w:val="center"/>
                </w:tcPr>
                <w:p>
                  <w:pPr>
                    <w:pStyle w:val="37"/>
                    <w:rPr>
                      <w:b/>
                      <w:bCs/>
                      <w:color w:val="000000"/>
                    </w:rPr>
                  </w:pPr>
                  <w:r>
                    <w:rPr>
                      <w:b/>
                      <w:bCs/>
                      <w:color w:val="000000"/>
                    </w:rPr>
                    <w:t>（声压级/距声源距离）/（dB（A）/m）</w:t>
                  </w:r>
                </w:p>
              </w:tc>
              <w:tc>
                <w:tcPr>
                  <w:tcW w:w="247" w:type="pct"/>
                  <w:vAlign w:val="center"/>
                </w:tcPr>
                <w:p>
                  <w:pPr>
                    <w:pStyle w:val="37"/>
                    <w:rPr>
                      <w:b/>
                      <w:bCs/>
                      <w:color w:val="000000"/>
                    </w:rPr>
                  </w:pPr>
                  <w:r>
                    <w:rPr>
                      <w:b/>
                      <w:bCs/>
                      <w:color w:val="000000"/>
                    </w:rPr>
                    <w:t>声功率级</w:t>
                  </w:r>
                </w:p>
              </w:tc>
              <w:tc>
                <w:tcPr>
                  <w:tcW w:w="246" w:type="pct"/>
                  <w:vAlign w:val="center"/>
                </w:tcPr>
                <w:p>
                  <w:pPr>
                    <w:pStyle w:val="37"/>
                    <w:rPr>
                      <w:b/>
                      <w:bCs/>
                      <w:color w:val="000000"/>
                    </w:rPr>
                  </w:pPr>
                  <w:r>
                    <w:rPr>
                      <w:b/>
                      <w:bCs/>
                      <w:color w:val="000000"/>
                    </w:rPr>
                    <w:t>X</w:t>
                  </w:r>
                </w:p>
              </w:tc>
              <w:tc>
                <w:tcPr>
                  <w:tcW w:w="204" w:type="pct"/>
                  <w:vAlign w:val="center"/>
                </w:tcPr>
                <w:p>
                  <w:pPr>
                    <w:pStyle w:val="37"/>
                    <w:rPr>
                      <w:b/>
                      <w:bCs/>
                      <w:color w:val="000000"/>
                    </w:rPr>
                  </w:pPr>
                  <w:r>
                    <w:rPr>
                      <w:b/>
                      <w:bCs/>
                      <w:color w:val="000000"/>
                    </w:rPr>
                    <w:t>Y</w:t>
                  </w:r>
                </w:p>
              </w:tc>
              <w:tc>
                <w:tcPr>
                  <w:tcW w:w="206" w:type="pct"/>
                  <w:vAlign w:val="center"/>
                </w:tcPr>
                <w:p>
                  <w:pPr>
                    <w:pStyle w:val="37"/>
                    <w:rPr>
                      <w:b/>
                      <w:bCs/>
                      <w:color w:val="000000"/>
                    </w:rPr>
                  </w:pPr>
                  <w:r>
                    <w:rPr>
                      <w:b/>
                      <w:bCs/>
                      <w:color w:val="000000"/>
                    </w:rPr>
                    <w:t>Z</w:t>
                  </w:r>
                </w:p>
              </w:tc>
              <w:tc>
                <w:tcPr>
                  <w:tcW w:w="291" w:type="pct"/>
                  <w:vMerge w:val="continue"/>
                  <w:vAlign w:val="center"/>
                </w:tcPr>
                <w:p>
                  <w:pPr>
                    <w:pStyle w:val="37"/>
                    <w:rPr>
                      <w:b/>
                      <w:bCs/>
                      <w:color w:val="000000"/>
                    </w:rPr>
                  </w:pPr>
                </w:p>
              </w:tc>
              <w:tc>
                <w:tcPr>
                  <w:tcW w:w="321" w:type="pct"/>
                  <w:vMerge w:val="continue"/>
                  <w:vAlign w:val="center"/>
                </w:tcPr>
                <w:p>
                  <w:pPr>
                    <w:pStyle w:val="37"/>
                    <w:rPr>
                      <w:b/>
                      <w:bCs/>
                      <w:color w:val="000000"/>
                    </w:rPr>
                  </w:pPr>
                </w:p>
              </w:tc>
              <w:tc>
                <w:tcPr>
                  <w:tcW w:w="256" w:type="pct"/>
                  <w:vMerge w:val="continue"/>
                  <w:vAlign w:val="center"/>
                </w:tcPr>
                <w:p>
                  <w:pPr>
                    <w:pStyle w:val="37"/>
                    <w:rPr>
                      <w:b/>
                      <w:bCs/>
                      <w:color w:val="000000"/>
                    </w:rPr>
                  </w:pPr>
                </w:p>
              </w:tc>
              <w:tc>
                <w:tcPr>
                  <w:tcW w:w="364" w:type="pct"/>
                  <w:vMerge w:val="continue"/>
                  <w:vAlign w:val="center"/>
                </w:tcPr>
                <w:p>
                  <w:pPr>
                    <w:pStyle w:val="37"/>
                    <w:rPr>
                      <w:b/>
                      <w:bCs/>
                      <w:color w:val="000000"/>
                    </w:rPr>
                  </w:pPr>
                </w:p>
              </w:tc>
              <w:tc>
                <w:tcPr>
                  <w:tcW w:w="404" w:type="pct"/>
                  <w:vAlign w:val="center"/>
                </w:tcPr>
                <w:p>
                  <w:pPr>
                    <w:pStyle w:val="37"/>
                    <w:rPr>
                      <w:b/>
                      <w:bCs/>
                      <w:color w:val="000000"/>
                    </w:rPr>
                  </w:pPr>
                  <w:r>
                    <w:rPr>
                      <w:rFonts w:hint="eastAsia"/>
                      <w:b/>
                      <w:bCs/>
                      <w:color w:val="000000"/>
                    </w:rPr>
                    <w:t>声压级/dB（A）</w:t>
                  </w:r>
                </w:p>
              </w:tc>
              <w:tc>
                <w:tcPr>
                  <w:tcW w:w="351" w:type="pct"/>
                  <w:vAlign w:val="center"/>
                </w:tcPr>
                <w:p>
                  <w:pPr>
                    <w:pStyle w:val="37"/>
                    <w:rPr>
                      <w:b/>
                      <w:bCs/>
                      <w:color w:val="000000"/>
                    </w:rPr>
                  </w:pPr>
                  <w:r>
                    <w:rPr>
                      <w:rFonts w:hint="eastAsia"/>
                      <w:b/>
                      <w:bCs/>
                      <w:color w:val="000000"/>
                    </w:rPr>
                    <w:t>建筑物外距离m</w:t>
                  </w:r>
                </w:p>
              </w:tc>
              <w:tc>
                <w:tcPr>
                  <w:tcW w:w="336" w:type="pct"/>
                  <w:vMerge w:val="continue"/>
                  <w:vAlign w:val="center"/>
                </w:tcPr>
                <w:p>
                  <w:pPr>
                    <w:pStyle w:val="37"/>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 w:type="pct"/>
                  <w:vAlign w:val="center"/>
                </w:tcPr>
                <w:p>
                  <w:pPr>
                    <w:pStyle w:val="37"/>
                    <w:rPr>
                      <w:color w:val="000000"/>
                    </w:rPr>
                  </w:pPr>
                  <w:r>
                    <w:rPr>
                      <w:color w:val="000000"/>
                      <w:kern w:val="2"/>
                      <w:szCs w:val="24"/>
                    </w:rPr>
                    <w:t>1</w:t>
                  </w:r>
                </w:p>
              </w:tc>
              <w:tc>
                <w:tcPr>
                  <w:tcW w:w="256" w:type="pct"/>
                  <w:vMerge w:val="restart"/>
                  <w:vAlign w:val="center"/>
                </w:tcPr>
                <w:p>
                  <w:pPr>
                    <w:pStyle w:val="37"/>
                    <w:rPr>
                      <w:color w:val="000000"/>
                    </w:rPr>
                  </w:pPr>
                  <w:r>
                    <w:rPr>
                      <w:rFonts w:hint="eastAsia"/>
                      <w:color w:val="000000"/>
                    </w:rPr>
                    <w:t>焊</w:t>
                  </w:r>
                  <w:r>
                    <w:rPr>
                      <w:rFonts w:hint="eastAsia"/>
                      <w:color w:val="000000"/>
                      <w:lang w:val="en-US" w:eastAsia="zh-CN"/>
                    </w:rPr>
                    <w:t>接</w:t>
                  </w:r>
                  <w:r>
                    <w:rPr>
                      <w:rFonts w:hint="eastAsia"/>
                      <w:color w:val="000000"/>
                    </w:rPr>
                    <w:t>房</w:t>
                  </w:r>
                </w:p>
              </w:tc>
              <w:tc>
                <w:tcPr>
                  <w:tcW w:w="610" w:type="pct"/>
                  <w:vAlign w:val="center"/>
                </w:tcPr>
                <w:p>
                  <w:pPr>
                    <w:pStyle w:val="37"/>
                  </w:pPr>
                  <w:r>
                    <w:rPr>
                      <w:rFonts w:hint="eastAsia"/>
                    </w:rPr>
                    <w:t>焊接机器人#1</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-28</w:t>
                  </w:r>
                </w:p>
              </w:tc>
              <w:tc>
                <w:tcPr>
                  <w:tcW w:w="204" w:type="pct"/>
                  <w:vAlign w:val="center"/>
                </w:tcPr>
                <w:p>
                  <w:pPr>
                    <w:pStyle w:val="37"/>
                  </w:pPr>
                  <w:r>
                    <w:rPr>
                      <w:rFonts w:hint="eastAsia"/>
                    </w:rPr>
                    <w:t>4</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restart"/>
                  <w:vAlign w:val="center"/>
                </w:tcPr>
                <w:p>
                  <w:pPr>
                    <w:pStyle w:val="37"/>
                    <w:rPr>
                      <w:color w:val="000000"/>
                      <w:szCs w:val="18"/>
                    </w:rPr>
                  </w:pPr>
                  <w:r>
                    <w:rPr>
                      <w:rFonts w:hint="eastAsia"/>
                      <w:color w:val="000000"/>
                      <w:szCs w:val="18"/>
                    </w:rPr>
                    <w:t>距离衰减、墙壁阻隔等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2</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焊接机器人#2</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-27</w:t>
                  </w:r>
                </w:p>
              </w:tc>
              <w:tc>
                <w:tcPr>
                  <w:tcW w:w="204" w:type="pct"/>
                  <w:vAlign w:val="center"/>
                </w:tcPr>
                <w:p>
                  <w:pPr>
                    <w:pStyle w:val="37"/>
                  </w:pPr>
                  <w:r>
                    <w:rPr>
                      <w:rFonts w:hint="eastAsia"/>
                    </w:rPr>
                    <w:t>-1</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3</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焊接机器人#3</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-24</w:t>
                  </w:r>
                </w:p>
              </w:tc>
              <w:tc>
                <w:tcPr>
                  <w:tcW w:w="204" w:type="pct"/>
                  <w:vAlign w:val="center"/>
                </w:tcPr>
                <w:p>
                  <w:pPr>
                    <w:pStyle w:val="37"/>
                  </w:pPr>
                  <w:r>
                    <w:rPr>
                      <w:rFonts w:hint="eastAsia"/>
                    </w:rPr>
                    <w:t>4</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187" w:type="pct"/>
                  <w:vAlign w:val="center"/>
                </w:tcPr>
                <w:p>
                  <w:pPr>
                    <w:pStyle w:val="37"/>
                    <w:rPr>
                      <w:color w:val="000000"/>
                    </w:rPr>
                  </w:pPr>
                  <w:r>
                    <w:rPr>
                      <w:rFonts w:hint="eastAsia"/>
                      <w:color w:val="000000"/>
                    </w:rPr>
                    <w:t>4</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焊接机器人#4</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-23</w:t>
                  </w:r>
                </w:p>
              </w:tc>
              <w:tc>
                <w:tcPr>
                  <w:tcW w:w="204" w:type="pct"/>
                  <w:vAlign w:val="center"/>
                </w:tcPr>
                <w:p>
                  <w:pPr>
                    <w:pStyle w:val="37"/>
                  </w:pPr>
                  <w:r>
                    <w:rPr>
                      <w:rFonts w:hint="eastAsia"/>
                    </w:rPr>
                    <w:t>-5</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5</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焊接机器人#5</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-17</w:t>
                  </w:r>
                </w:p>
              </w:tc>
              <w:tc>
                <w:tcPr>
                  <w:tcW w:w="204" w:type="pct"/>
                  <w:vAlign w:val="center"/>
                </w:tcPr>
                <w:p>
                  <w:pPr>
                    <w:pStyle w:val="37"/>
                  </w:pPr>
                  <w:r>
                    <w:rPr>
                      <w:rFonts w:hint="eastAsia"/>
                    </w:rPr>
                    <w:t>4</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6</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焊接机器人#6</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-14</w:t>
                  </w:r>
                </w:p>
              </w:tc>
              <w:tc>
                <w:tcPr>
                  <w:tcW w:w="204" w:type="pct"/>
                  <w:vAlign w:val="center"/>
                </w:tcPr>
                <w:p>
                  <w:pPr>
                    <w:pStyle w:val="37"/>
                  </w:pPr>
                  <w:r>
                    <w:rPr>
                      <w:rFonts w:hint="eastAsia"/>
                    </w:rPr>
                    <w:t>-3</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7</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焊接机器人#7</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26</w:t>
                  </w:r>
                </w:p>
              </w:tc>
              <w:tc>
                <w:tcPr>
                  <w:tcW w:w="204" w:type="pct"/>
                  <w:vAlign w:val="center"/>
                </w:tcPr>
                <w:p>
                  <w:pPr>
                    <w:pStyle w:val="37"/>
                  </w:pPr>
                  <w:r>
                    <w:rPr>
                      <w:rFonts w:hint="eastAsia"/>
                    </w:rPr>
                    <w:t>6</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8</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焊接机器人#8</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23</w:t>
                  </w:r>
                </w:p>
              </w:tc>
              <w:tc>
                <w:tcPr>
                  <w:tcW w:w="204" w:type="pct"/>
                  <w:vAlign w:val="center"/>
                </w:tcPr>
                <w:p>
                  <w:pPr>
                    <w:pStyle w:val="37"/>
                  </w:pPr>
                  <w:r>
                    <w:rPr>
                      <w:rFonts w:hint="eastAsia"/>
                    </w:rPr>
                    <w:t>-2</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9</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焊接机器人#9</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15</w:t>
                  </w:r>
                </w:p>
              </w:tc>
              <w:tc>
                <w:tcPr>
                  <w:tcW w:w="204" w:type="pct"/>
                  <w:vAlign w:val="center"/>
                </w:tcPr>
                <w:p>
                  <w:pPr>
                    <w:pStyle w:val="37"/>
                  </w:pPr>
                  <w:r>
                    <w:rPr>
                      <w:rFonts w:hint="eastAsia"/>
                    </w:rPr>
                    <w:t>5</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10</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焊接机器人#10</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11</w:t>
                  </w:r>
                </w:p>
              </w:tc>
              <w:tc>
                <w:tcPr>
                  <w:tcW w:w="204" w:type="pct"/>
                  <w:vAlign w:val="center"/>
                </w:tcPr>
                <w:p>
                  <w:pPr>
                    <w:pStyle w:val="37"/>
                  </w:pPr>
                  <w:r>
                    <w:rPr>
                      <w:rFonts w:hint="eastAsia"/>
                    </w:rPr>
                    <w:t>-3</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11</w:t>
                  </w:r>
                </w:p>
              </w:tc>
              <w:tc>
                <w:tcPr>
                  <w:tcW w:w="256" w:type="pct"/>
                  <w:vMerge w:val="continue"/>
                  <w:vAlign w:val="center"/>
                </w:tcPr>
                <w:p>
                  <w:pPr>
                    <w:pStyle w:val="37"/>
                    <w:rPr>
                      <w:color w:val="000000"/>
                    </w:rPr>
                  </w:pPr>
                </w:p>
              </w:tc>
              <w:tc>
                <w:tcPr>
                  <w:tcW w:w="610" w:type="pct"/>
                  <w:vAlign w:val="center"/>
                </w:tcPr>
                <w:p>
                  <w:pPr>
                    <w:pStyle w:val="37"/>
                  </w:pPr>
                  <w:r>
                    <w:rPr>
                      <w:rFonts w:hint="eastAsia"/>
                    </w:rPr>
                    <w:t>焊接机器人#11</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9</w:t>
                  </w:r>
                </w:p>
              </w:tc>
              <w:tc>
                <w:tcPr>
                  <w:tcW w:w="204" w:type="pct"/>
                  <w:vAlign w:val="center"/>
                </w:tcPr>
                <w:p>
                  <w:pPr>
                    <w:pStyle w:val="37"/>
                  </w:pPr>
                  <w:r>
                    <w:rPr>
                      <w:rFonts w:hint="eastAsia"/>
                    </w:rPr>
                    <w:t>-4</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12</w:t>
                  </w:r>
                </w:p>
              </w:tc>
              <w:tc>
                <w:tcPr>
                  <w:tcW w:w="256" w:type="pct"/>
                  <w:vMerge w:val="continue"/>
                  <w:vAlign w:val="center"/>
                </w:tcPr>
                <w:p>
                  <w:pPr>
                    <w:pStyle w:val="37"/>
                    <w:rPr>
                      <w:color w:val="000000"/>
                    </w:rPr>
                  </w:pPr>
                </w:p>
              </w:tc>
              <w:tc>
                <w:tcPr>
                  <w:tcW w:w="610" w:type="pct"/>
                  <w:vAlign w:val="center"/>
                </w:tcPr>
                <w:p>
                  <w:pPr>
                    <w:pStyle w:val="37"/>
                  </w:pPr>
                  <w:r>
                    <w:rPr>
                      <w:rFonts w:hint="eastAsia"/>
                    </w:rPr>
                    <w:t>手工焊机#1</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10</w:t>
                  </w:r>
                </w:p>
              </w:tc>
              <w:tc>
                <w:tcPr>
                  <w:tcW w:w="204" w:type="pct"/>
                  <w:vAlign w:val="center"/>
                </w:tcPr>
                <w:p>
                  <w:pPr>
                    <w:pStyle w:val="37"/>
                  </w:pPr>
                  <w:r>
                    <w:rPr>
                      <w:rFonts w:hint="eastAsia"/>
                    </w:rPr>
                    <w:t>0</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187" w:type="pct"/>
                  <w:vAlign w:val="center"/>
                </w:tcPr>
                <w:p>
                  <w:pPr>
                    <w:pStyle w:val="37"/>
                    <w:rPr>
                      <w:color w:val="000000"/>
                    </w:rPr>
                  </w:pPr>
                  <w:r>
                    <w:rPr>
                      <w:rFonts w:hint="eastAsia"/>
                      <w:color w:val="000000"/>
                    </w:rPr>
                    <w:t>13</w:t>
                  </w:r>
                </w:p>
              </w:tc>
              <w:tc>
                <w:tcPr>
                  <w:tcW w:w="256" w:type="pct"/>
                  <w:vMerge w:val="continue"/>
                  <w:vAlign w:val="center"/>
                </w:tcPr>
                <w:p>
                  <w:pPr>
                    <w:pStyle w:val="37"/>
                    <w:rPr>
                      <w:color w:val="000000"/>
                    </w:rPr>
                  </w:pPr>
                </w:p>
              </w:tc>
              <w:tc>
                <w:tcPr>
                  <w:tcW w:w="610" w:type="pct"/>
                  <w:vAlign w:val="center"/>
                </w:tcPr>
                <w:p>
                  <w:pPr>
                    <w:pStyle w:val="37"/>
                  </w:pPr>
                  <w:r>
                    <w:rPr>
                      <w:rFonts w:hint="eastAsia"/>
                    </w:rPr>
                    <w:t>手工焊机#2</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-29</w:t>
                  </w:r>
                </w:p>
              </w:tc>
              <w:tc>
                <w:tcPr>
                  <w:tcW w:w="204" w:type="pct"/>
                  <w:vAlign w:val="center"/>
                </w:tcPr>
                <w:p>
                  <w:pPr>
                    <w:pStyle w:val="37"/>
                  </w:pPr>
                  <w:r>
                    <w:rPr>
                      <w:rFonts w:hint="eastAsia"/>
                    </w:rPr>
                    <w:t>0</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14</w:t>
                  </w:r>
                </w:p>
              </w:tc>
              <w:tc>
                <w:tcPr>
                  <w:tcW w:w="256" w:type="pct"/>
                  <w:vMerge w:val="continue"/>
                  <w:vAlign w:val="center"/>
                </w:tcPr>
                <w:p>
                  <w:pPr>
                    <w:pStyle w:val="37"/>
                    <w:rPr>
                      <w:color w:val="000000"/>
                    </w:rPr>
                  </w:pPr>
                </w:p>
              </w:tc>
              <w:tc>
                <w:tcPr>
                  <w:tcW w:w="610" w:type="pct"/>
                  <w:vAlign w:val="center"/>
                </w:tcPr>
                <w:p>
                  <w:pPr>
                    <w:pStyle w:val="37"/>
                  </w:pPr>
                  <w:r>
                    <w:rPr>
                      <w:rFonts w:hint="eastAsia"/>
                    </w:rPr>
                    <w:t>手工焊机#3</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-12</w:t>
                  </w:r>
                </w:p>
              </w:tc>
              <w:tc>
                <w:tcPr>
                  <w:tcW w:w="204" w:type="pct"/>
                  <w:vAlign w:val="center"/>
                </w:tcPr>
                <w:p>
                  <w:pPr>
                    <w:pStyle w:val="37"/>
                  </w:pPr>
                  <w:r>
                    <w:rPr>
                      <w:rFonts w:hint="eastAsia"/>
                    </w:rPr>
                    <w:t>0</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87" w:type="pct"/>
                  <w:vAlign w:val="center"/>
                </w:tcPr>
                <w:p>
                  <w:pPr>
                    <w:pStyle w:val="37"/>
                    <w:rPr>
                      <w:color w:val="000000"/>
                    </w:rPr>
                  </w:pPr>
                  <w:r>
                    <w:rPr>
                      <w:rFonts w:hint="eastAsia"/>
                      <w:color w:val="000000"/>
                    </w:rPr>
                    <w:t>15</w:t>
                  </w:r>
                </w:p>
              </w:tc>
              <w:tc>
                <w:tcPr>
                  <w:tcW w:w="256" w:type="pct"/>
                  <w:vMerge w:val="continue"/>
                  <w:vAlign w:val="center"/>
                </w:tcPr>
                <w:p>
                  <w:pPr>
                    <w:pStyle w:val="37"/>
                    <w:rPr>
                      <w:color w:val="000000"/>
                    </w:rPr>
                  </w:pPr>
                </w:p>
              </w:tc>
              <w:tc>
                <w:tcPr>
                  <w:tcW w:w="610" w:type="pct"/>
                  <w:vAlign w:val="center"/>
                </w:tcPr>
                <w:p>
                  <w:pPr>
                    <w:pStyle w:val="37"/>
                  </w:pPr>
                  <w:r>
                    <w:rPr>
                      <w:rFonts w:hint="eastAsia"/>
                    </w:rPr>
                    <w:t>手工焊机#4</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5</w:t>
                  </w:r>
                </w:p>
              </w:tc>
              <w:tc>
                <w:tcPr>
                  <w:tcW w:w="204" w:type="pct"/>
                  <w:vAlign w:val="center"/>
                </w:tcPr>
                <w:p>
                  <w:pPr>
                    <w:pStyle w:val="37"/>
                  </w:pPr>
                  <w:r>
                    <w:rPr>
                      <w:rFonts w:hint="eastAsia"/>
                    </w:rPr>
                    <w:t>1</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 w:type="pct"/>
                  <w:vAlign w:val="center"/>
                </w:tcPr>
                <w:p>
                  <w:pPr>
                    <w:pStyle w:val="37"/>
                    <w:rPr>
                      <w:color w:val="000000"/>
                    </w:rPr>
                  </w:pPr>
                  <w:r>
                    <w:rPr>
                      <w:rFonts w:hint="eastAsia"/>
                      <w:color w:val="000000"/>
                    </w:rPr>
                    <w:t>16</w:t>
                  </w:r>
                </w:p>
              </w:tc>
              <w:tc>
                <w:tcPr>
                  <w:tcW w:w="256" w:type="pct"/>
                  <w:vMerge w:val="continue"/>
                  <w:vAlign w:val="center"/>
                </w:tcPr>
                <w:p>
                  <w:pPr>
                    <w:pStyle w:val="37"/>
                    <w:rPr>
                      <w:color w:val="000000"/>
                    </w:rPr>
                  </w:pPr>
                </w:p>
              </w:tc>
              <w:tc>
                <w:tcPr>
                  <w:tcW w:w="610" w:type="pct"/>
                  <w:vAlign w:val="center"/>
                </w:tcPr>
                <w:p>
                  <w:pPr>
                    <w:pStyle w:val="37"/>
                  </w:pPr>
                  <w:r>
                    <w:rPr>
                      <w:rFonts w:hint="eastAsia"/>
                    </w:rPr>
                    <w:t>除尘设施#1</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26</w:t>
                  </w:r>
                </w:p>
              </w:tc>
              <w:tc>
                <w:tcPr>
                  <w:tcW w:w="204" w:type="pct"/>
                  <w:vAlign w:val="center"/>
                </w:tcPr>
                <w:p>
                  <w:pPr>
                    <w:pStyle w:val="37"/>
                  </w:pPr>
                  <w:r>
                    <w:rPr>
                      <w:rFonts w:hint="eastAsia"/>
                    </w:rPr>
                    <w:t>1</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 w:type="pct"/>
                  <w:vAlign w:val="center"/>
                </w:tcPr>
                <w:p>
                  <w:pPr>
                    <w:pStyle w:val="37"/>
                    <w:rPr>
                      <w:color w:val="000000"/>
                    </w:rPr>
                  </w:pPr>
                  <w:r>
                    <w:rPr>
                      <w:rFonts w:hint="eastAsia"/>
                      <w:color w:val="000000"/>
                    </w:rPr>
                    <w:t>17</w:t>
                  </w:r>
                </w:p>
              </w:tc>
              <w:tc>
                <w:tcPr>
                  <w:tcW w:w="256" w:type="pct"/>
                  <w:vMerge w:val="continue"/>
                  <w:vAlign w:val="center"/>
                </w:tcPr>
                <w:p>
                  <w:pPr>
                    <w:pStyle w:val="37"/>
                    <w:rPr>
                      <w:color w:val="000000"/>
                    </w:rPr>
                  </w:pPr>
                </w:p>
              </w:tc>
              <w:tc>
                <w:tcPr>
                  <w:tcW w:w="610" w:type="pct"/>
                  <w:vAlign w:val="center"/>
                </w:tcPr>
                <w:p>
                  <w:pPr>
                    <w:pStyle w:val="37"/>
                  </w:pPr>
                  <w:r>
                    <w:rPr>
                      <w:rFonts w:hint="eastAsia"/>
                    </w:rPr>
                    <w:t>除尘设施#2</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85/1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-24</w:t>
                  </w:r>
                </w:p>
              </w:tc>
              <w:tc>
                <w:tcPr>
                  <w:tcW w:w="204" w:type="pct"/>
                  <w:vAlign w:val="center"/>
                </w:tcPr>
                <w:p>
                  <w:pPr>
                    <w:pStyle w:val="37"/>
                  </w:pPr>
                  <w:r>
                    <w:rPr>
                      <w:rFonts w:hint="eastAsia"/>
                    </w:rPr>
                    <w:t>0</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80</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65</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Align w:val="center"/>
                </w:tcPr>
                <w:p>
                  <w:pPr>
                    <w:pStyle w:val="37"/>
                    <w:rPr>
                      <w:color w:val="000000"/>
                    </w:rPr>
                  </w:pPr>
                  <w:r>
                    <w:rPr>
                      <w:rFonts w:hint="eastAsia"/>
                      <w:color w:val="000000"/>
                    </w:rPr>
                    <w:t>18</w:t>
                  </w:r>
                </w:p>
              </w:tc>
              <w:tc>
                <w:tcPr>
                  <w:tcW w:w="256" w:type="pct"/>
                  <w:vMerge w:val="continue"/>
                  <w:vAlign w:val="center"/>
                </w:tcPr>
                <w:p>
                  <w:pPr>
                    <w:pStyle w:val="37"/>
                    <w:rPr>
                      <w:color w:val="000000"/>
                    </w:rPr>
                  </w:pPr>
                </w:p>
              </w:tc>
              <w:tc>
                <w:tcPr>
                  <w:tcW w:w="610" w:type="pct"/>
                  <w:vAlign w:val="center"/>
                </w:tcPr>
                <w:p>
                  <w:pPr>
                    <w:pStyle w:val="37"/>
                  </w:pPr>
                  <w:r>
                    <w:rPr>
                      <w:rFonts w:hint="eastAsia"/>
                    </w:rPr>
                    <w:t>液压冲孔机</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90/1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14</w:t>
                  </w:r>
                </w:p>
              </w:tc>
              <w:tc>
                <w:tcPr>
                  <w:tcW w:w="204" w:type="pct"/>
                  <w:vAlign w:val="center"/>
                </w:tcPr>
                <w:p>
                  <w:pPr>
                    <w:pStyle w:val="37"/>
                  </w:pPr>
                  <w:r>
                    <w:rPr>
                      <w:rFonts w:hint="eastAsia"/>
                    </w:rPr>
                    <w:t>0</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85</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70</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Align w:val="center"/>
                </w:tcPr>
                <w:p>
                  <w:pPr>
                    <w:pStyle w:val="37"/>
                    <w:rPr>
                      <w:color w:val="000000"/>
                    </w:rPr>
                  </w:pPr>
                  <w:r>
                    <w:rPr>
                      <w:rFonts w:hint="eastAsia"/>
                      <w:color w:val="000000"/>
                    </w:rPr>
                    <w:t>19</w:t>
                  </w:r>
                </w:p>
              </w:tc>
              <w:tc>
                <w:tcPr>
                  <w:tcW w:w="256" w:type="pct"/>
                  <w:vMerge w:val="restart"/>
                  <w:vAlign w:val="center"/>
                </w:tcPr>
                <w:p>
                  <w:pPr>
                    <w:pStyle w:val="37"/>
                    <w:rPr>
                      <w:color w:val="000000"/>
                    </w:rPr>
                  </w:pPr>
                  <w:r>
                    <w:rPr>
                      <w:rFonts w:hint="eastAsia"/>
                      <w:color w:val="000000"/>
                    </w:rPr>
                    <w:t>焊接车间</w:t>
                  </w:r>
                </w:p>
              </w:tc>
              <w:tc>
                <w:tcPr>
                  <w:tcW w:w="610" w:type="pct"/>
                  <w:vAlign w:val="center"/>
                </w:tcPr>
                <w:p>
                  <w:pPr>
                    <w:pStyle w:val="37"/>
                  </w:pPr>
                  <w:r>
                    <w:rPr>
                      <w:rFonts w:hint="eastAsia"/>
                    </w:rPr>
                    <w:t>风机#1</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90/1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26</w:t>
                  </w:r>
                </w:p>
              </w:tc>
              <w:tc>
                <w:tcPr>
                  <w:tcW w:w="204" w:type="pct"/>
                  <w:vAlign w:val="center"/>
                </w:tcPr>
                <w:p>
                  <w:pPr>
                    <w:pStyle w:val="37"/>
                  </w:pPr>
                  <w:r>
                    <w:rPr>
                      <w:rFonts w:hint="eastAsia"/>
                    </w:rPr>
                    <w:t>4</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85</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70</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 w:type="pct"/>
                  <w:vAlign w:val="center"/>
                </w:tcPr>
                <w:p>
                  <w:pPr>
                    <w:pStyle w:val="37"/>
                    <w:rPr>
                      <w:color w:val="000000"/>
                    </w:rPr>
                  </w:pPr>
                  <w:r>
                    <w:rPr>
                      <w:rFonts w:hint="eastAsia"/>
                      <w:color w:val="000000"/>
                    </w:rPr>
                    <w:t>20</w:t>
                  </w:r>
                </w:p>
              </w:tc>
              <w:tc>
                <w:tcPr>
                  <w:tcW w:w="256" w:type="pct"/>
                  <w:vMerge w:val="continue"/>
                  <w:vAlign w:val="center"/>
                </w:tcPr>
                <w:p>
                  <w:pPr>
                    <w:pStyle w:val="37"/>
                    <w:rPr>
                      <w:color w:val="000000"/>
                    </w:rPr>
                  </w:pPr>
                </w:p>
              </w:tc>
              <w:tc>
                <w:tcPr>
                  <w:tcW w:w="610" w:type="pct"/>
                  <w:vAlign w:val="center"/>
                </w:tcPr>
                <w:p>
                  <w:pPr>
                    <w:pStyle w:val="37"/>
                  </w:pPr>
                  <w:r>
                    <w:rPr>
                      <w:rFonts w:hint="eastAsia"/>
                    </w:rPr>
                    <w:t>风机#2</w:t>
                  </w:r>
                </w:p>
              </w:tc>
              <w:tc>
                <w:tcPr>
                  <w:tcW w:w="159" w:type="pct"/>
                  <w:vAlign w:val="center"/>
                </w:tcPr>
                <w:p>
                  <w:pPr>
                    <w:pStyle w:val="37"/>
                    <w:rPr>
                      <w:color w:val="000000"/>
                    </w:rPr>
                  </w:pPr>
                  <w:r>
                    <w:rPr>
                      <w:rFonts w:hint="eastAsia"/>
                      <w:color w:val="000000"/>
                    </w:rPr>
                    <w:t>/</w:t>
                  </w:r>
                </w:p>
              </w:tc>
              <w:tc>
                <w:tcPr>
                  <w:tcW w:w="555" w:type="pct"/>
                  <w:vAlign w:val="center"/>
                </w:tcPr>
                <w:p>
                  <w:pPr>
                    <w:pStyle w:val="37"/>
                    <w:rPr>
                      <w:color w:val="000000"/>
                    </w:rPr>
                  </w:pPr>
                  <w:r>
                    <w:rPr>
                      <w:rFonts w:hint="eastAsia"/>
                      <w:color w:val="000000"/>
                    </w:rPr>
                    <w:t>90/1</w:t>
                  </w:r>
                </w:p>
              </w:tc>
              <w:tc>
                <w:tcPr>
                  <w:tcW w:w="247" w:type="pct"/>
                  <w:vAlign w:val="center"/>
                </w:tcPr>
                <w:p>
                  <w:pPr>
                    <w:pStyle w:val="37"/>
                    <w:rPr>
                      <w:color w:val="000000"/>
                    </w:rPr>
                  </w:pPr>
                  <w:r>
                    <w:rPr>
                      <w:rFonts w:hint="eastAsia"/>
                      <w:color w:val="000000"/>
                    </w:rPr>
                    <w:t>/</w:t>
                  </w:r>
                </w:p>
              </w:tc>
              <w:tc>
                <w:tcPr>
                  <w:tcW w:w="246" w:type="pct"/>
                  <w:vAlign w:val="center"/>
                </w:tcPr>
                <w:p>
                  <w:pPr>
                    <w:pStyle w:val="37"/>
                  </w:pPr>
                  <w:r>
                    <w:rPr>
                      <w:rFonts w:hint="eastAsia"/>
                    </w:rPr>
                    <w:t>-35</w:t>
                  </w:r>
                </w:p>
              </w:tc>
              <w:tc>
                <w:tcPr>
                  <w:tcW w:w="204" w:type="pct"/>
                  <w:vAlign w:val="center"/>
                </w:tcPr>
                <w:p>
                  <w:pPr>
                    <w:pStyle w:val="37"/>
                  </w:pPr>
                  <w:r>
                    <w:rPr>
                      <w:rFonts w:hint="eastAsia"/>
                    </w:rPr>
                    <w:t>0</w:t>
                  </w:r>
                </w:p>
              </w:tc>
              <w:tc>
                <w:tcPr>
                  <w:tcW w:w="206" w:type="pct"/>
                  <w:vAlign w:val="center"/>
                </w:tcPr>
                <w:p>
                  <w:pPr>
                    <w:pStyle w:val="37"/>
                    <w:rPr>
                      <w:color w:val="000000"/>
                    </w:rPr>
                  </w:pPr>
                  <w:r>
                    <w:rPr>
                      <w:rFonts w:hint="eastAsia"/>
                      <w:color w:val="000000"/>
                    </w:rPr>
                    <w:t>1.2</w:t>
                  </w:r>
                </w:p>
              </w:tc>
              <w:tc>
                <w:tcPr>
                  <w:tcW w:w="291" w:type="pct"/>
                  <w:vAlign w:val="center"/>
                </w:tcPr>
                <w:p>
                  <w:pPr>
                    <w:pStyle w:val="37"/>
                    <w:rPr>
                      <w:color w:val="000000"/>
                    </w:rPr>
                  </w:pPr>
                  <w:r>
                    <w:rPr>
                      <w:rFonts w:hint="eastAsia"/>
                      <w:color w:val="000000"/>
                    </w:rPr>
                    <w:t>0~20</w:t>
                  </w:r>
                </w:p>
              </w:tc>
              <w:tc>
                <w:tcPr>
                  <w:tcW w:w="321" w:type="pct"/>
                  <w:vAlign w:val="center"/>
                </w:tcPr>
                <w:p>
                  <w:pPr>
                    <w:pStyle w:val="37"/>
                    <w:rPr>
                      <w:color w:val="000000"/>
                    </w:rPr>
                  </w:pPr>
                  <w:r>
                    <w:rPr>
                      <w:rFonts w:hint="eastAsia"/>
                      <w:color w:val="000000"/>
                    </w:rPr>
                    <w:t>85</w:t>
                  </w:r>
                </w:p>
              </w:tc>
              <w:tc>
                <w:tcPr>
                  <w:tcW w:w="256" w:type="pct"/>
                  <w:vAlign w:val="center"/>
                </w:tcPr>
                <w:p>
                  <w:pPr>
                    <w:pStyle w:val="37"/>
                    <w:rPr>
                      <w:color w:val="000000"/>
                    </w:rPr>
                  </w:pPr>
                  <w:r>
                    <w:rPr>
                      <w:rFonts w:hint="eastAsia"/>
                      <w:color w:val="000000"/>
                    </w:rPr>
                    <w:t>连续</w:t>
                  </w:r>
                </w:p>
              </w:tc>
              <w:tc>
                <w:tcPr>
                  <w:tcW w:w="364" w:type="pct"/>
                  <w:vAlign w:val="center"/>
                </w:tcPr>
                <w:p>
                  <w:pPr>
                    <w:pStyle w:val="37"/>
                    <w:rPr>
                      <w:color w:val="000000"/>
                    </w:rPr>
                  </w:pPr>
                  <w:r>
                    <w:rPr>
                      <w:rFonts w:hint="eastAsia"/>
                      <w:color w:val="000000"/>
                    </w:rPr>
                    <w:t>15</w:t>
                  </w:r>
                </w:p>
              </w:tc>
              <w:tc>
                <w:tcPr>
                  <w:tcW w:w="404" w:type="pct"/>
                  <w:vAlign w:val="center"/>
                </w:tcPr>
                <w:p>
                  <w:pPr>
                    <w:pStyle w:val="37"/>
                    <w:rPr>
                      <w:color w:val="000000"/>
                    </w:rPr>
                  </w:pPr>
                  <w:r>
                    <w:rPr>
                      <w:rFonts w:hint="eastAsia"/>
                      <w:color w:val="000000"/>
                    </w:rPr>
                    <w:t>70</w:t>
                  </w:r>
                </w:p>
              </w:tc>
              <w:tc>
                <w:tcPr>
                  <w:tcW w:w="351" w:type="pct"/>
                  <w:vAlign w:val="center"/>
                </w:tcPr>
                <w:p>
                  <w:pPr>
                    <w:pStyle w:val="37"/>
                    <w:rPr>
                      <w:color w:val="000000"/>
                    </w:rPr>
                  </w:pPr>
                  <w:r>
                    <w:rPr>
                      <w:rFonts w:hint="eastAsia"/>
                      <w:color w:val="000000"/>
                    </w:rPr>
                    <w:t>1</w:t>
                  </w:r>
                </w:p>
              </w:tc>
              <w:tc>
                <w:tcPr>
                  <w:tcW w:w="336" w:type="pct"/>
                  <w:vMerge w:val="continue"/>
                  <w:vAlign w:val="center"/>
                </w:tcPr>
                <w:p>
                  <w:pPr>
                    <w:pStyle w:val="37"/>
                    <w:rPr>
                      <w:color w:val="000000"/>
                    </w:rPr>
                  </w:pPr>
                </w:p>
              </w:tc>
            </w:tr>
          </w:tbl>
          <w:p>
            <w:pPr>
              <w:pStyle w:val="17"/>
              <w:ind w:firstLine="0" w:firstLineChars="0"/>
              <w:rPr>
                <w:bCs/>
                <w:color w:val="000000"/>
              </w:rPr>
            </w:pPr>
            <w:r>
              <w:rPr>
                <w:rFonts w:hint="eastAsia"/>
                <w:color w:val="000000"/>
              </w:rPr>
              <w:t>注：以厂房中心坐标（115°51′55.51″，N：28°31′12.718″）为坐标原点（0，0，0）。</w:t>
            </w:r>
          </w:p>
          <w:p>
            <w:pPr>
              <w:pStyle w:val="8"/>
              <w:spacing w:beforeLines="50"/>
              <w:ind w:firstLine="482"/>
              <w:rPr>
                <w:bCs/>
                <w:color w:val="000000"/>
              </w:rPr>
            </w:pPr>
            <w:r>
              <w:rPr>
                <w:bCs/>
                <w:color w:val="000000"/>
              </w:rPr>
              <w:t>2、</w:t>
            </w:r>
            <w:r>
              <w:rPr>
                <w:rFonts w:hint="eastAsia"/>
                <w:bCs/>
                <w:color w:val="000000"/>
              </w:rPr>
              <w:t>预测方法</w:t>
            </w:r>
          </w:p>
          <w:p>
            <w:pPr>
              <w:autoSpaceDE w:val="0"/>
              <w:autoSpaceDN w:val="0"/>
              <w:ind w:firstLine="480"/>
              <w:jc w:val="left"/>
              <w:rPr>
                <w:color w:val="000000"/>
                <w:szCs w:val="28"/>
              </w:rPr>
            </w:pPr>
            <w:r>
              <w:rPr>
                <w:rFonts w:hint="eastAsia"/>
                <w:color w:val="000000"/>
                <w:szCs w:val="28"/>
              </w:rPr>
              <w:t>项目预测方法采用《环境影响评价技术导则 声环境》（HJ2.4-2021）附录C推荐的典型建设项目噪声影响预测及防治对策措施。</w:t>
            </w:r>
          </w:p>
          <w:p>
            <w:pPr>
              <w:ind w:firstLine="480"/>
              <w:rPr>
                <w:bCs/>
                <w:color w:val="000000"/>
              </w:rPr>
            </w:pPr>
            <w:r>
              <w:rPr>
                <w:rFonts w:hint="eastAsia"/>
                <w:bCs/>
                <w:color w:val="000000"/>
              </w:rPr>
              <w:t>①噪声预测模型</w:t>
            </w:r>
          </w:p>
          <w:p>
            <w:pPr>
              <w:ind w:firstLine="480"/>
              <w:rPr>
                <w:color w:val="000000"/>
              </w:rPr>
            </w:pPr>
            <w:r>
              <w:rPr>
                <w:rFonts w:hint="eastAsia"/>
                <w:color w:val="000000"/>
              </w:rPr>
              <w:t>1）</w:t>
            </w:r>
            <w:r>
              <w:rPr>
                <w:color w:val="000000"/>
              </w:rPr>
              <w:t>室</w:t>
            </w:r>
            <w:r>
              <w:rPr>
                <w:rFonts w:hint="eastAsia"/>
                <w:color w:val="000000"/>
              </w:rPr>
              <w:t>外</w:t>
            </w:r>
            <w:r>
              <w:rPr>
                <w:color w:val="000000"/>
              </w:rPr>
              <w:t>声源等效室外声源声功率级计算方法</w:t>
            </w:r>
          </w:p>
          <w:p>
            <w:pPr>
              <w:ind w:firstLine="480"/>
              <w:rPr>
                <w:color w:val="000000"/>
              </w:rPr>
            </w:pPr>
            <w:r>
              <w:rPr>
                <w:rFonts w:hint="eastAsia"/>
                <w:color w:val="000000"/>
              </w:rPr>
              <w:t>户外声传播衰减包括几何发散（Adiv）、大气吸收（Aatm）、地面效应（Agr）、障碍物屏蔽（Abar）、其他多方面效应（Amisc）引起的衰减。</w:t>
            </w:r>
          </w:p>
          <w:p>
            <w:pPr>
              <w:ind w:firstLine="480"/>
              <w:rPr>
                <w:color w:val="000000"/>
              </w:rPr>
            </w:pPr>
            <w:r>
              <w:rPr>
                <w:rFonts w:hint="eastAsia"/>
                <w:color w:val="000000"/>
              </w:rPr>
              <w:t>a） 在环境影响评价中，应根据声源声功率级或参考位置处的声压级、户外声传播衰减，计算预测点的声级，分别按式（A.1）或式（A.2）计算。</w:t>
            </w:r>
          </w:p>
          <w:p>
            <w:pPr>
              <w:ind w:firstLine="0" w:firstLineChars="0"/>
              <w:jc w:val="center"/>
              <w:rPr>
                <w:color w:val="000000"/>
              </w:rPr>
            </w:pPr>
            <w:r>
              <w:rPr>
                <w:color w:val="000000"/>
              </w:rPr>
              <w:drawing>
                <wp:inline distT="0" distB="0" distL="114300" distR="114300">
                  <wp:extent cx="6324600" cy="282575"/>
                  <wp:effectExtent l="0" t="0" r="0" b="317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1" cstate="print"/>
                          <a:srcRect t="10101"/>
                          <a:stretch>
                            <a:fillRect/>
                          </a:stretch>
                        </pic:blipFill>
                        <pic:spPr>
                          <a:xfrm>
                            <a:off x="0" y="0"/>
                            <a:ext cx="6324600" cy="282575"/>
                          </a:xfrm>
                          <a:prstGeom prst="rect">
                            <a:avLst/>
                          </a:prstGeom>
                          <a:noFill/>
                          <a:ln>
                            <a:noFill/>
                          </a:ln>
                        </pic:spPr>
                      </pic:pic>
                    </a:graphicData>
                  </a:graphic>
                </wp:inline>
              </w:drawing>
            </w:r>
          </w:p>
          <w:p>
            <w:pPr>
              <w:ind w:firstLine="480"/>
              <w:rPr>
                <w:color w:val="000000"/>
              </w:rPr>
            </w:pPr>
            <w:r>
              <w:rPr>
                <w:rFonts w:hint="eastAsia"/>
                <w:color w:val="000000"/>
              </w:rPr>
              <w:t>式中：Lp(r) ——预测点处声压级，dB；</w:t>
            </w:r>
          </w:p>
          <w:p>
            <w:pPr>
              <w:ind w:firstLine="480"/>
              <w:rPr>
                <w:color w:val="000000"/>
              </w:rPr>
            </w:pPr>
            <w:r>
              <w:rPr>
                <w:rFonts w:hint="eastAsia"/>
                <w:color w:val="000000"/>
              </w:rPr>
              <w:t>Lw ——由点声源产生的声功率级（A计权或倍频带），dB；</w:t>
            </w:r>
          </w:p>
          <w:p>
            <w:pPr>
              <w:ind w:firstLine="480"/>
              <w:rPr>
                <w:color w:val="000000"/>
              </w:rPr>
            </w:pPr>
            <w:r>
              <w:rPr>
                <w:rFonts w:hint="eastAsia"/>
                <w:color w:val="000000"/>
              </w:rPr>
              <w:t>DC ——指向性校正，它描述点声源的等效连续声压级与产生声功率级Lw的全向点声源在规定方向的声级的偏差程度，dB；</w:t>
            </w:r>
          </w:p>
          <w:p>
            <w:pPr>
              <w:ind w:firstLine="480"/>
              <w:rPr>
                <w:color w:val="000000"/>
              </w:rPr>
            </w:pPr>
            <w:r>
              <w:rPr>
                <w:rFonts w:hint="eastAsia"/>
                <w:color w:val="000000"/>
              </w:rPr>
              <w:t>Adiv ——几何发散引起的衰减，dB；</w:t>
            </w:r>
          </w:p>
          <w:p>
            <w:pPr>
              <w:ind w:firstLine="480"/>
              <w:rPr>
                <w:color w:val="000000"/>
              </w:rPr>
            </w:pPr>
            <w:r>
              <w:rPr>
                <w:rFonts w:hint="eastAsia"/>
                <w:color w:val="000000"/>
              </w:rPr>
              <w:t>Aatm ——大气吸收引起的衰减，dB；</w:t>
            </w:r>
          </w:p>
          <w:p>
            <w:pPr>
              <w:ind w:firstLine="480"/>
              <w:rPr>
                <w:color w:val="000000"/>
              </w:rPr>
            </w:pPr>
            <w:r>
              <w:rPr>
                <w:rFonts w:hint="eastAsia"/>
                <w:color w:val="000000"/>
              </w:rPr>
              <w:t>Agr ——地面效应引起的衰减，dB；</w:t>
            </w:r>
          </w:p>
          <w:p>
            <w:pPr>
              <w:ind w:firstLine="480"/>
              <w:rPr>
                <w:color w:val="000000"/>
              </w:rPr>
            </w:pPr>
            <w:r>
              <w:rPr>
                <w:rFonts w:hint="eastAsia"/>
                <w:color w:val="000000"/>
              </w:rPr>
              <w:t>Abar ——障碍物屏蔽引起的衰减，dB；</w:t>
            </w:r>
          </w:p>
          <w:p>
            <w:pPr>
              <w:ind w:firstLine="480"/>
              <w:rPr>
                <w:color w:val="000000"/>
              </w:rPr>
            </w:pPr>
            <w:r>
              <w:rPr>
                <w:rFonts w:hint="eastAsia"/>
                <w:color w:val="000000"/>
              </w:rPr>
              <w:t>Amisc ——其他多方面效应引起的衰减，dB。</w:t>
            </w:r>
          </w:p>
          <w:p>
            <w:pPr>
              <w:ind w:firstLine="0" w:firstLineChars="0"/>
              <w:jc w:val="center"/>
              <w:rPr>
                <w:color w:val="000000"/>
              </w:rPr>
            </w:pPr>
            <w:r>
              <w:rPr>
                <w:color w:val="000000"/>
              </w:rPr>
              <w:drawing>
                <wp:inline distT="0" distB="0" distL="114300" distR="114300">
                  <wp:extent cx="6448425" cy="238125"/>
                  <wp:effectExtent l="0" t="0" r="9525" b="952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2" cstate="print"/>
                          <a:stretch>
                            <a:fillRect/>
                          </a:stretch>
                        </pic:blipFill>
                        <pic:spPr>
                          <a:xfrm>
                            <a:off x="0" y="0"/>
                            <a:ext cx="6448425" cy="238125"/>
                          </a:xfrm>
                          <a:prstGeom prst="rect">
                            <a:avLst/>
                          </a:prstGeom>
                          <a:noFill/>
                          <a:ln>
                            <a:noFill/>
                          </a:ln>
                        </pic:spPr>
                      </pic:pic>
                    </a:graphicData>
                  </a:graphic>
                </wp:inline>
              </w:drawing>
            </w:r>
          </w:p>
          <w:p>
            <w:pPr>
              <w:ind w:firstLine="480"/>
              <w:rPr>
                <w:color w:val="000000"/>
              </w:rPr>
            </w:pPr>
            <w:r>
              <w:rPr>
                <w:rFonts w:hint="eastAsia"/>
                <w:color w:val="000000"/>
              </w:rPr>
              <w:t>式中：</w:t>
            </w:r>
            <w:r>
              <w:rPr>
                <w:color w:val="000000"/>
              </w:rPr>
              <w:t>Lp(r) ——</w:t>
            </w:r>
            <w:r>
              <w:rPr>
                <w:rFonts w:hint="eastAsia"/>
                <w:color w:val="000000"/>
              </w:rPr>
              <w:t>预测点处声压级，</w:t>
            </w:r>
            <w:r>
              <w:rPr>
                <w:color w:val="000000"/>
              </w:rPr>
              <w:t>dB</w:t>
            </w:r>
            <w:r>
              <w:rPr>
                <w:rFonts w:hint="eastAsia"/>
                <w:color w:val="000000"/>
              </w:rPr>
              <w:t xml:space="preserve">； </w:t>
            </w:r>
          </w:p>
          <w:p>
            <w:pPr>
              <w:ind w:firstLine="480"/>
              <w:rPr>
                <w:color w:val="000000"/>
              </w:rPr>
            </w:pPr>
            <w:r>
              <w:rPr>
                <w:color w:val="000000"/>
              </w:rPr>
              <w:t>Lp(r0) ——</w:t>
            </w:r>
            <w:r>
              <w:rPr>
                <w:rFonts w:hint="eastAsia"/>
                <w:color w:val="000000"/>
              </w:rPr>
              <w:t>参考位置</w:t>
            </w:r>
            <w:r>
              <w:rPr>
                <w:color w:val="000000"/>
              </w:rPr>
              <w:t>r0</w:t>
            </w:r>
            <w:r>
              <w:rPr>
                <w:rFonts w:hint="eastAsia"/>
                <w:color w:val="000000"/>
              </w:rPr>
              <w:t>处的声压级，</w:t>
            </w:r>
            <w:r>
              <w:rPr>
                <w:color w:val="000000"/>
              </w:rPr>
              <w:t>dB</w:t>
            </w:r>
            <w:r>
              <w:rPr>
                <w:rFonts w:hint="eastAsia"/>
                <w:color w:val="000000"/>
              </w:rPr>
              <w:t xml:space="preserve">； </w:t>
            </w:r>
          </w:p>
          <w:p>
            <w:pPr>
              <w:ind w:firstLine="480"/>
              <w:rPr>
                <w:color w:val="000000"/>
              </w:rPr>
            </w:pPr>
            <w:r>
              <w:rPr>
                <w:color w:val="000000"/>
              </w:rPr>
              <w:t>DC ——</w:t>
            </w:r>
            <w:r>
              <w:rPr>
                <w:rFonts w:hint="eastAsia"/>
                <w:color w:val="000000"/>
              </w:rPr>
              <w:t>指向性校正，它描述点声源的等效连续声压级与产生声功率级</w:t>
            </w:r>
            <w:r>
              <w:rPr>
                <w:color w:val="000000"/>
              </w:rPr>
              <w:t>Lw</w:t>
            </w:r>
            <w:r>
              <w:rPr>
                <w:rFonts w:hint="eastAsia"/>
                <w:color w:val="000000"/>
              </w:rPr>
              <w:t>的全向点声源在规定方向的声级的偏差程度，</w:t>
            </w:r>
            <w:r>
              <w:rPr>
                <w:color w:val="000000"/>
              </w:rPr>
              <w:t>dB</w:t>
            </w:r>
            <w:r>
              <w:rPr>
                <w:rFonts w:hint="eastAsia"/>
                <w:color w:val="000000"/>
              </w:rPr>
              <w:t xml:space="preserve">； </w:t>
            </w:r>
          </w:p>
          <w:p>
            <w:pPr>
              <w:ind w:firstLine="480"/>
              <w:rPr>
                <w:color w:val="000000"/>
              </w:rPr>
            </w:pPr>
            <w:r>
              <w:rPr>
                <w:color w:val="000000"/>
              </w:rPr>
              <w:t>Adiv ——</w:t>
            </w:r>
            <w:r>
              <w:rPr>
                <w:rFonts w:hint="eastAsia"/>
                <w:color w:val="000000"/>
              </w:rPr>
              <w:t>几何发散引起的衰减，</w:t>
            </w:r>
            <w:r>
              <w:rPr>
                <w:color w:val="000000"/>
              </w:rPr>
              <w:t>dB</w:t>
            </w:r>
            <w:r>
              <w:rPr>
                <w:rFonts w:hint="eastAsia"/>
                <w:color w:val="000000"/>
              </w:rPr>
              <w:t xml:space="preserve">； </w:t>
            </w:r>
          </w:p>
          <w:p>
            <w:pPr>
              <w:ind w:firstLine="480"/>
              <w:rPr>
                <w:color w:val="000000"/>
              </w:rPr>
            </w:pPr>
            <w:r>
              <w:rPr>
                <w:color w:val="000000"/>
              </w:rPr>
              <w:t>Aatm ——</w:t>
            </w:r>
            <w:r>
              <w:rPr>
                <w:rFonts w:hint="eastAsia"/>
                <w:color w:val="000000"/>
              </w:rPr>
              <w:t>大气吸收引起的衰减，</w:t>
            </w:r>
            <w:r>
              <w:rPr>
                <w:color w:val="000000"/>
              </w:rPr>
              <w:t>dB</w:t>
            </w:r>
            <w:r>
              <w:rPr>
                <w:rFonts w:hint="eastAsia"/>
                <w:color w:val="000000"/>
              </w:rPr>
              <w:t xml:space="preserve">； </w:t>
            </w:r>
          </w:p>
          <w:p>
            <w:pPr>
              <w:ind w:firstLine="480"/>
              <w:rPr>
                <w:color w:val="000000"/>
              </w:rPr>
            </w:pPr>
            <w:r>
              <w:rPr>
                <w:color w:val="000000"/>
              </w:rPr>
              <w:t>Agr ——</w:t>
            </w:r>
            <w:r>
              <w:rPr>
                <w:rFonts w:hint="eastAsia"/>
                <w:color w:val="000000"/>
              </w:rPr>
              <w:t>地面效应引起的衰减，</w:t>
            </w:r>
            <w:r>
              <w:rPr>
                <w:color w:val="000000"/>
              </w:rPr>
              <w:t>dB</w:t>
            </w:r>
            <w:r>
              <w:rPr>
                <w:rFonts w:hint="eastAsia"/>
                <w:color w:val="000000"/>
              </w:rPr>
              <w:t xml:space="preserve">； </w:t>
            </w:r>
          </w:p>
          <w:p>
            <w:pPr>
              <w:ind w:firstLine="480"/>
              <w:rPr>
                <w:color w:val="000000"/>
              </w:rPr>
            </w:pPr>
            <w:r>
              <w:rPr>
                <w:color w:val="000000"/>
              </w:rPr>
              <w:t>Abar ——</w:t>
            </w:r>
            <w:r>
              <w:rPr>
                <w:rFonts w:hint="eastAsia"/>
                <w:color w:val="000000"/>
              </w:rPr>
              <w:t>障碍物屏蔽引起的衰减，</w:t>
            </w:r>
            <w:r>
              <w:rPr>
                <w:color w:val="000000"/>
              </w:rPr>
              <w:t>dB</w:t>
            </w:r>
            <w:r>
              <w:rPr>
                <w:rFonts w:hint="eastAsia"/>
                <w:color w:val="000000"/>
              </w:rPr>
              <w:t xml:space="preserve">； </w:t>
            </w:r>
          </w:p>
          <w:p>
            <w:pPr>
              <w:ind w:firstLine="480"/>
              <w:rPr>
                <w:color w:val="000000"/>
              </w:rPr>
            </w:pPr>
            <w:r>
              <w:rPr>
                <w:color w:val="000000"/>
              </w:rPr>
              <w:t>Amisc ——</w:t>
            </w:r>
            <w:r>
              <w:rPr>
                <w:rFonts w:hint="eastAsia"/>
                <w:color w:val="000000"/>
              </w:rPr>
              <w:t>其他多方面效应引起的衰减，</w:t>
            </w:r>
            <w:r>
              <w:rPr>
                <w:color w:val="000000"/>
              </w:rPr>
              <w:t>dB</w:t>
            </w:r>
            <w:r>
              <w:rPr>
                <w:rFonts w:hint="eastAsia"/>
                <w:color w:val="000000"/>
              </w:rPr>
              <w:t xml:space="preserve">。 </w:t>
            </w:r>
          </w:p>
          <w:p>
            <w:pPr>
              <w:ind w:firstLine="480"/>
              <w:rPr>
                <w:color w:val="000000"/>
              </w:rPr>
            </w:pPr>
            <w:r>
              <w:rPr>
                <w:color w:val="000000"/>
              </w:rPr>
              <w:t>b</w:t>
            </w:r>
            <w:r>
              <w:rPr>
                <w:rFonts w:hint="eastAsia"/>
                <w:color w:val="000000"/>
              </w:rPr>
              <w:t xml:space="preserve">） 预测点的 </w:t>
            </w:r>
            <w:r>
              <w:rPr>
                <w:color w:val="000000"/>
              </w:rPr>
              <w:t xml:space="preserve">A </w:t>
            </w:r>
            <w:r>
              <w:rPr>
                <w:rFonts w:hint="eastAsia"/>
                <w:color w:val="000000"/>
              </w:rPr>
              <w:t xml:space="preserve">声级 </w:t>
            </w:r>
            <w:r>
              <w:rPr>
                <w:color w:val="000000"/>
              </w:rPr>
              <w:t>LA(r)</w:t>
            </w:r>
            <w:r>
              <w:rPr>
                <w:rFonts w:hint="eastAsia"/>
                <w:color w:val="000000"/>
              </w:rPr>
              <w:t>可按式（</w:t>
            </w:r>
            <w:r>
              <w:rPr>
                <w:color w:val="000000"/>
              </w:rPr>
              <w:t>A.3</w:t>
            </w:r>
            <w:r>
              <w:rPr>
                <w:rFonts w:hint="eastAsia"/>
                <w:color w:val="000000"/>
              </w:rPr>
              <w:t>）计算，即将</w:t>
            </w:r>
            <w:r>
              <w:rPr>
                <w:color w:val="000000"/>
              </w:rPr>
              <w:t>8</w:t>
            </w:r>
            <w:r>
              <w:rPr>
                <w:rFonts w:hint="eastAsia"/>
                <w:color w:val="000000"/>
              </w:rPr>
              <w:t>个倍频带声压级合成，计算出预测点的</w:t>
            </w:r>
            <w:r>
              <w:rPr>
                <w:color w:val="000000"/>
              </w:rPr>
              <w:t>A</w:t>
            </w:r>
            <w:r>
              <w:rPr>
                <w:rFonts w:hint="eastAsia"/>
                <w:color w:val="000000"/>
              </w:rPr>
              <w:t>声级</w:t>
            </w:r>
            <w:r>
              <w:rPr>
                <w:color w:val="000000"/>
              </w:rPr>
              <w:t>[LA(r)]</w:t>
            </w:r>
            <w:r>
              <w:rPr>
                <w:rFonts w:hint="eastAsia"/>
                <w:color w:val="000000"/>
              </w:rPr>
              <w:t xml:space="preserve">。 </w:t>
            </w:r>
          </w:p>
          <w:p>
            <w:pPr>
              <w:ind w:firstLine="0" w:firstLineChars="0"/>
              <w:jc w:val="center"/>
              <w:rPr>
                <w:color w:val="000000"/>
              </w:rPr>
            </w:pPr>
            <w:r>
              <w:rPr>
                <w:color w:val="000000"/>
                <w:position w:val="-32"/>
              </w:rPr>
              <w:object>
                <v:shape id="_x0000_i1027" o:spt="75" type="#_x0000_t75" style="height:34.5pt;width:183.7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color w:val="000000"/>
              </w:rPr>
              <w:t xml:space="preserve">      （A.3）</w:t>
            </w:r>
          </w:p>
          <w:p>
            <w:pPr>
              <w:ind w:firstLine="480"/>
              <w:rPr>
                <w:color w:val="000000"/>
              </w:rPr>
            </w:pPr>
            <w:r>
              <w:rPr>
                <w:rFonts w:hint="eastAsia"/>
                <w:color w:val="000000"/>
              </w:rPr>
              <w:t>式中：</w:t>
            </w:r>
            <w:r>
              <w:rPr>
                <w:color w:val="000000"/>
              </w:rPr>
              <w:t>LA(r) ——</w:t>
            </w:r>
            <w:r>
              <w:rPr>
                <w:rFonts w:hint="eastAsia"/>
                <w:color w:val="000000"/>
              </w:rPr>
              <w:t xml:space="preserve">距声源 </w:t>
            </w:r>
            <w:r>
              <w:rPr>
                <w:color w:val="000000"/>
              </w:rPr>
              <w:t xml:space="preserve">r </w:t>
            </w:r>
            <w:r>
              <w:rPr>
                <w:rFonts w:hint="eastAsia"/>
                <w:color w:val="000000"/>
              </w:rPr>
              <w:t xml:space="preserve">处的 </w:t>
            </w:r>
            <w:r>
              <w:rPr>
                <w:color w:val="000000"/>
              </w:rPr>
              <w:t xml:space="preserve">A </w:t>
            </w:r>
            <w:r>
              <w:rPr>
                <w:rFonts w:hint="eastAsia"/>
                <w:color w:val="000000"/>
              </w:rPr>
              <w:t>声级，</w:t>
            </w:r>
            <w:r>
              <w:rPr>
                <w:color w:val="000000"/>
              </w:rPr>
              <w:t>dB(A)</w:t>
            </w:r>
            <w:r>
              <w:rPr>
                <w:rFonts w:hint="eastAsia"/>
                <w:color w:val="000000"/>
              </w:rPr>
              <w:t xml:space="preserve">； </w:t>
            </w:r>
          </w:p>
          <w:p>
            <w:pPr>
              <w:ind w:firstLine="480"/>
              <w:rPr>
                <w:color w:val="000000"/>
              </w:rPr>
            </w:pPr>
            <w:r>
              <w:rPr>
                <w:color w:val="000000"/>
              </w:rPr>
              <w:t>Lpi(r) ——</w:t>
            </w:r>
            <w:r>
              <w:rPr>
                <w:rFonts w:hint="eastAsia"/>
                <w:color w:val="000000"/>
              </w:rPr>
              <w:t>预测点（</w:t>
            </w:r>
            <w:r>
              <w:rPr>
                <w:color w:val="000000"/>
              </w:rPr>
              <w:t>r</w:t>
            </w:r>
            <w:r>
              <w:rPr>
                <w:rFonts w:hint="eastAsia"/>
                <w:color w:val="000000"/>
              </w:rPr>
              <w:t xml:space="preserve">）处，第 </w:t>
            </w:r>
            <w:r>
              <w:rPr>
                <w:color w:val="000000"/>
              </w:rPr>
              <w:t xml:space="preserve">i </w:t>
            </w:r>
            <w:r>
              <w:rPr>
                <w:rFonts w:hint="eastAsia"/>
                <w:color w:val="000000"/>
              </w:rPr>
              <w:t>倍频带声压级，</w:t>
            </w:r>
            <w:r>
              <w:rPr>
                <w:color w:val="000000"/>
              </w:rPr>
              <w:t>dB</w:t>
            </w:r>
            <w:r>
              <w:rPr>
                <w:rFonts w:hint="eastAsia"/>
                <w:color w:val="000000"/>
              </w:rPr>
              <w:t xml:space="preserve">； </w:t>
            </w:r>
          </w:p>
          <w:p>
            <w:pPr>
              <w:ind w:firstLine="480"/>
              <w:rPr>
                <w:color w:val="000000"/>
              </w:rPr>
            </w:pPr>
            <w:r>
              <w:rPr>
                <w:color w:val="000000"/>
              </w:rPr>
              <w:t>ΔLi ——</w:t>
            </w:r>
            <w:r>
              <w:rPr>
                <w:rFonts w:hint="eastAsia"/>
                <w:color w:val="000000"/>
              </w:rPr>
              <w:t xml:space="preserve">第 </w:t>
            </w:r>
            <w:r>
              <w:rPr>
                <w:color w:val="000000"/>
              </w:rPr>
              <w:t xml:space="preserve">i </w:t>
            </w:r>
            <w:r>
              <w:rPr>
                <w:rFonts w:hint="eastAsia"/>
                <w:color w:val="000000"/>
              </w:rPr>
              <w:t xml:space="preserve">倍频带的 </w:t>
            </w:r>
            <w:r>
              <w:rPr>
                <w:color w:val="000000"/>
              </w:rPr>
              <w:t xml:space="preserve">A </w:t>
            </w:r>
            <w:r>
              <w:rPr>
                <w:rFonts w:hint="eastAsia"/>
                <w:color w:val="000000"/>
              </w:rPr>
              <w:t>计权网络修正值，</w:t>
            </w:r>
            <w:r>
              <w:rPr>
                <w:color w:val="000000"/>
              </w:rPr>
              <w:t>dB</w:t>
            </w:r>
            <w:r>
              <w:rPr>
                <w:rFonts w:hint="eastAsia"/>
                <w:color w:val="000000"/>
              </w:rPr>
              <w:t xml:space="preserve">。 </w:t>
            </w:r>
          </w:p>
          <w:p>
            <w:pPr>
              <w:ind w:firstLine="480"/>
              <w:rPr>
                <w:color w:val="000000"/>
              </w:rPr>
            </w:pPr>
            <w:r>
              <w:rPr>
                <w:color w:val="000000"/>
              </w:rPr>
              <w:t>c</w:t>
            </w:r>
            <w:r>
              <w:rPr>
                <w:rFonts w:hint="eastAsia"/>
                <w:color w:val="000000"/>
              </w:rPr>
              <w:t>） 在只考虑几何发散衰减时，可按式（</w:t>
            </w:r>
            <w:r>
              <w:rPr>
                <w:color w:val="000000"/>
              </w:rPr>
              <w:t>A.4</w:t>
            </w:r>
            <w:r>
              <w:rPr>
                <w:rFonts w:hint="eastAsia"/>
                <w:color w:val="000000"/>
              </w:rPr>
              <w:t>）计算</w:t>
            </w:r>
          </w:p>
          <w:p>
            <w:pPr>
              <w:ind w:firstLine="0" w:firstLineChars="0"/>
              <w:jc w:val="center"/>
              <w:rPr>
                <w:color w:val="000000"/>
              </w:rPr>
            </w:pPr>
            <w:r>
              <w:rPr>
                <w:rFonts w:hint="eastAsia"/>
                <w:color w:val="000000"/>
              </w:rPr>
              <w:t>L</w:t>
            </w:r>
            <w:r>
              <w:rPr>
                <w:rFonts w:hint="eastAsia"/>
                <w:color w:val="000000"/>
                <w:vertAlign w:val="subscript"/>
              </w:rPr>
              <w:t>A</w:t>
            </w:r>
            <w:r>
              <w:rPr>
                <w:rFonts w:hint="eastAsia"/>
                <w:color w:val="000000"/>
              </w:rPr>
              <w:t>(r)=L</w:t>
            </w:r>
            <w:r>
              <w:rPr>
                <w:rFonts w:hint="eastAsia"/>
                <w:color w:val="000000"/>
                <w:vertAlign w:val="subscript"/>
              </w:rPr>
              <w:t>A</w:t>
            </w:r>
            <w:r>
              <w:rPr>
                <w:rFonts w:hint="eastAsia"/>
                <w:color w:val="000000"/>
              </w:rPr>
              <w:t>(r0)-A</w:t>
            </w:r>
            <w:r>
              <w:rPr>
                <w:rFonts w:hint="eastAsia"/>
                <w:color w:val="000000"/>
                <w:vertAlign w:val="subscript"/>
              </w:rPr>
              <w:t>div</w:t>
            </w:r>
            <w:r>
              <w:rPr>
                <w:rFonts w:hint="eastAsia"/>
                <w:color w:val="000000"/>
              </w:rPr>
              <w:t xml:space="preserve">      (A.4)</w:t>
            </w:r>
          </w:p>
          <w:p>
            <w:pPr>
              <w:ind w:firstLine="480"/>
              <w:rPr>
                <w:color w:val="000000"/>
              </w:rPr>
            </w:pPr>
            <w:r>
              <w:rPr>
                <w:rFonts w:hint="eastAsia"/>
                <w:color w:val="000000"/>
              </w:rPr>
              <w:t>式中：</w:t>
            </w:r>
            <w:r>
              <w:rPr>
                <w:color w:val="000000"/>
              </w:rPr>
              <w:t>L</w:t>
            </w:r>
            <w:r>
              <w:rPr>
                <w:color w:val="000000"/>
                <w:vertAlign w:val="subscript"/>
              </w:rPr>
              <w:t>A</w:t>
            </w:r>
            <w:r>
              <w:rPr>
                <w:color w:val="000000"/>
              </w:rPr>
              <w:t>(r) ——</w:t>
            </w:r>
            <w:r>
              <w:rPr>
                <w:rFonts w:hint="eastAsia"/>
                <w:color w:val="000000"/>
              </w:rPr>
              <w:t xml:space="preserve">距声源 </w:t>
            </w:r>
            <w:r>
              <w:rPr>
                <w:color w:val="000000"/>
              </w:rPr>
              <w:t xml:space="preserve">r </w:t>
            </w:r>
            <w:r>
              <w:rPr>
                <w:rFonts w:hint="eastAsia"/>
                <w:color w:val="000000"/>
              </w:rPr>
              <w:t xml:space="preserve">处的 </w:t>
            </w:r>
            <w:r>
              <w:rPr>
                <w:color w:val="000000"/>
              </w:rPr>
              <w:t xml:space="preserve">A </w:t>
            </w:r>
            <w:r>
              <w:rPr>
                <w:rFonts w:hint="eastAsia"/>
                <w:color w:val="000000"/>
              </w:rPr>
              <w:t>声级，</w:t>
            </w:r>
            <w:r>
              <w:rPr>
                <w:color w:val="000000"/>
              </w:rPr>
              <w:t>dB(A)</w:t>
            </w:r>
            <w:r>
              <w:rPr>
                <w:rFonts w:hint="eastAsia"/>
                <w:color w:val="000000"/>
              </w:rPr>
              <w:t xml:space="preserve">； </w:t>
            </w:r>
          </w:p>
          <w:p>
            <w:pPr>
              <w:ind w:firstLine="480"/>
              <w:rPr>
                <w:color w:val="000000"/>
              </w:rPr>
            </w:pPr>
            <w:r>
              <w:rPr>
                <w:color w:val="000000"/>
              </w:rPr>
              <w:t>L</w:t>
            </w:r>
            <w:r>
              <w:rPr>
                <w:color w:val="000000"/>
                <w:vertAlign w:val="subscript"/>
              </w:rPr>
              <w:t>A</w:t>
            </w:r>
            <w:r>
              <w:rPr>
                <w:color w:val="000000"/>
              </w:rPr>
              <w:t>(r0) ——</w:t>
            </w:r>
            <w:r>
              <w:rPr>
                <w:rFonts w:hint="eastAsia"/>
                <w:color w:val="000000"/>
              </w:rPr>
              <w:t xml:space="preserve">参考位置 </w:t>
            </w:r>
            <w:r>
              <w:rPr>
                <w:color w:val="000000"/>
              </w:rPr>
              <w:t>r0</w:t>
            </w:r>
            <w:r>
              <w:rPr>
                <w:rFonts w:hint="eastAsia"/>
                <w:color w:val="000000"/>
              </w:rPr>
              <w:t xml:space="preserve">处的 </w:t>
            </w:r>
            <w:r>
              <w:rPr>
                <w:color w:val="000000"/>
              </w:rPr>
              <w:t xml:space="preserve">A </w:t>
            </w:r>
            <w:r>
              <w:rPr>
                <w:rFonts w:hint="eastAsia"/>
                <w:color w:val="000000"/>
              </w:rPr>
              <w:t>声级，</w:t>
            </w:r>
            <w:r>
              <w:rPr>
                <w:color w:val="000000"/>
              </w:rPr>
              <w:t>dB(A)</w:t>
            </w:r>
            <w:r>
              <w:rPr>
                <w:rFonts w:hint="eastAsia"/>
                <w:color w:val="000000"/>
              </w:rPr>
              <w:t xml:space="preserve">； </w:t>
            </w:r>
          </w:p>
          <w:p>
            <w:pPr>
              <w:ind w:firstLine="480"/>
              <w:rPr>
                <w:color w:val="000000"/>
              </w:rPr>
            </w:pPr>
            <w:r>
              <w:rPr>
                <w:color w:val="000000"/>
              </w:rPr>
              <w:t>A</w:t>
            </w:r>
            <w:r>
              <w:rPr>
                <w:color w:val="000000"/>
                <w:vertAlign w:val="subscript"/>
              </w:rPr>
              <w:t>div</w:t>
            </w:r>
            <w:r>
              <w:rPr>
                <w:color w:val="000000"/>
              </w:rPr>
              <w:t xml:space="preserve"> ——</w:t>
            </w:r>
            <w:r>
              <w:rPr>
                <w:rFonts w:hint="eastAsia"/>
                <w:color w:val="000000"/>
              </w:rPr>
              <w:t>几何发散引起的衰减，</w:t>
            </w:r>
            <w:r>
              <w:rPr>
                <w:color w:val="000000"/>
              </w:rPr>
              <w:t>dB</w:t>
            </w:r>
            <w:r>
              <w:rPr>
                <w:rFonts w:hint="eastAsia"/>
                <w:color w:val="000000"/>
              </w:rPr>
              <w:t xml:space="preserve">。 </w:t>
            </w:r>
          </w:p>
          <w:p>
            <w:pPr>
              <w:ind w:firstLine="480"/>
              <w:rPr>
                <w:color w:val="000000"/>
              </w:rPr>
            </w:pPr>
            <w:r>
              <w:rPr>
                <w:rFonts w:hint="eastAsia"/>
                <w:color w:val="000000"/>
              </w:rPr>
              <w:t>2）</w:t>
            </w:r>
            <w:r>
              <w:rPr>
                <w:color w:val="000000"/>
              </w:rPr>
              <w:t xml:space="preserve">室内声源等效室外声源声功率级计算方法 </w:t>
            </w:r>
          </w:p>
          <w:p>
            <w:pPr>
              <w:ind w:firstLine="480"/>
              <w:rPr>
                <w:color w:val="000000"/>
              </w:rPr>
            </w:pPr>
            <w:r>
              <w:rPr>
                <w:rFonts w:hint="eastAsia"/>
                <w:color w:val="000000"/>
              </w:rPr>
              <w:t>如图</w:t>
            </w:r>
            <w:r>
              <w:rPr>
                <w:color w:val="000000"/>
              </w:rPr>
              <w:t>B.1</w:t>
            </w:r>
            <w:r>
              <w:rPr>
                <w:rFonts w:hint="eastAsia"/>
                <w:color w:val="000000"/>
              </w:rPr>
              <w:t>所示，声源位于室内，室内声源可采用等效室外声源声功率级法进行计算。设靠近开口处（或窗户）室内、室外某倍频带的声压级或</w:t>
            </w:r>
            <w:r>
              <w:rPr>
                <w:color w:val="000000"/>
              </w:rPr>
              <w:t>A</w:t>
            </w:r>
            <w:r>
              <w:rPr>
                <w:rFonts w:hint="eastAsia"/>
                <w:color w:val="000000"/>
              </w:rPr>
              <w:t>声级分别为</w:t>
            </w:r>
            <w:r>
              <w:rPr>
                <w:color w:val="000000"/>
              </w:rPr>
              <w:t>L</w:t>
            </w:r>
            <w:r>
              <w:rPr>
                <w:color w:val="000000"/>
                <w:vertAlign w:val="subscript"/>
              </w:rPr>
              <w:t>p1</w:t>
            </w:r>
            <w:r>
              <w:rPr>
                <w:rFonts w:hint="eastAsia"/>
                <w:color w:val="000000"/>
              </w:rPr>
              <w:t>和</w:t>
            </w:r>
            <w:r>
              <w:rPr>
                <w:color w:val="000000"/>
              </w:rPr>
              <w:t>L</w:t>
            </w:r>
            <w:r>
              <w:rPr>
                <w:color w:val="000000"/>
                <w:vertAlign w:val="subscript"/>
              </w:rPr>
              <w:t>p2</w:t>
            </w:r>
            <w:r>
              <w:rPr>
                <w:rFonts w:hint="eastAsia"/>
                <w:color w:val="000000"/>
              </w:rPr>
              <w:t>。若声源所在室内声场为近似扩散声场，则室外的倍频带声压级可按式（</w:t>
            </w:r>
            <w:r>
              <w:rPr>
                <w:color w:val="000000"/>
              </w:rPr>
              <w:t>B.1</w:t>
            </w:r>
            <w:r>
              <w:rPr>
                <w:rFonts w:hint="eastAsia"/>
                <w:color w:val="000000"/>
              </w:rPr>
              <w:t>）近似求出：</w:t>
            </w:r>
          </w:p>
          <w:p>
            <w:pPr>
              <w:ind w:firstLine="0" w:firstLineChars="0"/>
              <w:jc w:val="center"/>
              <w:rPr>
                <w:color w:val="000000"/>
              </w:rPr>
            </w:pPr>
            <w:r>
              <w:rPr>
                <w:rFonts w:hint="eastAsia"/>
                <w:color w:val="000000"/>
              </w:rPr>
              <w:t>L</w:t>
            </w:r>
            <w:r>
              <w:rPr>
                <w:rFonts w:hint="eastAsia"/>
                <w:color w:val="000000"/>
                <w:vertAlign w:val="subscript"/>
              </w:rPr>
              <w:t>p2</w:t>
            </w:r>
            <w:r>
              <w:rPr>
                <w:rFonts w:hint="eastAsia"/>
                <w:color w:val="000000"/>
              </w:rPr>
              <w:t>=L</w:t>
            </w:r>
            <w:r>
              <w:rPr>
                <w:rFonts w:hint="eastAsia"/>
                <w:color w:val="000000"/>
                <w:vertAlign w:val="subscript"/>
              </w:rPr>
              <w:t>p1</w:t>
            </w:r>
            <w:r>
              <w:rPr>
                <w:rFonts w:hint="eastAsia"/>
                <w:color w:val="000000"/>
              </w:rPr>
              <w:t>-(TL+6)                (B.1)</w:t>
            </w:r>
          </w:p>
          <w:p>
            <w:pPr>
              <w:ind w:firstLine="480"/>
              <w:rPr>
                <w:color w:val="000000"/>
              </w:rPr>
            </w:pPr>
            <w:r>
              <w:rPr>
                <w:rFonts w:hint="eastAsia"/>
                <w:color w:val="000000"/>
              </w:rPr>
              <w:t>式中：</w:t>
            </w:r>
            <w:r>
              <w:rPr>
                <w:color w:val="000000"/>
              </w:rPr>
              <w:t>L</w:t>
            </w:r>
            <w:r>
              <w:rPr>
                <w:color w:val="000000"/>
                <w:vertAlign w:val="subscript"/>
              </w:rPr>
              <w:t>p1</w:t>
            </w:r>
            <w:r>
              <w:rPr>
                <w:color w:val="000000"/>
              </w:rPr>
              <w:t>——</w:t>
            </w:r>
            <w:r>
              <w:rPr>
                <w:rFonts w:hint="eastAsia"/>
                <w:color w:val="000000"/>
              </w:rPr>
              <w:t>靠近开口处（或窗户）室内某倍频带的声压级或</w:t>
            </w:r>
            <w:r>
              <w:rPr>
                <w:color w:val="000000"/>
              </w:rPr>
              <w:t>A</w:t>
            </w:r>
            <w:r>
              <w:rPr>
                <w:rFonts w:hint="eastAsia"/>
                <w:color w:val="000000"/>
              </w:rPr>
              <w:t>声级，</w:t>
            </w:r>
            <w:r>
              <w:rPr>
                <w:color w:val="000000"/>
              </w:rPr>
              <w:t>dB</w:t>
            </w:r>
            <w:r>
              <w:rPr>
                <w:rFonts w:hint="eastAsia"/>
                <w:color w:val="000000"/>
              </w:rPr>
              <w:t>；</w:t>
            </w:r>
          </w:p>
          <w:p>
            <w:pPr>
              <w:ind w:firstLine="480"/>
              <w:rPr>
                <w:color w:val="000000"/>
              </w:rPr>
            </w:pPr>
            <w:r>
              <w:rPr>
                <w:color w:val="000000"/>
              </w:rPr>
              <w:t>L</w:t>
            </w:r>
            <w:r>
              <w:rPr>
                <w:color w:val="000000"/>
                <w:vertAlign w:val="subscript"/>
              </w:rPr>
              <w:t>p2</w:t>
            </w:r>
            <w:r>
              <w:rPr>
                <w:color w:val="000000"/>
              </w:rPr>
              <w:t>——</w:t>
            </w:r>
            <w:r>
              <w:rPr>
                <w:rFonts w:hint="eastAsia"/>
                <w:color w:val="000000"/>
              </w:rPr>
              <w:t>靠近开口处（或窗户）室外某倍频带的声压级或</w:t>
            </w:r>
            <w:r>
              <w:rPr>
                <w:color w:val="000000"/>
              </w:rPr>
              <w:t>A</w:t>
            </w:r>
            <w:r>
              <w:rPr>
                <w:rFonts w:hint="eastAsia"/>
                <w:color w:val="000000"/>
              </w:rPr>
              <w:t>声级，</w:t>
            </w:r>
            <w:r>
              <w:rPr>
                <w:color w:val="000000"/>
              </w:rPr>
              <w:t>dB</w:t>
            </w:r>
            <w:r>
              <w:rPr>
                <w:rFonts w:hint="eastAsia"/>
                <w:color w:val="000000"/>
              </w:rPr>
              <w:t>；</w:t>
            </w:r>
          </w:p>
          <w:p>
            <w:pPr>
              <w:ind w:firstLine="480"/>
              <w:rPr>
                <w:color w:val="000000"/>
              </w:rPr>
            </w:pPr>
            <w:r>
              <w:rPr>
                <w:color w:val="000000"/>
              </w:rPr>
              <w:t>TL——</w:t>
            </w:r>
            <w:r>
              <w:rPr>
                <w:rFonts w:hint="eastAsia"/>
                <w:color w:val="000000"/>
              </w:rPr>
              <w:t>隔墙（或窗户）倍频带或</w:t>
            </w:r>
            <w:r>
              <w:rPr>
                <w:color w:val="000000"/>
              </w:rPr>
              <w:t>A</w:t>
            </w:r>
            <w:r>
              <w:rPr>
                <w:rFonts w:hint="eastAsia"/>
                <w:color w:val="000000"/>
              </w:rPr>
              <w:t>声级的隔声量，</w:t>
            </w:r>
            <w:r>
              <w:rPr>
                <w:color w:val="000000"/>
              </w:rPr>
              <w:t>dB</w:t>
            </w:r>
            <w:r>
              <w:rPr>
                <w:rFonts w:hint="eastAsia"/>
                <w:color w:val="000000"/>
              </w:rPr>
              <w:t>。</w:t>
            </w:r>
          </w:p>
          <w:p>
            <w:pPr>
              <w:ind w:firstLine="480"/>
              <w:rPr>
                <w:color w:val="000000"/>
              </w:rPr>
            </w:pPr>
            <w:r>
              <w:rPr>
                <w:rFonts w:hint="eastAsia"/>
                <w:color w:val="000000"/>
              </w:rPr>
              <w:t>也可按式（</w:t>
            </w:r>
            <w:r>
              <w:rPr>
                <w:color w:val="000000"/>
              </w:rPr>
              <w:t>B.2</w:t>
            </w:r>
            <w:r>
              <w:rPr>
                <w:rFonts w:hint="eastAsia"/>
                <w:color w:val="000000"/>
              </w:rPr>
              <w:t xml:space="preserve">）计算某一室内声源靠近围护结构处产生的倍频带声压级或 </w:t>
            </w:r>
            <w:r>
              <w:rPr>
                <w:color w:val="000000"/>
              </w:rPr>
              <w:t xml:space="preserve">A </w:t>
            </w:r>
            <w:r>
              <w:rPr>
                <w:rFonts w:hint="eastAsia"/>
                <w:color w:val="000000"/>
              </w:rPr>
              <w:t>声级：</w:t>
            </w:r>
          </w:p>
          <w:p>
            <w:pPr>
              <w:ind w:firstLine="0" w:firstLineChars="0"/>
              <w:jc w:val="center"/>
              <w:rPr>
                <w:color w:val="000000"/>
              </w:rPr>
            </w:pPr>
            <w:r>
              <w:rPr>
                <w:color w:val="000000"/>
              </w:rPr>
              <w:drawing>
                <wp:inline distT="0" distB="0" distL="114300" distR="114300">
                  <wp:extent cx="4629150" cy="533400"/>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5" cstate="print"/>
                          <a:stretch>
                            <a:fillRect/>
                          </a:stretch>
                        </pic:blipFill>
                        <pic:spPr>
                          <a:xfrm>
                            <a:off x="0" y="0"/>
                            <a:ext cx="4629150" cy="533400"/>
                          </a:xfrm>
                          <a:prstGeom prst="rect">
                            <a:avLst/>
                          </a:prstGeom>
                          <a:noFill/>
                          <a:ln>
                            <a:noFill/>
                          </a:ln>
                        </pic:spPr>
                      </pic:pic>
                    </a:graphicData>
                  </a:graphic>
                </wp:inline>
              </w:drawing>
            </w:r>
          </w:p>
          <w:p>
            <w:pPr>
              <w:ind w:firstLine="480"/>
              <w:rPr>
                <w:color w:val="000000"/>
              </w:rPr>
            </w:pPr>
            <w:r>
              <w:rPr>
                <w:rFonts w:hint="eastAsia"/>
                <w:color w:val="000000"/>
              </w:rPr>
              <w:t>式中：</w:t>
            </w:r>
            <w:r>
              <w:rPr>
                <w:color w:val="000000"/>
              </w:rPr>
              <w:t>L</w:t>
            </w:r>
            <w:r>
              <w:rPr>
                <w:color w:val="000000"/>
                <w:vertAlign w:val="subscript"/>
              </w:rPr>
              <w:t>p1</w:t>
            </w:r>
            <w:r>
              <w:rPr>
                <w:color w:val="000000"/>
              </w:rPr>
              <w:t>——</w:t>
            </w:r>
            <w:r>
              <w:rPr>
                <w:rFonts w:hint="eastAsia"/>
                <w:color w:val="000000"/>
              </w:rPr>
              <w:t>靠近开口处（或窗户）室内某倍频带的声压级或</w:t>
            </w:r>
            <w:r>
              <w:rPr>
                <w:color w:val="000000"/>
              </w:rPr>
              <w:t>A</w:t>
            </w:r>
            <w:r>
              <w:rPr>
                <w:rFonts w:hint="eastAsia"/>
                <w:color w:val="000000"/>
              </w:rPr>
              <w:t>声级，</w:t>
            </w:r>
            <w:r>
              <w:rPr>
                <w:color w:val="000000"/>
              </w:rPr>
              <w:t>dB</w:t>
            </w:r>
            <w:r>
              <w:rPr>
                <w:rFonts w:hint="eastAsia"/>
                <w:color w:val="000000"/>
              </w:rPr>
              <w:t>；</w:t>
            </w:r>
          </w:p>
          <w:p>
            <w:pPr>
              <w:ind w:firstLine="480"/>
              <w:rPr>
                <w:color w:val="000000"/>
              </w:rPr>
            </w:pPr>
            <w:r>
              <w:rPr>
                <w:color w:val="000000"/>
              </w:rPr>
              <w:t>L</w:t>
            </w:r>
            <w:r>
              <w:rPr>
                <w:color w:val="000000"/>
                <w:vertAlign w:val="subscript"/>
              </w:rPr>
              <w:t xml:space="preserve">w </w:t>
            </w:r>
            <w:r>
              <w:rPr>
                <w:color w:val="000000"/>
              </w:rPr>
              <w:t>——</w:t>
            </w:r>
            <w:r>
              <w:rPr>
                <w:rFonts w:hint="eastAsia"/>
                <w:color w:val="000000"/>
              </w:rPr>
              <w:t>点声源声功率级（</w:t>
            </w:r>
            <w:r>
              <w:rPr>
                <w:color w:val="000000"/>
              </w:rPr>
              <w:t>A</w:t>
            </w:r>
            <w:r>
              <w:rPr>
                <w:rFonts w:hint="eastAsia"/>
                <w:color w:val="000000"/>
              </w:rPr>
              <w:t>计权或倍频带），</w:t>
            </w:r>
            <w:r>
              <w:rPr>
                <w:color w:val="000000"/>
              </w:rPr>
              <w:t>dB</w:t>
            </w:r>
            <w:r>
              <w:rPr>
                <w:rFonts w:hint="eastAsia"/>
                <w:color w:val="000000"/>
              </w:rPr>
              <w:t>；</w:t>
            </w:r>
          </w:p>
          <w:p>
            <w:pPr>
              <w:ind w:firstLine="480"/>
              <w:rPr>
                <w:color w:val="000000"/>
              </w:rPr>
            </w:pPr>
            <w:r>
              <w:rPr>
                <w:color w:val="000000"/>
              </w:rPr>
              <w:t>Q——</w:t>
            </w:r>
            <w:r>
              <w:rPr>
                <w:rFonts w:hint="eastAsia"/>
                <w:color w:val="000000"/>
              </w:rPr>
              <w:t>指向性因数；通常对无指向性声源，当声源放在房间中心时，</w:t>
            </w:r>
            <w:r>
              <w:rPr>
                <w:color w:val="000000"/>
              </w:rPr>
              <w:t>Q=1</w:t>
            </w:r>
            <w:r>
              <w:rPr>
                <w:rFonts w:hint="eastAsia"/>
                <w:color w:val="000000"/>
              </w:rPr>
              <w:t>；当放在一面墙的中心时，</w:t>
            </w:r>
            <w:r>
              <w:rPr>
                <w:color w:val="000000"/>
              </w:rPr>
              <w:t>Q=2</w:t>
            </w:r>
            <w:r>
              <w:rPr>
                <w:rFonts w:hint="eastAsia"/>
                <w:color w:val="000000"/>
              </w:rPr>
              <w:t>；当放在两面墙夹角处时，</w:t>
            </w:r>
            <w:r>
              <w:rPr>
                <w:color w:val="000000"/>
              </w:rPr>
              <w:t>Q=4</w:t>
            </w:r>
            <w:r>
              <w:rPr>
                <w:rFonts w:hint="eastAsia"/>
                <w:color w:val="000000"/>
              </w:rPr>
              <w:t>；当放在三面墙夹角处时，</w:t>
            </w:r>
            <w:r>
              <w:rPr>
                <w:color w:val="000000"/>
              </w:rPr>
              <w:t>Q=8</w:t>
            </w:r>
            <w:r>
              <w:rPr>
                <w:rFonts w:hint="eastAsia"/>
                <w:color w:val="000000"/>
              </w:rPr>
              <w:t xml:space="preserve">； </w:t>
            </w:r>
          </w:p>
          <w:p>
            <w:pPr>
              <w:ind w:firstLine="480"/>
              <w:rPr>
                <w:color w:val="000000"/>
              </w:rPr>
            </w:pPr>
            <w:r>
              <w:rPr>
                <w:color w:val="000000"/>
              </w:rPr>
              <w:t>R——</w:t>
            </w:r>
            <w:r>
              <w:rPr>
                <w:rFonts w:hint="eastAsia"/>
                <w:color w:val="000000"/>
              </w:rPr>
              <w:t>房间常数；R=S</w:t>
            </w:r>
            <w:r>
              <w:rPr>
                <w:rFonts w:ascii="Arial" w:hAnsi="Arial" w:cs="Arial"/>
                <w:color w:val="000000"/>
              </w:rPr>
              <w:t>α</w:t>
            </w:r>
            <w:r>
              <w:rPr>
                <w:rFonts w:hint="eastAsia"/>
                <w:color w:val="000000"/>
              </w:rPr>
              <w:t>/(1-</w:t>
            </w:r>
            <w:r>
              <w:rPr>
                <w:rFonts w:ascii="Arial" w:hAnsi="Arial" w:cs="Arial"/>
                <w:color w:val="000000"/>
              </w:rPr>
              <w:t>α</w:t>
            </w:r>
            <w:r>
              <w:rPr>
                <w:rFonts w:hint="eastAsia"/>
                <w:color w:val="000000"/>
              </w:rPr>
              <w:t>)；</w:t>
            </w:r>
          </w:p>
          <w:p>
            <w:pPr>
              <w:ind w:firstLine="480"/>
              <w:rPr>
                <w:color w:val="000000"/>
              </w:rPr>
            </w:pPr>
            <w:r>
              <w:rPr>
                <w:color w:val="000000"/>
              </w:rPr>
              <w:t>S</w:t>
            </w:r>
            <w:r>
              <w:rPr>
                <w:rFonts w:hint="eastAsia"/>
                <w:color w:val="000000"/>
              </w:rPr>
              <w:t>为房间内表面面积，</w:t>
            </w:r>
            <w:r>
              <w:rPr>
                <w:color w:val="000000"/>
              </w:rPr>
              <w:t>m</w:t>
            </w:r>
            <w:r>
              <w:rPr>
                <w:color w:val="000000"/>
                <w:vertAlign w:val="superscript"/>
              </w:rPr>
              <w:t>2</w:t>
            </w:r>
            <w:r>
              <w:rPr>
                <w:rFonts w:hint="eastAsia"/>
                <w:color w:val="000000"/>
              </w:rPr>
              <w:t>；</w:t>
            </w:r>
          </w:p>
          <w:p>
            <w:pPr>
              <w:ind w:firstLine="480"/>
              <w:rPr>
                <w:color w:val="000000"/>
              </w:rPr>
            </w:pPr>
            <w:r>
              <w:rPr>
                <w:color w:val="000000"/>
              </w:rPr>
              <w:t>α</w:t>
            </w:r>
            <w:r>
              <w:rPr>
                <w:rFonts w:hint="eastAsia"/>
                <w:color w:val="000000"/>
              </w:rPr>
              <w:t>为平均吸声系数；</w:t>
            </w:r>
          </w:p>
          <w:p>
            <w:pPr>
              <w:ind w:firstLine="480"/>
              <w:rPr>
                <w:color w:val="000000"/>
              </w:rPr>
            </w:pPr>
            <w:r>
              <w:rPr>
                <w:color w:val="000000"/>
              </w:rPr>
              <w:t>r ——</w:t>
            </w:r>
            <w:r>
              <w:rPr>
                <w:rFonts w:hint="eastAsia"/>
                <w:color w:val="000000"/>
              </w:rPr>
              <w:t>声源到靠近围护结构某点处的距离，</w:t>
            </w:r>
            <w:r>
              <w:rPr>
                <w:color w:val="000000"/>
              </w:rPr>
              <w:t>m</w:t>
            </w:r>
            <w:r>
              <w:rPr>
                <w:rFonts w:hint="eastAsia"/>
                <w:color w:val="000000"/>
              </w:rPr>
              <w:t xml:space="preserve">。 </w:t>
            </w:r>
          </w:p>
          <w:p>
            <w:pPr>
              <w:ind w:firstLine="480"/>
              <w:rPr>
                <w:color w:val="000000"/>
              </w:rPr>
            </w:pPr>
            <w:r>
              <w:rPr>
                <w:rFonts w:hint="eastAsia"/>
                <w:color w:val="000000"/>
              </w:rPr>
              <w:t>然后按式（</w:t>
            </w:r>
            <w:r>
              <w:rPr>
                <w:color w:val="000000"/>
              </w:rPr>
              <w:t>B.3</w:t>
            </w:r>
            <w:r>
              <w:rPr>
                <w:rFonts w:hint="eastAsia"/>
                <w:color w:val="000000"/>
              </w:rPr>
              <w:t xml:space="preserve">）计算出所有室内声源在围护结构处产生的 </w:t>
            </w:r>
            <w:r>
              <w:rPr>
                <w:color w:val="000000"/>
              </w:rPr>
              <w:t xml:space="preserve">i </w:t>
            </w:r>
            <w:r>
              <w:rPr>
                <w:rFonts w:hint="eastAsia"/>
                <w:color w:val="000000"/>
              </w:rPr>
              <w:t>倍频带叠加声压级：</w:t>
            </w:r>
          </w:p>
          <w:p>
            <w:pPr>
              <w:ind w:firstLine="0" w:firstLineChars="0"/>
              <w:jc w:val="center"/>
              <w:rPr>
                <w:color w:val="000000"/>
              </w:rPr>
            </w:pPr>
            <w:r>
              <w:rPr>
                <w:color w:val="000000"/>
              </w:rPr>
              <w:drawing>
                <wp:inline distT="0" distB="0" distL="114300" distR="114300">
                  <wp:extent cx="4772025" cy="561975"/>
                  <wp:effectExtent l="0" t="0" r="9525" b="952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6" cstate="print"/>
                          <a:stretch>
                            <a:fillRect/>
                          </a:stretch>
                        </pic:blipFill>
                        <pic:spPr>
                          <a:xfrm>
                            <a:off x="0" y="0"/>
                            <a:ext cx="4772025" cy="561975"/>
                          </a:xfrm>
                          <a:prstGeom prst="rect">
                            <a:avLst/>
                          </a:prstGeom>
                          <a:noFill/>
                          <a:ln>
                            <a:noFill/>
                          </a:ln>
                        </pic:spPr>
                      </pic:pic>
                    </a:graphicData>
                  </a:graphic>
                </wp:inline>
              </w:drawing>
            </w:r>
          </w:p>
          <w:p>
            <w:pPr>
              <w:ind w:firstLine="480"/>
              <w:rPr>
                <w:color w:val="000000"/>
              </w:rPr>
            </w:pPr>
            <w:r>
              <w:rPr>
                <w:rFonts w:hint="eastAsia"/>
                <w:color w:val="000000"/>
              </w:rPr>
              <w:t>式中：L</w:t>
            </w:r>
            <w:r>
              <w:rPr>
                <w:color w:val="000000"/>
                <w:vertAlign w:val="subscript"/>
              </w:rPr>
              <w:t>pi</w:t>
            </w:r>
            <w:r>
              <w:rPr>
                <w:rFonts w:hint="eastAsia"/>
                <w:color w:val="000000"/>
              </w:rPr>
              <w:t>(</w:t>
            </w:r>
            <w:r>
              <w:rPr>
                <w:color w:val="000000"/>
              </w:rPr>
              <w:t>T</w:t>
            </w:r>
            <w:r>
              <w:rPr>
                <w:rFonts w:hint="eastAsia"/>
                <w:color w:val="000000"/>
              </w:rPr>
              <w:t>)</w:t>
            </w:r>
            <w:r>
              <w:rPr>
                <w:color w:val="000000"/>
              </w:rPr>
              <w:t>——</w:t>
            </w:r>
            <w:r>
              <w:rPr>
                <w:rFonts w:hint="eastAsia"/>
                <w:color w:val="000000"/>
              </w:rPr>
              <w:t xml:space="preserve">靠近围护结构处室内 </w:t>
            </w:r>
            <w:r>
              <w:rPr>
                <w:color w:val="000000"/>
              </w:rPr>
              <w:t xml:space="preserve">N </w:t>
            </w:r>
            <w:r>
              <w:rPr>
                <w:rFonts w:hint="eastAsia"/>
                <w:color w:val="000000"/>
              </w:rPr>
              <w:t xml:space="preserve">个声源 </w:t>
            </w:r>
            <w:r>
              <w:rPr>
                <w:color w:val="000000"/>
              </w:rPr>
              <w:t xml:space="preserve">i </w:t>
            </w:r>
            <w:r>
              <w:rPr>
                <w:rFonts w:hint="eastAsia"/>
                <w:color w:val="000000"/>
              </w:rPr>
              <w:t>倍频带的叠加声压级，</w:t>
            </w:r>
            <w:r>
              <w:rPr>
                <w:color w:val="000000"/>
              </w:rPr>
              <w:t>dB</w:t>
            </w:r>
            <w:r>
              <w:rPr>
                <w:rFonts w:hint="eastAsia"/>
                <w:color w:val="000000"/>
              </w:rPr>
              <w:t>；</w:t>
            </w:r>
          </w:p>
          <w:p>
            <w:pPr>
              <w:ind w:firstLine="480"/>
              <w:rPr>
                <w:color w:val="000000"/>
              </w:rPr>
            </w:pPr>
            <w:r>
              <w:rPr>
                <w:color w:val="000000"/>
              </w:rPr>
              <w:t>L</w:t>
            </w:r>
            <w:r>
              <w:rPr>
                <w:color w:val="000000"/>
                <w:vertAlign w:val="subscript"/>
              </w:rPr>
              <w:t>pij</w:t>
            </w:r>
            <w:r>
              <w:rPr>
                <w:color w:val="000000"/>
              </w:rPr>
              <w:t>——</w:t>
            </w:r>
            <w:r>
              <w:rPr>
                <w:rFonts w:hint="eastAsia"/>
                <w:color w:val="000000"/>
              </w:rPr>
              <w:t xml:space="preserve">室内 </w:t>
            </w:r>
            <w:r>
              <w:rPr>
                <w:color w:val="000000"/>
              </w:rPr>
              <w:t xml:space="preserve">j </w:t>
            </w:r>
            <w:r>
              <w:rPr>
                <w:rFonts w:hint="eastAsia"/>
                <w:color w:val="000000"/>
              </w:rPr>
              <w:t xml:space="preserve">声源 </w:t>
            </w:r>
            <w:r>
              <w:rPr>
                <w:color w:val="000000"/>
              </w:rPr>
              <w:t xml:space="preserve">i </w:t>
            </w:r>
            <w:r>
              <w:rPr>
                <w:rFonts w:hint="eastAsia"/>
                <w:color w:val="000000"/>
              </w:rPr>
              <w:t>倍频带的声压级，</w:t>
            </w:r>
            <w:r>
              <w:rPr>
                <w:color w:val="000000"/>
              </w:rPr>
              <w:t>dB</w:t>
            </w:r>
            <w:r>
              <w:rPr>
                <w:rFonts w:hint="eastAsia"/>
                <w:color w:val="000000"/>
              </w:rPr>
              <w:t xml:space="preserve">； </w:t>
            </w:r>
          </w:p>
          <w:p>
            <w:pPr>
              <w:ind w:firstLine="480"/>
              <w:rPr>
                <w:color w:val="000000"/>
              </w:rPr>
            </w:pPr>
            <w:r>
              <w:rPr>
                <w:color w:val="000000"/>
              </w:rPr>
              <w:t>N ——</w:t>
            </w:r>
            <w:r>
              <w:rPr>
                <w:rFonts w:hint="eastAsia"/>
                <w:color w:val="000000"/>
              </w:rPr>
              <w:t>室内声源总数。在室内近似为扩散声场时，按式（</w:t>
            </w:r>
            <w:r>
              <w:rPr>
                <w:color w:val="000000"/>
              </w:rPr>
              <w:t>B.4</w:t>
            </w:r>
            <w:r>
              <w:rPr>
                <w:rFonts w:hint="eastAsia"/>
                <w:color w:val="000000"/>
              </w:rPr>
              <w:t xml:space="preserve">）计算出靠近室外围护结构处的声压级： </w:t>
            </w:r>
          </w:p>
          <w:p>
            <w:pPr>
              <w:ind w:firstLine="0" w:firstLineChars="0"/>
              <w:jc w:val="center"/>
              <w:rPr>
                <w:color w:val="000000"/>
              </w:rPr>
            </w:pPr>
            <w:r>
              <w:rPr>
                <w:rFonts w:hint="eastAsia"/>
                <w:color w:val="000000"/>
              </w:rPr>
              <w:t>L</w:t>
            </w:r>
            <w:r>
              <w:rPr>
                <w:rFonts w:hint="eastAsia"/>
                <w:color w:val="000000"/>
                <w:vertAlign w:val="subscript"/>
              </w:rPr>
              <w:t>p2i</w:t>
            </w:r>
            <w:r>
              <w:rPr>
                <w:rFonts w:hint="eastAsia"/>
                <w:color w:val="000000"/>
              </w:rPr>
              <w:t>(T)=L</w:t>
            </w:r>
            <w:r>
              <w:rPr>
                <w:rFonts w:hint="eastAsia"/>
                <w:color w:val="000000"/>
                <w:vertAlign w:val="subscript"/>
              </w:rPr>
              <w:t>pli</w:t>
            </w:r>
            <w:r>
              <w:rPr>
                <w:rFonts w:hint="eastAsia"/>
                <w:color w:val="000000"/>
              </w:rPr>
              <w:t>(T)-(TL</w:t>
            </w:r>
            <w:r>
              <w:rPr>
                <w:rFonts w:hint="eastAsia"/>
                <w:color w:val="000000"/>
                <w:vertAlign w:val="subscript"/>
              </w:rPr>
              <w:t>i</w:t>
            </w:r>
            <w:r>
              <w:rPr>
                <w:rFonts w:hint="eastAsia"/>
                <w:color w:val="000000"/>
              </w:rPr>
              <w:t>+6)     (b.4)</w:t>
            </w:r>
          </w:p>
          <w:p>
            <w:pPr>
              <w:ind w:firstLine="480"/>
              <w:rPr>
                <w:color w:val="000000"/>
              </w:rPr>
            </w:pPr>
            <w:r>
              <w:rPr>
                <w:rFonts w:hint="eastAsia"/>
                <w:color w:val="000000"/>
              </w:rPr>
              <w:t>式中：</w:t>
            </w:r>
          </w:p>
          <w:p>
            <w:pPr>
              <w:ind w:firstLine="480"/>
              <w:rPr>
                <w:color w:val="000000"/>
              </w:rPr>
            </w:pPr>
            <w:r>
              <w:rPr>
                <w:rFonts w:hint="eastAsia"/>
                <w:color w:val="000000"/>
              </w:rPr>
              <w:t>L</w:t>
            </w:r>
            <w:r>
              <w:rPr>
                <w:rFonts w:hint="eastAsia"/>
                <w:color w:val="000000"/>
                <w:vertAlign w:val="subscript"/>
              </w:rPr>
              <w:t>piL</w:t>
            </w:r>
            <w:r>
              <w:rPr>
                <w:rFonts w:hint="eastAsia"/>
                <w:color w:val="000000"/>
              </w:rPr>
              <w:t>(T)——靠近围护结构处室外 N 个声源 i 倍频带的叠加声压级，dB；</w:t>
            </w:r>
          </w:p>
          <w:p>
            <w:pPr>
              <w:ind w:firstLine="480"/>
              <w:rPr>
                <w:color w:val="000000"/>
              </w:rPr>
            </w:pPr>
            <w:r>
              <w:rPr>
                <w:rFonts w:hint="eastAsia"/>
                <w:color w:val="000000"/>
              </w:rPr>
              <w:t>L</w:t>
            </w:r>
            <w:r>
              <w:rPr>
                <w:rFonts w:hint="eastAsia"/>
                <w:color w:val="000000"/>
                <w:vertAlign w:val="subscript"/>
              </w:rPr>
              <w:t>piL</w:t>
            </w:r>
            <w:r>
              <w:rPr>
                <w:rFonts w:hint="eastAsia"/>
                <w:color w:val="000000"/>
              </w:rPr>
              <w:t>T——靠近围护结构处室内 N 个声源 i 倍频带的叠加声压级，dB；</w:t>
            </w:r>
          </w:p>
          <w:p>
            <w:pPr>
              <w:ind w:firstLine="480"/>
              <w:rPr>
                <w:color w:val="000000"/>
              </w:rPr>
            </w:pPr>
            <w:r>
              <w:rPr>
                <w:rFonts w:hint="eastAsia"/>
                <w:color w:val="000000"/>
              </w:rPr>
              <w:t>TL</w:t>
            </w:r>
            <w:r>
              <w:rPr>
                <w:rFonts w:hint="eastAsia"/>
                <w:color w:val="000000"/>
                <w:vertAlign w:val="subscript"/>
              </w:rPr>
              <w:t>i</w:t>
            </w:r>
            <w:r>
              <w:rPr>
                <w:rFonts w:hint="eastAsia"/>
                <w:color w:val="000000"/>
              </w:rPr>
              <w:t>——围护结构 i 倍频带的隔声量，dB。</w:t>
            </w:r>
          </w:p>
          <w:p>
            <w:pPr>
              <w:ind w:firstLine="480"/>
              <w:rPr>
                <w:color w:val="000000"/>
              </w:rPr>
            </w:pPr>
            <w:r>
              <w:rPr>
                <w:rFonts w:hint="eastAsia"/>
                <w:color w:val="000000"/>
              </w:rPr>
              <w:t>然后按式（B.5）将室外声源的声压级和透过面积换算成等效的室外声源，计算出中心位置位于透声面积（S）处的等效声源的倍频带声功率级。</w:t>
            </w:r>
          </w:p>
          <w:p>
            <w:pPr>
              <w:ind w:firstLine="0" w:firstLineChars="0"/>
              <w:jc w:val="center"/>
              <w:rPr>
                <w:color w:val="000000"/>
              </w:rPr>
            </w:pPr>
            <w:r>
              <w:rPr>
                <w:rFonts w:hint="eastAsia"/>
                <w:color w:val="000000"/>
              </w:rPr>
              <w:t>Lw=L</w:t>
            </w:r>
            <w:r>
              <w:rPr>
                <w:rFonts w:hint="eastAsia"/>
                <w:color w:val="000000"/>
                <w:vertAlign w:val="subscript"/>
              </w:rPr>
              <w:t>p2</w:t>
            </w:r>
            <w:r>
              <w:rPr>
                <w:rFonts w:hint="eastAsia"/>
                <w:color w:val="000000"/>
              </w:rPr>
              <w:t>(T)+10lgS      (B.5)</w:t>
            </w:r>
          </w:p>
          <w:p>
            <w:pPr>
              <w:ind w:firstLine="480"/>
              <w:rPr>
                <w:color w:val="000000"/>
              </w:rPr>
            </w:pPr>
            <w:r>
              <w:rPr>
                <w:rFonts w:hint="eastAsia"/>
                <w:color w:val="000000"/>
              </w:rPr>
              <w:t>式中：Lw ——中心位置位于透声面积（S）处的等效声源的倍频带声功率级，dB；</w:t>
            </w:r>
          </w:p>
          <w:p>
            <w:pPr>
              <w:ind w:firstLine="480"/>
              <w:rPr>
                <w:color w:val="000000"/>
              </w:rPr>
            </w:pPr>
            <w:r>
              <w:rPr>
                <w:rFonts w:hint="eastAsia"/>
                <w:color w:val="000000"/>
              </w:rPr>
              <w:t>L</w:t>
            </w:r>
            <w:r>
              <w:rPr>
                <w:rFonts w:hint="eastAsia"/>
                <w:color w:val="000000"/>
                <w:vertAlign w:val="subscript"/>
              </w:rPr>
              <w:t>p2</w:t>
            </w:r>
            <w:r>
              <w:rPr>
                <w:rFonts w:hint="eastAsia"/>
                <w:color w:val="000000"/>
              </w:rPr>
              <w:t>(T)——靠近围护结构处室外声源的声压级，dB；</w:t>
            </w:r>
          </w:p>
          <w:p>
            <w:pPr>
              <w:ind w:firstLine="480"/>
              <w:rPr>
                <w:color w:val="000000"/>
              </w:rPr>
            </w:pPr>
            <w:r>
              <w:rPr>
                <w:rFonts w:hint="eastAsia"/>
                <w:color w:val="000000"/>
              </w:rPr>
              <w:t>S——透声面积，m</w:t>
            </w:r>
            <w:r>
              <w:rPr>
                <w:rFonts w:hint="eastAsia"/>
                <w:color w:val="000000"/>
                <w:vertAlign w:val="superscript"/>
              </w:rPr>
              <w:t>2</w:t>
            </w:r>
            <w:r>
              <w:rPr>
                <w:rFonts w:hint="eastAsia"/>
                <w:color w:val="000000"/>
              </w:rPr>
              <w:t>。</w:t>
            </w:r>
          </w:p>
          <w:p>
            <w:pPr>
              <w:ind w:firstLine="480"/>
              <w:rPr>
                <w:color w:val="000000"/>
              </w:rPr>
            </w:pPr>
            <w:r>
              <w:rPr>
                <w:rFonts w:hint="eastAsia"/>
                <w:color w:val="000000"/>
              </w:rPr>
              <w:t>然后按室外声源预测方法计算预测点处的 A 声级。</w:t>
            </w:r>
          </w:p>
          <w:p>
            <w:pPr>
              <w:ind w:firstLine="480"/>
              <w:rPr>
                <w:color w:val="000000"/>
              </w:rPr>
            </w:pPr>
            <w:r>
              <w:rPr>
                <w:rFonts w:hint="eastAsia"/>
                <w:color w:val="000000"/>
              </w:rPr>
              <w:t>3）工业企业噪声计算</w:t>
            </w:r>
          </w:p>
          <w:p>
            <w:pPr>
              <w:ind w:firstLine="480"/>
              <w:rPr>
                <w:color w:val="000000"/>
              </w:rPr>
            </w:pPr>
            <w:r>
              <w:rPr>
                <w:rFonts w:hint="eastAsia"/>
                <w:color w:val="000000"/>
              </w:rPr>
              <w:t>设第 i 个室外声源在预测点产生的 A 声级为LAi，在 T 时间内该声源工作时间为ti；第 j 个等效室外声源在预测点产生的 A 声级为LAj，在 T 时间内该声源工作时间为t j，则拟建工程声源对预测点产生的贡献值（Leqg）为：</w:t>
            </w:r>
          </w:p>
          <w:p>
            <w:pPr>
              <w:ind w:firstLine="480"/>
              <w:rPr>
                <w:b/>
                <w:bCs/>
                <w:color w:val="000000"/>
              </w:rPr>
            </w:pPr>
            <w:r>
              <w:rPr>
                <w:color w:val="000000"/>
                <w:position w:val="-34"/>
              </w:rPr>
              <w:object>
                <v:shape id="_x0000_i1028" o:spt="75" type="#_x0000_t75" style="height:39.75pt;width:212.25pt;" o:ole="t" filled="f" o:preferrelative="t" stroked="f" coordsize="21600,21600">
                  <v:path/>
                  <v:fill on="f" focussize="0,0"/>
                  <v:stroke on="f" joinstyle="miter"/>
                  <v:imagedata r:id="rId28" o:title=""/>
                  <o:lock v:ext="edit" aspectratio="t"/>
                  <w10:wrap type="none"/>
                  <w10:anchorlock/>
                </v:shape>
                <o:OLEObject Type="Embed" ProgID="Equation.3" ShapeID="_x0000_i1028" DrawAspect="Content" ObjectID="_1468075728" r:id="rId27">
                  <o:LockedField>false</o:LockedField>
                </o:OLEObject>
              </w:object>
            </w:r>
            <w:r>
              <w:rPr>
                <w:rFonts w:hint="eastAsia"/>
                <w:color w:val="000000"/>
              </w:rPr>
              <w:t xml:space="preserve">           （B.6）</w:t>
            </w:r>
          </w:p>
          <w:p>
            <w:pPr>
              <w:ind w:firstLine="480"/>
              <w:rPr>
                <w:color w:val="000000"/>
              </w:rPr>
            </w:pPr>
            <w:r>
              <w:rPr>
                <w:rFonts w:hint="eastAsia"/>
                <w:color w:val="000000"/>
              </w:rPr>
              <w:t>式中：Leqg——建设项目声源在预测点产生的噪声贡献值，dB；</w:t>
            </w:r>
          </w:p>
          <w:p>
            <w:pPr>
              <w:ind w:firstLine="480"/>
              <w:rPr>
                <w:color w:val="000000"/>
              </w:rPr>
            </w:pPr>
            <w:r>
              <w:rPr>
                <w:rFonts w:hint="eastAsia"/>
                <w:color w:val="000000"/>
              </w:rPr>
              <w:t>T ——用于计算等效声级的时间，s；</w:t>
            </w:r>
          </w:p>
          <w:p>
            <w:pPr>
              <w:ind w:firstLine="480"/>
              <w:rPr>
                <w:color w:val="000000"/>
              </w:rPr>
            </w:pPr>
            <w:r>
              <w:rPr>
                <w:rFonts w:hint="eastAsia"/>
                <w:color w:val="000000"/>
              </w:rPr>
              <w:t>N ——室外声源个数；</w:t>
            </w:r>
          </w:p>
          <w:p>
            <w:pPr>
              <w:ind w:firstLine="480"/>
              <w:rPr>
                <w:color w:val="000000"/>
              </w:rPr>
            </w:pPr>
            <w:r>
              <w:rPr>
                <w:rFonts w:hint="eastAsia"/>
                <w:color w:val="000000"/>
              </w:rPr>
              <w:t>ti ——在 T 时间内 i 声源工作时间，s；</w:t>
            </w:r>
          </w:p>
          <w:p>
            <w:pPr>
              <w:ind w:firstLine="480"/>
              <w:rPr>
                <w:color w:val="000000"/>
              </w:rPr>
            </w:pPr>
            <w:r>
              <w:rPr>
                <w:rFonts w:hint="eastAsia"/>
                <w:color w:val="000000"/>
              </w:rPr>
              <w:t>M ——等效室外声源个数；</w:t>
            </w:r>
          </w:p>
          <w:p>
            <w:pPr>
              <w:ind w:firstLine="480"/>
              <w:rPr>
                <w:color w:val="000000"/>
              </w:rPr>
            </w:pPr>
            <w:r>
              <w:rPr>
                <w:rFonts w:hint="eastAsia"/>
                <w:color w:val="000000"/>
              </w:rPr>
              <w:t>t j ——在 T 时间内 j 声源工作时间，s。</w:t>
            </w:r>
          </w:p>
          <w:p>
            <w:pPr>
              <w:ind w:firstLine="480"/>
              <w:rPr>
                <w:bCs/>
                <w:color w:val="000000"/>
              </w:rPr>
            </w:pPr>
            <w:r>
              <w:rPr>
                <w:rFonts w:hint="eastAsia"/>
                <w:bCs/>
                <w:color w:val="000000"/>
              </w:rPr>
              <w:t>②噪声防治措施：</w:t>
            </w:r>
          </w:p>
          <w:p>
            <w:pPr>
              <w:ind w:firstLine="480"/>
              <w:rPr>
                <w:color w:val="000000"/>
              </w:rPr>
            </w:pPr>
            <w:r>
              <w:rPr>
                <w:rFonts w:hint="eastAsia"/>
                <w:color w:val="000000"/>
              </w:rPr>
              <w:t>1）工艺上应该选用机械性能好、噪声强度低的设备，并提高设备安装精度。</w:t>
            </w:r>
          </w:p>
          <w:p>
            <w:pPr>
              <w:ind w:firstLine="480"/>
              <w:rPr>
                <w:color w:val="000000"/>
              </w:rPr>
            </w:pPr>
            <w:r>
              <w:rPr>
                <w:rFonts w:hint="eastAsia"/>
                <w:color w:val="000000"/>
              </w:rPr>
              <w:t>2）生产过程中产生噪声较大的设备应尽量避开敏感点，靠厂区中央方向布置，有利于减轻噪声对外环境的影响。</w:t>
            </w:r>
          </w:p>
          <w:p>
            <w:pPr>
              <w:ind w:firstLine="480"/>
              <w:rPr>
                <w:color w:val="000000"/>
              </w:rPr>
            </w:pPr>
            <w:r>
              <w:rPr>
                <w:rFonts w:hint="eastAsia"/>
                <w:color w:val="000000"/>
              </w:rPr>
              <w:t>3）应考虑在绿化设计等方面采取有效措施，如在厂界四周搭配种植高大乔木与低矮灌木，以阻隔噪声的传播和干扰。</w:t>
            </w:r>
          </w:p>
          <w:p>
            <w:pPr>
              <w:adjustRightInd w:val="0"/>
              <w:snapToGrid w:val="0"/>
              <w:ind w:firstLine="482"/>
              <w:jc w:val="left"/>
              <w:rPr>
                <w:b/>
                <w:bCs/>
                <w:color w:val="000000"/>
              </w:rPr>
            </w:pPr>
            <w:r>
              <w:rPr>
                <w:rFonts w:hint="eastAsia"/>
                <w:b/>
                <w:bCs/>
                <w:color w:val="000000"/>
              </w:rPr>
              <w:t>3、</w:t>
            </w:r>
            <w:r>
              <w:rPr>
                <w:b/>
                <w:bCs/>
                <w:color w:val="000000"/>
              </w:rPr>
              <w:t>预测结果</w:t>
            </w:r>
          </w:p>
          <w:p>
            <w:pPr>
              <w:adjustRightInd w:val="0"/>
              <w:snapToGrid w:val="0"/>
              <w:ind w:firstLine="480"/>
              <w:jc w:val="left"/>
              <w:rPr>
                <w:color w:val="000000"/>
              </w:rPr>
            </w:pPr>
            <w:r>
              <w:rPr>
                <w:color w:val="000000"/>
              </w:rPr>
              <w:t>项目</w:t>
            </w:r>
            <w:r>
              <w:rPr>
                <w:rFonts w:hint="eastAsia"/>
                <w:color w:val="000000"/>
                <w:szCs w:val="28"/>
              </w:rPr>
              <w:t>预测和评价运营期厂界噪声贡献值，评价其超标和达标情况；</w:t>
            </w:r>
            <w:r>
              <w:rPr>
                <w:color w:val="000000"/>
                <w:szCs w:val="28"/>
              </w:rPr>
              <w:t>根据</w:t>
            </w:r>
            <w:r>
              <w:rPr>
                <w:rFonts w:hint="eastAsia"/>
                <w:color w:val="000000"/>
                <w:szCs w:val="28"/>
              </w:rPr>
              <w:t>噪声</w:t>
            </w:r>
            <w:r>
              <w:rPr>
                <w:color w:val="000000"/>
                <w:szCs w:val="28"/>
              </w:rPr>
              <w:t>预测结果</w:t>
            </w:r>
            <w:r>
              <w:rPr>
                <w:rFonts w:hint="eastAsia"/>
                <w:color w:val="000000"/>
                <w:szCs w:val="28"/>
              </w:rPr>
              <w:t>，项目的噪声防治对策和措施可行，从声环境影响分析是可行的</w:t>
            </w:r>
            <w:r>
              <w:rPr>
                <w:color w:val="000000"/>
              </w:rPr>
              <w:t>，</w:t>
            </w:r>
            <w:r>
              <w:rPr>
                <w:rFonts w:hint="eastAsia"/>
                <w:color w:val="000000"/>
              </w:rPr>
              <w:t>厂界</w:t>
            </w:r>
            <w:r>
              <w:rPr>
                <w:color w:val="000000"/>
              </w:rPr>
              <w:t>噪声</w:t>
            </w:r>
            <w:r>
              <w:rPr>
                <w:rFonts w:hint="eastAsia"/>
                <w:color w:val="000000"/>
              </w:rPr>
              <w:t>排放</w:t>
            </w:r>
            <w:r>
              <w:rPr>
                <w:color w:val="000000"/>
              </w:rPr>
              <w:t>预测结果见</w:t>
            </w:r>
            <w:r>
              <w:rPr>
                <w:rFonts w:hint="eastAsia"/>
                <w:color w:val="000000"/>
              </w:rPr>
              <w:t>下表</w:t>
            </w:r>
            <w:r>
              <w:rPr>
                <w:color w:val="000000"/>
              </w:rPr>
              <w:t>。</w:t>
            </w:r>
          </w:p>
          <w:p>
            <w:pPr>
              <w:pStyle w:val="38"/>
              <w:rPr>
                <w:color w:val="000000"/>
                <w:spacing w:val="0"/>
              </w:rPr>
            </w:pPr>
            <w:r>
              <w:rPr>
                <w:rFonts w:hint="eastAsia"/>
                <w:color w:val="000000"/>
                <w:spacing w:val="0"/>
              </w:rPr>
              <w:t>表4-10  项目厂界噪声排放预测结果表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14"/>
              <w:gridCol w:w="1123"/>
              <w:gridCol w:w="1072"/>
              <w:gridCol w:w="923"/>
              <w:gridCol w:w="843"/>
              <w:gridCol w:w="1009"/>
              <w:gridCol w:w="925"/>
              <w:gridCol w:w="925"/>
              <w:gridCol w:w="925"/>
              <w:gridCol w:w="925"/>
              <w:gridCol w:w="1184"/>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noWrap/>
                  <w:vAlign w:val="center"/>
                </w:tcPr>
                <w:p>
                  <w:pPr>
                    <w:pStyle w:val="37"/>
                    <w:rPr>
                      <w:b/>
                      <w:bCs/>
                      <w:color w:val="000000"/>
                    </w:rPr>
                  </w:pPr>
                  <w:r>
                    <w:rPr>
                      <w:b/>
                      <w:bCs/>
                      <w:color w:val="000000"/>
                    </w:rPr>
                    <w:t>序号</w:t>
                  </w:r>
                </w:p>
              </w:tc>
              <w:tc>
                <w:tcPr>
                  <w:tcW w:w="380" w:type="pct"/>
                  <w:noWrap/>
                  <w:vAlign w:val="center"/>
                </w:tcPr>
                <w:p>
                  <w:pPr>
                    <w:pStyle w:val="37"/>
                    <w:rPr>
                      <w:b/>
                      <w:bCs/>
                      <w:color w:val="000000"/>
                    </w:rPr>
                  </w:pPr>
                  <w:r>
                    <w:rPr>
                      <w:b/>
                      <w:bCs/>
                      <w:color w:val="000000"/>
                    </w:rPr>
                    <w:t>点名称</w:t>
                  </w:r>
                </w:p>
              </w:tc>
              <w:tc>
                <w:tcPr>
                  <w:tcW w:w="466" w:type="pct"/>
                  <w:noWrap/>
                  <w:vAlign w:val="center"/>
                </w:tcPr>
                <w:p>
                  <w:pPr>
                    <w:pStyle w:val="37"/>
                    <w:rPr>
                      <w:b/>
                      <w:bCs/>
                      <w:color w:val="000000"/>
                    </w:rPr>
                  </w:pPr>
                  <w:r>
                    <w:rPr>
                      <w:b/>
                      <w:bCs/>
                      <w:color w:val="000000"/>
                    </w:rPr>
                    <w:t>定义坐标(x,y)</w:t>
                  </w:r>
                </w:p>
              </w:tc>
              <w:tc>
                <w:tcPr>
                  <w:tcW w:w="445" w:type="pct"/>
                  <w:noWrap/>
                  <w:vAlign w:val="center"/>
                </w:tcPr>
                <w:p>
                  <w:pPr>
                    <w:pStyle w:val="37"/>
                    <w:rPr>
                      <w:b/>
                      <w:bCs/>
                      <w:color w:val="000000"/>
                    </w:rPr>
                  </w:pPr>
                  <w:r>
                    <w:rPr>
                      <w:b/>
                      <w:bCs/>
                      <w:color w:val="000000"/>
                    </w:rPr>
                    <w:t>真实坐标(x,y)</w:t>
                  </w:r>
                </w:p>
              </w:tc>
              <w:tc>
                <w:tcPr>
                  <w:tcW w:w="384" w:type="pct"/>
                  <w:noWrap/>
                  <w:vAlign w:val="center"/>
                </w:tcPr>
                <w:p>
                  <w:pPr>
                    <w:pStyle w:val="37"/>
                    <w:rPr>
                      <w:b/>
                      <w:bCs/>
                      <w:color w:val="000000"/>
                    </w:rPr>
                  </w:pPr>
                  <w:r>
                    <w:rPr>
                      <w:b/>
                      <w:bCs/>
                      <w:color w:val="000000"/>
                    </w:rPr>
                    <w:t>地面高程(m)</w:t>
                  </w:r>
                </w:p>
              </w:tc>
              <w:tc>
                <w:tcPr>
                  <w:tcW w:w="351" w:type="pct"/>
                  <w:noWrap/>
                  <w:vAlign w:val="center"/>
                </w:tcPr>
                <w:p>
                  <w:pPr>
                    <w:pStyle w:val="37"/>
                    <w:rPr>
                      <w:b/>
                      <w:bCs/>
                      <w:color w:val="000000"/>
                    </w:rPr>
                  </w:pPr>
                  <w:r>
                    <w:rPr>
                      <w:b/>
                      <w:bCs/>
                      <w:color w:val="000000"/>
                    </w:rPr>
                    <w:t>离地高度(m)</w:t>
                  </w:r>
                </w:p>
              </w:tc>
              <w:tc>
                <w:tcPr>
                  <w:tcW w:w="419" w:type="pct"/>
                  <w:noWrap/>
                  <w:vAlign w:val="center"/>
                </w:tcPr>
                <w:p>
                  <w:pPr>
                    <w:pStyle w:val="37"/>
                    <w:rPr>
                      <w:b/>
                      <w:bCs/>
                      <w:color w:val="000000"/>
                    </w:rPr>
                  </w:pPr>
                  <w:r>
                    <w:rPr>
                      <w:b/>
                      <w:bCs/>
                      <w:color w:val="000000"/>
                    </w:rPr>
                    <w:t>噪声时段</w:t>
                  </w:r>
                </w:p>
              </w:tc>
              <w:tc>
                <w:tcPr>
                  <w:tcW w:w="385" w:type="pct"/>
                  <w:noWrap/>
                  <w:vAlign w:val="center"/>
                </w:tcPr>
                <w:p>
                  <w:pPr>
                    <w:pStyle w:val="37"/>
                    <w:rPr>
                      <w:b/>
                      <w:bCs/>
                      <w:color w:val="000000"/>
                    </w:rPr>
                  </w:pPr>
                  <w:r>
                    <w:rPr>
                      <w:b/>
                      <w:bCs/>
                      <w:color w:val="000000"/>
                    </w:rPr>
                    <w:t>贡献值(dBA)</w:t>
                  </w:r>
                </w:p>
              </w:tc>
              <w:tc>
                <w:tcPr>
                  <w:tcW w:w="385" w:type="pct"/>
                  <w:noWrap/>
                  <w:vAlign w:val="center"/>
                </w:tcPr>
                <w:p>
                  <w:pPr>
                    <w:pStyle w:val="37"/>
                    <w:rPr>
                      <w:b/>
                      <w:bCs/>
                      <w:color w:val="000000"/>
                    </w:rPr>
                  </w:pPr>
                  <w:r>
                    <w:rPr>
                      <w:b/>
                      <w:bCs/>
                      <w:color w:val="000000"/>
                    </w:rPr>
                    <w:t>环境背景值(dBA)</w:t>
                  </w:r>
                </w:p>
              </w:tc>
              <w:tc>
                <w:tcPr>
                  <w:tcW w:w="385" w:type="pct"/>
                  <w:noWrap/>
                  <w:vAlign w:val="center"/>
                </w:tcPr>
                <w:p>
                  <w:pPr>
                    <w:pStyle w:val="37"/>
                    <w:rPr>
                      <w:b/>
                      <w:bCs/>
                      <w:color w:val="000000"/>
                    </w:rPr>
                  </w:pPr>
                  <w:r>
                    <w:rPr>
                      <w:b/>
                      <w:bCs/>
                      <w:color w:val="000000"/>
                    </w:rPr>
                    <w:t>环境噪声预测值(dBA)</w:t>
                  </w:r>
                </w:p>
              </w:tc>
              <w:tc>
                <w:tcPr>
                  <w:tcW w:w="385" w:type="pct"/>
                  <w:noWrap/>
                  <w:vAlign w:val="center"/>
                </w:tcPr>
                <w:p>
                  <w:pPr>
                    <w:pStyle w:val="37"/>
                    <w:rPr>
                      <w:b/>
                      <w:bCs/>
                      <w:color w:val="000000"/>
                    </w:rPr>
                  </w:pPr>
                  <w:r>
                    <w:rPr>
                      <w:b/>
                      <w:bCs/>
                      <w:color w:val="000000"/>
                    </w:rPr>
                    <w:t>评价标准(dBA)</w:t>
                  </w:r>
                </w:p>
              </w:tc>
              <w:tc>
                <w:tcPr>
                  <w:tcW w:w="492" w:type="pct"/>
                  <w:noWrap/>
                  <w:vAlign w:val="center"/>
                </w:tcPr>
                <w:p>
                  <w:pPr>
                    <w:pStyle w:val="37"/>
                    <w:rPr>
                      <w:b/>
                      <w:bCs/>
                      <w:color w:val="000000"/>
                    </w:rPr>
                  </w:pPr>
                  <w:r>
                    <w:rPr>
                      <w:b/>
                      <w:bCs/>
                      <w:color w:val="000000"/>
                    </w:rPr>
                    <w:t>占标率%(叠加背景值后)</w:t>
                  </w:r>
                </w:p>
              </w:tc>
              <w:tc>
                <w:tcPr>
                  <w:tcW w:w="275" w:type="pct"/>
                  <w:noWrap/>
                  <w:vAlign w:val="center"/>
                </w:tcPr>
                <w:p>
                  <w:pPr>
                    <w:pStyle w:val="37"/>
                    <w:rPr>
                      <w:b/>
                      <w:bCs/>
                      <w:color w:val="000000"/>
                    </w:rPr>
                  </w:pPr>
                  <w:r>
                    <w:rPr>
                      <w:b/>
                      <w:bCs/>
                      <w:color w:val="000000"/>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restart"/>
                  <w:noWrap/>
                  <w:vAlign w:val="center"/>
                </w:tcPr>
                <w:p>
                  <w:pPr>
                    <w:pStyle w:val="37"/>
                    <w:rPr>
                      <w:color w:val="000000"/>
                    </w:rPr>
                  </w:pPr>
                  <w:r>
                    <w:rPr>
                      <w:color w:val="000000"/>
                    </w:rPr>
                    <w:t>1</w:t>
                  </w:r>
                </w:p>
              </w:tc>
              <w:tc>
                <w:tcPr>
                  <w:tcW w:w="380" w:type="pct"/>
                  <w:vMerge w:val="restart"/>
                  <w:noWrap/>
                  <w:vAlign w:val="center"/>
                </w:tcPr>
                <w:p>
                  <w:pPr>
                    <w:pStyle w:val="37"/>
                    <w:rPr>
                      <w:color w:val="000000"/>
                    </w:rPr>
                  </w:pPr>
                  <w:r>
                    <w:rPr>
                      <w:rFonts w:hint="eastAsia"/>
                      <w:color w:val="000000"/>
                    </w:rPr>
                    <w:t>北</w:t>
                  </w:r>
                  <w:r>
                    <w:rPr>
                      <w:color w:val="000000"/>
                    </w:rPr>
                    <w:t>厂界</w:t>
                  </w:r>
                </w:p>
              </w:tc>
              <w:tc>
                <w:tcPr>
                  <w:tcW w:w="466" w:type="pct"/>
                  <w:vMerge w:val="restart"/>
                  <w:noWrap/>
                  <w:vAlign w:val="center"/>
                </w:tcPr>
                <w:p>
                  <w:pPr>
                    <w:pStyle w:val="37"/>
                    <w:rPr>
                      <w:color w:val="000000"/>
                    </w:rPr>
                  </w:pPr>
                  <w:r>
                    <w:rPr>
                      <w:rFonts w:hint="eastAsia"/>
                      <w:color w:val="000000"/>
                    </w:rPr>
                    <w:t>2,127</w:t>
                  </w:r>
                </w:p>
              </w:tc>
              <w:tc>
                <w:tcPr>
                  <w:tcW w:w="445" w:type="pct"/>
                  <w:vMerge w:val="restart"/>
                  <w:noWrap/>
                  <w:vAlign w:val="center"/>
                </w:tcPr>
                <w:p>
                  <w:pPr>
                    <w:pStyle w:val="37"/>
                    <w:rPr>
                      <w:color w:val="000000"/>
                    </w:rPr>
                  </w:pPr>
                  <w:r>
                    <w:rPr>
                      <w:rFonts w:hint="eastAsia"/>
                      <w:color w:val="000000"/>
                    </w:rPr>
                    <w:t>2,127</w:t>
                  </w:r>
                </w:p>
              </w:tc>
              <w:tc>
                <w:tcPr>
                  <w:tcW w:w="384" w:type="pct"/>
                  <w:vMerge w:val="restart"/>
                  <w:noWrap/>
                  <w:vAlign w:val="center"/>
                </w:tcPr>
                <w:p>
                  <w:pPr>
                    <w:pStyle w:val="37"/>
                    <w:rPr>
                      <w:color w:val="000000"/>
                    </w:rPr>
                  </w:pPr>
                  <w:r>
                    <w:rPr>
                      <w:rFonts w:hint="eastAsia"/>
                      <w:color w:val="000000"/>
                    </w:rPr>
                    <w:t>34.74</w:t>
                  </w:r>
                </w:p>
              </w:tc>
              <w:tc>
                <w:tcPr>
                  <w:tcW w:w="351" w:type="pct"/>
                  <w:vMerge w:val="restart"/>
                  <w:noWrap/>
                  <w:vAlign w:val="center"/>
                </w:tcPr>
                <w:p>
                  <w:pPr>
                    <w:pStyle w:val="37"/>
                    <w:rPr>
                      <w:color w:val="000000"/>
                    </w:rPr>
                  </w:pPr>
                  <w:r>
                    <w:rPr>
                      <w:rFonts w:hint="eastAsia"/>
                      <w:color w:val="000000"/>
                    </w:rPr>
                    <w:t>1.2</w:t>
                  </w:r>
                </w:p>
              </w:tc>
              <w:tc>
                <w:tcPr>
                  <w:tcW w:w="419" w:type="pct"/>
                  <w:noWrap/>
                  <w:vAlign w:val="center"/>
                </w:tcPr>
                <w:p>
                  <w:pPr>
                    <w:pStyle w:val="37"/>
                    <w:rPr>
                      <w:color w:val="000000"/>
                    </w:rPr>
                  </w:pPr>
                  <w:r>
                    <w:rPr>
                      <w:color w:val="000000"/>
                    </w:rPr>
                    <w:t>昼间噪声</w:t>
                  </w:r>
                </w:p>
              </w:tc>
              <w:tc>
                <w:tcPr>
                  <w:tcW w:w="385" w:type="pct"/>
                  <w:noWrap/>
                  <w:vAlign w:val="center"/>
                </w:tcPr>
                <w:p>
                  <w:pPr>
                    <w:pStyle w:val="37"/>
                  </w:pPr>
                  <w:r>
                    <w:rPr>
                      <w:rFonts w:hint="eastAsia"/>
                    </w:rPr>
                    <w:t>27.58</w:t>
                  </w:r>
                </w:p>
              </w:tc>
              <w:tc>
                <w:tcPr>
                  <w:tcW w:w="925" w:type="dxa"/>
                  <w:noWrap/>
                  <w:vAlign w:val="center"/>
                </w:tcPr>
                <w:p>
                  <w:pPr>
                    <w:pStyle w:val="37"/>
                  </w:pPr>
                  <w:r>
                    <w:rPr>
                      <w:rFonts w:hint="eastAsia"/>
                    </w:rPr>
                    <w:t>/</w:t>
                  </w:r>
                </w:p>
              </w:tc>
              <w:tc>
                <w:tcPr>
                  <w:tcW w:w="925" w:type="dxa"/>
                  <w:noWrap/>
                  <w:vAlign w:val="center"/>
                </w:tcPr>
                <w:p>
                  <w:pPr>
                    <w:pStyle w:val="37"/>
                  </w:pPr>
                  <w:r>
                    <w:rPr>
                      <w:rFonts w:hint="eastAsia"/>
                    </w:rPr>
                    <w:t>/</w:t>
                  </w:r>
                </w:p>
              </w:tc>
              <w:tc>
                <w:tcPr>
                  <w:tcW w:w="385" w:type="pct"/>
                  <w:noWrap/>
                  <w:vAlign w:val="center"/>
                </w:tcPr>
                <w:p>
                  <w:pPr>
                    <w:pStyle w:val="37"/>
                  </w:pPr>
                  <w:r>
                    <w:rPr>
                      <w:rFonts w:hint="eastAsia"/>
                    </w:rPr>
                    <w:t>65.00</w:t>
                  </w:r>
                </w:p>
              </w:tc>
              <w:tc>
                <w:tcPr>
                  <w:tcW w:w="1184" w:type="dxa"/>
                  <w:noWrap/>
                  <w:vAlign w:val="center"/>
                </w:tcPr>
                <w:p>
                  <w:pPr>
                    <w:pStyle w:val="37"/>
                  </w:pPr>
                  <w:r>
                    <w:rPr>
                      <w:rFonts w:hint="eastAsia"/>
                    </w:rPr>
                    <w:t>42.43</w:t>
                  </w:r>
                </w:p>
              </w:tc>
              <w:tc>
                <w:tcPr>
                  <w:tcW w:w="275" w:type="pct"/>
                  <w:noWrap/>
                  <w:vAlign w:val="center"/>
                </w:tcPr>
                <w:p>
                  <w:pPr>
                    <w:pStyle w:val="37"/>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noWrap/>
                  <w:vAlign w:val="center"/>
                </w:tcPr>
                <w:p>
                  <w:pPr>
                    <w:pStyle w:val="37"/>
                    <w:rPr>
                      <w:color w:val="000000"/>
                    </w:rPr>
                  </w:pPr>
                </w:p>
              </w:tc>
              <w:tc>
                <w:tcPr>
                  <w:tcW w:w="380" w:type="pct"/>
                  <w:vMerge w:val="continue"/>
                  <w:noWrap/>
                  <w:vAlign w:val="center"/>
                </w:tcPr>
                <w:p>
                  <w:pPr>
                    <w:pStyle w:val="37"/>
                    <w:rPr>
                      <w:color w:val="000000"/>
                    </w:rPr>
                  </w:pPr>
                </w:p>
              </w:tc>
              <w:tc>
                <w:tcPr>
                  <w:tcW w:w="466" w:type="pct"/>
                  <w:vMerge w:val="continue"/>
                  <w:noWrap/>
                  <w:vAlign w:val="center"/>
                </w:tcPr>
                <w:p>
                  <w:pPr>
                    <w:pStyle w:val="37"/>
                    <w:rPr>
                      <w:color w:val="000000"/>
                    </w:rPr>
                  </w:pPr>
                </w:p>
              </w:tc>
              <w:tc>
                <w:tcPr>
                  <w:tcW w:w="445" w:type="pct"/>
                  <w:vMerge w:val="continue"/>
                  <w:noWrap/>
                  <w:vAlign w:val="center"/>
                </w:tcPr>
                <w:p>
                  <w:pPr>
                    <w:pStyle w:val="37"/>
                    <w:rPr>
                      <w:color w:val="000000"/>
                    </w:rPr>
                  </w:pPr>
                </w:p>
              </w:tc>
              <w:tc>
                <w:tcPr>
                  <w:tcW w:w="384" w:type="pct"/>
                  <w:vMerge w:val="continue"/>
                  <w:noWrap/>
                  <w:vAlign w:val="center"/>
                </w:tcPr>
                <w:p>
                  <w:pPr>
                    <w:pStyle w:val="37"/>
                    <w:rPr>
                      <w:color w:val="000000"/>
                    </w:rPr>
                  </w:pPr>
                </w:p>
              </w:tc>
              <w:tc>
                <w:tcPr>
                  <w:tcW w:w="351" w:type="pct"/>
                  <w:vMerge w:val="continue"/>
                  <w:noWrap/>
                  <w:vAlign w:val="center"/>
                </w:tcPr>
                <w:p>
                  <w:pPr>
                    <w:pStyle w:val="37"/>
                    <w:rPr>
                      <w:color w:val="000000"/>
                    </w:rPr>
                  </w:pPr>
                </w:p>
              </w:tc>
              <w:tc>
                <w:tcPr>
                  <w:tcW w:w="419" w:type="pct"/>
                  <w:noWrap/>
                  <w:vAlign w:val="center"/>
                </w:tcPr>
                <w:p>
                  <w:pPr>
                    <w:pStyle w:val="37"/>
                    <w:rPr>
                      <w:color w:val="000000"/>
                    </w:rPr>
                  </w:pPr>
                  <w:r>
                    <w:rPr>
                      <w:rFonts w:hint="eastAsia"/>
                      <w:color w:val="000000"/>
                    </w:rPr>
                    <w:t>夜间噪声</w:t>
                  </w:r>
                </w:p>
              </w:tc>
              <w:tc>
                <w:tcPr>
                  <w:tcW w:w="385" w:type="pct"/>
                  <w:noWrap/>
                  <w:vAlign w:val="center"/>
                </w:tcPr>
                <w:p>
                  <w:pPr>
                    <w:pStyle w:val="37"/>
                  </w:pPr>
                  <w:r>
                    <w:rPr>
                      <w:rFonts w:hint="eastAsia"/>
                    </w:rPr>
                    <w:t>27.58</w:t>
                  </w:r>
                </w:p>
              </w:tc>
              <w:tc>
                <w:tcPr>
                  <w:tcW w:w="925" w:type="dxa"/>
                  <w:noWrap/>
                  <w:vAlign w:val="center"/>
                </w:tcPr>
                <w:p>
                  <w:pPr>
                    <w:pStyle w:val="37"/>
                  </w:pPr>
                  <w:r>
                    <w:rPr>
                      <w:rFonts w:hint="eastAsia"/>
                    </w:rPr>
                    <w:t>/</w:t>
                  </w:r>
                </w:p>
              </w:tc>
              <w:tc>
                <w:tcPr>
                  <w:tcW w:w="925" w:type="dxa"/>
                  <w:noWrap/>
                  <w:vAlign w:val="center"/>
                </w:tcPr>
                <w:p>
                  <w:pPr>
                    <w:pStyle w:val="37"/>
                  </w:pPr>
                  <w:r>
                    <w:rPr>
                      <w:rFonts w:hint="eastAsia"/>
                    </w:rPr>
                    <w:t>/</w:t>
                  </w:r>
                </w:p>
              </w:tc>
              <w:tc>
                <w:tcPr>
                  <w:tcW w:w="385" w:type="pct"/>
                  <w:noWrap/>
                  <w:vAlign w:val="center"/>
                </w:tcPr>
                <w:p>
                  <w:pPr>
                    <w:pStyle w:val="37"/>
                  </w:pPr>
                  <w:r>
                    <w:rPr>
                      <w:rFonts w:hint="eastAsia"/>
                    </w:rPr>
                    <w:t>55.00</w:t>
                  </w:r>
                </w:p>
              </w:tc>
              <w:tc>
                <w:tcPr>
                  <w:tcW w:w="1184" w:type="dxa"/>
                  <w:noWrap/>
                  <w:vAlign w:val="center"/>
                </w:tcPr>
                <w:p>
                  <w:pPr>
                    <w:pStyle w:val="37"/>
                  </w:pPr>
                  <w:r>
                    <w:rPr>
                      <w:rFonts w:hint="eastAsia"/>
                    </w:rPr>
                    <w:t>50.15</w:t>
                  </w:r>
                </w:p>
              </w:tc>
              <w:tc>
                <w:tcPr>
                  <w:tcW w:w="275" w:type="pct"/>
                  <w:noWrap/>
                  <w:vAlign w:val="center"/>
                </w:tcPr>
                <w:p>
                  <w:pPr>
                    <w:pStyle w:val="37"/>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 w:type="pct"/>
                  <w:vMerge w:val="restart"/>
                  <w:noWrap/>
                  <w:vAlign w:val="center"/>
                </w:tcPr>
                <w:p>
                  <w:pPr>
                    <w:pStyle w:val="37"/>
                    <w:rPr>
                      <w:color w:val="000000"/>
                    </w:rPr>
                  </w:pPr>
                  <w:r>
                    <w:rPr>
                      <w:color w:val="000000"/>
                    </w:rPr>
                    <w:t>2</w:t>
                  </w:r>
                </w:p>
              </w:tc>
              <w:tc>
                <w:tcPr>
                  <w:tcW w:w="380" w:type="pct"/>
                  <w:vMerge w:val="restart"/>
                  <w:noWrap/>
                  <w:vAlign w:val="center"/>
                </w:tcPr>
                <w:p>
                  <w:pPr>
                    <w:pStyle w:val="37"/>
                    <w:rPr>
                      <w:color w:val="000000"/>
                    </w:rPr>
                  </w:pPr>
                  <w:r>
                    <w:rPr>
                      <w:rFonts w:hint="eastAsia"/>
                      <w:color w:val="000000"/>
                    </w:rPr>
                    <w:t>东</w:t>
                  </w:r>
                  <w:r>
                    <w:rPr>
                      <w:color w:val="000000"/>
                    </w:rPr>
                    <w:t>厂界</w:t>
                  </w:r>
                </w:p>
              </w:tc>
              <w:tc>
                <w:tcPr>
                  <w:tcW w:w="466" w:type="pct"/>
                  <w:vMerge w:val="restart"/>
                  <w:noWrap/>
                  <w:vAlign w:val="center"/>
                </w:tcPr>
                <w:p>
                  <w:pPr>
                    <w:pStyle w:val="37"/>
                    <w:rPr>
                      <w:color w:val="000000"/>
                    </w:rPr>
                  </w:pPr>
                  <w:r>
                    <w:rPr>
                      <w:rFonts w:hint="eastAsia"/>
                      <w:color w:val="000000"/>
                    </w:rPr>
                    <w:t>796,61</w:t>
                  </w:r>
                </w:p>
              </w:tc>
              <w:tc>
                <w:tcPr>
                  <w:tcW w:w="445" w:type="pct"/>
                  <w:vMerge w:val="restart"/>
                  <w:noWrap/>
                  <w:vAlign w:val="center"/>
                </w:tcPr>
                <w:p>
                  <w:pPr>
                    <w:pStyle w:val="37"/>
                    <w:rPr>
                      <w:color w:val="000000"/>
                    </w:rPr>
                  </w:pPr>
                  <w:r>
                    <w:rPr>
                      <w:rFonts w:hint="eastAsia"/>
                      <w:color w:val="000000"/>
                    </w:rPr>
                    <w:t>796,61</w:t>
                  </w:r>
                </w:p>
              </w:tc>
              <w:tc>
                <w:tcPr>
                  <w:tcW w:w="384" w:type="pct"/>
                  <w:vMerge w:val="restart"/>
                  <w:noWrap/>
                  <w:vAlign w:val="center"/>
                </w:tcPr>
                <w:p>
                  <w:pPr>
                    <w:pStyle w:val="37"/>
                    <w:rPr>
                      <w:color w:val="000000"/>
                    </w:rPr>
                  </w:pPr>
                  <w:r>
                    <w:rPr>
                      <w:rFonts w:hint="eastAsia"/>
                      <w:color w:val="000000"/>
                    </w:rPr>
                    <w:t>34.74</w:t>
                  </w:r>
                </w:p>
              </w:tc>
              <w:tc>
                <w:tcPr>
                  <w:tcW w:w="351" w:type="pct"/>
                  <w:vMerge w:val="restart"/>
                  <w:noWrap/>
                  <w:vAlign w:val="center"/>
                </w:tcPr>
                <w:p>
                  <w:pPr>
                    <w:pStyle w:val="37"/>
                    <w:rPr>
                      <w:color w:val="000000"/>
                    </w:rPr>
                  </w:pPr>
                  <w:r>
                    <w:rPr>
                      <w:rFonts w:hint="eastAsia"/>
                      <w:color w:val="000000"/>
                    </w:rPr>
                    <w:t>1.2</w:t>
                  </w:r>
                </w:p>
              </w:tc>
              <w:tc>
                <w:tcPr>
                  <w:tcW w:w="419" w:type="pct"/>
                  <w:noWrap/>
                  <w:vAlign w:val="center"/>
                </w:tcPr>
                <w:p>
                  <w:pPr>
                    <w:pStyle w:val="37"/>
                    <w:rPr>
                      <w:color w:val="000000"/>
                    </w:rPr>
                  </w:pPr>
                  <w:r>
                    <w:rPr>
                      <w:color w:val="000000"/>
                    </w:rPr>
                    <w:t>昼间噪声</w:t>
                  </w:r>
                </w:p>
              </w:tc>
              <w:tc>
                <w:tcPr>
                  <w:tcW w:w="385" w:type="pct"/>
                  <w:noWrap/>
                  <w:vAlign w:val="center"/>
                </w:tcPr>
                <w:p>
                  <w:pPr>
                    <w:pStyle w:val="37"/>
                  </w:pPr>
                  <w:r>
                    <w:rPr>
                      <w:rFonts w:hint="eastAsia"/>
                    </w:rPr>
                    <w:t>9.22</w:t>
                  </w:r>
                </w:p>
              </w:tc>
              <w:tc>
                <w:tcPr>
                  <w:tcW w:w="925" w:type="dxa"/>
                  <w:noWrap/>
                  <w:vAlign w:val="center"/>
                </w:tcPr>
                <w:p>
                  <w:pPr>
                    <w:pStyle w:val="37"/>
                  </w:pPr>
                  <w:r>
                    <w:rPr>
                      <w:rFonts w:hint="eastAsia"/>
                    </w:rPr>
                    <w:t>/</w:t>
                  </w:r>
                </w:p>
              </w:tc>
              <w:tc>
                <w:tcPr>
                  <w:tcW w:w="925" w:type="dxa"/>
                  <w:noWrap/>
                  <w:vAlign w:val="center"/>
                </w:tcPr>
                <w:p>
                  <w:pPr>
                    <w:pStyle w:val="37"/>
                  </w:pPr>
                  <w:r>
                    <w:rPr>
                      <w:rFonts w:hint="eastAsia"/>
                    </w:rPr>
                    <w:t>/</w:t>
                  </w:r>
                </w:p>
              </w:tc>
              <w:tc>
                <w:tcPr>
                  <w:tcW w:w="385" w:type="pct"/>
                  <w:noWrap/>
                  <w:vAlign w:val="center"/>
                </w:tcPr>
                <w:p>
                  <w:pPr>
                    <w:pStyle w:val="37"/>
                  </w:pPr>
                  <w:r>
                    <w:rPr>
                      <w:rFonts w:hint="eastAsia"/>
                    </w:rPr>
                    <w:t>65.00</w:t>
                  </w:r>
                </w:p>
              </w:tc>
              <w:tc>
                <w:tcPr>
                  <w:tcW w:w="1184" w:type="dxa"/>
                  <w:noWrap/>
                  <w:vAlign w:val="center"/>
                </w:tcPr>
                <w:p>
                  <w:pPr>
                    <w:pStyle w:val="37"/>
                  </w:pPr>
                  <w:r>
                    <w:rPr>
                      <w:rFonts w:hint="eastAsia"/>
                    </w:rPr>
                    <w:t>14.18</w:t>
                  </w:r>
                </w:p>
              </w:tc>
              <w:tc>
                <w:tcPr>
                  <w:tcW w:w="275" w:type="pct"/>
                  <w:noWrap/>
                  <w:vAlign w:val="center"/>
                </w:tcPr>
                <w:p>
                  <w:pPr>
                    <w:pStyle w:val="37"/>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 w:type="pct"/>
                  <w:vMerge w:val="continue"/>
                  <w:noWrap/>
                  <w:vAlign w:val="center"/>
                </w:tcPr>
                <w:p>
                  <w:pPr>
                    <w:pStyle w:val="37"/>
                    <w:rPr>
                      <w:color w:val="000000"/>
                    </w:rPr>
                  </w:pPr>
                </w:p>
              </w:tc>
              <w:tc>
                <w:tcPr>
                  <w:tcW w:w="380" w:type="pct"/>
                  <w:vMerge w:val="continue"/>
                  <w:noWrap/>
                  <w:vAlign w:val="center"/>
                </w:tcPr>
                <w:p>
                  <w:pPr>
                    <w:pStyle w:val="37"/>
                    <w:rPr>
                      <w:color w:val="000000"/>
                    </w:rPr>
                  </w:pPr>
                </w:p>
              </w:tc>
              <w:tc>
                <w:tcPr>
                  <w:tcW w:w="466" w:type="pct"/>
                  <w:vMerge w:val="continue"/>
                  <w:noWrap/>
                  <w:vAlign w:val="center"/>
                </w:tcPr>
                <w:p>
                  <w:pPr>
                    <w:pStyle w:val="37"/>
                    <w:rPr>
                      <w:color w:val="000000"/>
                    </w:rPr>
                  </w:pPr>
                </w:p>
              </w:tc>
              <w:tc>
                <w:tcPr>
                  <w:tcW w:w="445" w:type="pct"/>
                  <w:vMerge w:val="continue"/>
                  <w:noWrap/>
                  <w:vAlign w:val="center"/>
                </w:tcPr>
                <w:p>
                  <w:pPr>
                    <w:pStyle w:val="37"/>
                    <w:rPr>
                      <w:color w:val="000000"/>
                    </w:rPr>
                  </w:pPr>
                </w:p>
              </w:tc>
              <w:tc>
                <w:tcPr>
                  <w:tcW w:w="384" w:type="pct"/>
                  <w:vMerge w:val="continue"/>
                  <w:noWrap/>
                  <w:vAlign w:val="center"/>
                </w:tcPr>
                <w:p>
                  <w:pPr>
                    <w:pStyle w:val="37"/>
                    <w:rPr>
                      <w:color w:val="000000"/>
                    </w:rPr>
                  </w:pPr>
                </w:p>
              </w:tc>
              <w:tc>
                <w:tcPr>
                  <w:tcW w:w="351" w:type="pct"/>
                  <w:vMerge w:val="continue"/>
                  <w:noWrap/>
                  <w:vAlign w:val="center"/>
                </w:tcPr>
                <w:p>
                  <w:pPr>
                    <w:pStyle w:val="37"/>
                    <w:rPr>
                      <w:color w:val="000000"/>
                    </w:rPr>
                  </w:pPr>
                </w:p>
              </w:tc>
              <w:tc>
                <w:tcPr>
                  <w:tcW w:w="419" w:type="pct"/>
                  <w:noWrap/>
                  <w:vAlign w:val="center"/>
                </w:tcPr>
                <w:p>
                  <w:pPr>
                    <w:pStyle w:val="37"/>
                    <w:rPr>
                      <w:color w:val="000000"/>
                    </w:rPr>
                  </w:pPr>
                  <w:r>
                    <w:rPr>
                      <w:rFonts w:hint="eastAsia"/>
                      <w:color w:val="000000"/>
                    </w:rPr>
                    <w:t>夜间噪声</w:t>
                  </w:r>
                </w:p>
              </w:tc>
              <w:tc>
                <w:tcPr>
                  <w:tcW w:w="385" w:type="pct"/>
                  <w:noWrap/>
                  <w:vAlign w:val="center"/>
                </w:tcPr>
                <w:p>
                  <w:pPr>
                    <w:pStyle w:val="37"/>
                  </w:pPr>
                  <w:r>
                    <w:rPr>
                      <w:rFonts w:hint="eastAsia"/>
                    </w:rPr>
                    <w:t>9.22</w:t>
                  </w:r>
                </w:p>
              </w:tc>
              <w:tc>
                <w:tcPr>
                  <w:tcW w:w="925" w:type="dxa"/>
                  <w:noWrap/>
                  <w:vAlign w:val="center"/>
                </w:tcPr>
                <w:p>
                  <w:pPr>
                    <w:pStyle w:val="37"/>
                  </w:pPr>
                  <w:r>
                    <w:rPr>
                      <w:rFonts w:hint="eastAsia"/>
                    </w:rPr>
                    <w:t>/</w:t>
                  </w:r>
                </w:p>
              </w:tc>
              <w:tc>
                <w:tcPr>
                  <w:tcW w:w="925" w:type="dxa"/>
                  <w:noWrap/>
                  <w:vAlign w:val="center"/>
                </w:tcPr>
                <w:p>
                  <w:pPr>
                    <w:pStyle w:val="37"/>
                  </w:pPr>
                  <w:r>
                    <w:rPr>
                      <w:rFonts w:hint="eastAsia"/>
                    </w:rPr>
                    <w:t>/</w:t>
                  </w:r>
                </w:p>
              </w:tc>
              <w:tc>
                <w:tcPr>
                  <w:tcW w:w="385" w:type="pct"/>
                  <w:noWrap/>
                  <w:vAlign w:val="center"/>
                </w:tcPr>
                <w:p>
                  <w:pPr>
                    <w:pStyle w:val="37"/>
                  </w:pPr>
                  <w:r>
                    <w:rPr>
                      <w:rFonts w:hint="eastAsia"/>
                    </w:rPr>
                    <w:t>55.00</w:t>
                  </w:r>
                </w:p>
              </w:tc>
              <w:tc>
                <w:tcPr>
                  <w:tcW w:w="1184" w:type="dxa"/>
                  <w:noWrap/>
                  <w:vAlign w:val="center"/>
                </w:tcPr>
                <w:p>
                  <w:pPr>
                    <w:pStyle w:val="37"/>
                  </w:pPr>
                  <w:r>
                    <w:rPr>
                      <w:rFonts w:hint="eastAsia"/>
                    </w:rPr>
                    <w:t>16.76</w:t>
                  </w:r>
                </w:p>
              </w:tc>
              <w:tc>
                <w:tcPr>
                  <w:tcW w:w="275" w:type="pct"/>
                  <w:noWrap/>
                  <w:vAlign w:val="center"/>
                </w:tcPr>
                <w:p>
                  <w:pPr>
                    <w:pStyle w:val="37"/>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 w:type="pct"/>
                  <w:vMerge w:val="restart"/>
                  <w:noWrap/>
                  <w:vAlign w:val="center"/>
                </w:tcPr>
                <w:p>
                  <w:pPr>
                    <w:pStyle w:val="37"/>
                    <w:rPr>
                      <w:color w:val="000000"/>
                    </w:rPr>
                  </w:pPr>
                  <w:r>
                    <w:rPr>
                      <w:color w:val="000000"/>
                    </w:rPr>
                    <w:t>3</w:t>
                  </w:r>
                </w:p>
              </w:tc>
              <w:tc>
                <w:tcPr>
                  <w:tcW w:w="380" w:type="pct"/>
                  <w:vMerge w:val="restart"/>
                  <w:noWrap/>
                  <w:vAlign w:val="center"/>
                </w:tcPr>
                <w:p>
                  <w:pPr>
                    <w:pStyle w:val="37"/>
                    <w:rPr>
                      <w:color w:val="000000"/>
                    </w:rPr>
                  </w:pPr>
                  <w:r>
                    <w:rPr>
                      <w:rFonts w:hint="eastAsia"/>
                      <w:color w:val="000000"/>
                    </w:rPr>
                    <w:t>南</w:t>
                  </w:r>
                  <w:r>
                    <w:rPr>
                      <w:color w:val="000000"/>
                    </w:rPr>
                    <w:t>厂界</w:t>
                  </w:r>
                </w:p>
              </w:tc>
              <w:tc>
                <w:tcPr>
                  <w:tcW w:w="466" w:type="pct"/>
                  <w:vMerge w:val="restart"/>
                  <w:noWrap/>
                  <w:vAlign w:val="center"/>
                </w:tcPr>
                <w:p>
                  <w:pPr>
                    <w:pStyle w:val="37"/>
                    <w:rPr>
                      <w:color w:val="000000"/>
                    </w:rPr>
                  </w:pPr>
                  <w:r>
                    <w:rPr>
                      <w:rFonts w:hint="eastAsia"/>
                      <w:color w:val="000000"/>
                    </w:rPr>
                    <w:t>-15,-144</w:t>
                  </w:r>
                </w:p>
              </w:tc>
              <w:tc>
                <w:tcPr>
                  <w:tcW w:w="445" w:type="pct"/>
                  <w:vMerge w:val="restart"/>
                  <w:noWrap/>
                  <w:vAlign w:val="center"/>
                </w:tcPr>
                <w:p>
                  <w:pPr>
                    <w:pStyle w:val="37"/>
                    <w:rPr>
                      <w:color w:val="000000"/>
                    </w:rPr>
                  </w:pPr>
                  <w:r>
                    <w:rPr>
                      <w:rFonts w:hint="eastAsia"/>
                      <w:color w:val="000000"/>
                    </w:rPr>
                    <w:t>-15,-144</w:t>
                  </w:r>
                </w:p>
              </w:tc>
              <w:tc>
                <w:tcPr>
                  <w:tcW w:w="384" w:type="pct"/>
                  <w:vMerge w:val="restart"/>
                  <w:noWrap/>
                  <w:vAlign w:val="center"/>
                </w:tcPr>
                <w:p>
                  <w:pPr>
                    <w:pStyle w:val="37"/>
                    <w:rPr>
                      <w:color w:val="000000"/>
                    </w:rPr>
                  </w:pPr>
                  <w:r>
                    <w:rPr>
                      <w:rFonts w:hint="eastAsia"/>
                      <w:color w:val="000000"/>
                    </w:rPr>
                    <w:t>34.74</w:t>
                  </w:r>
                </w:p>
              </w:tc>
              <w:tc>
                <w:tcPr>
                  <w:tcW w:w="351" w:type="pct"/>
                  <w:vMerge w:val="restart"/>
                  <w:noWrap/>
                  <w:vAlign w:val="center"/>
                </w:tcPr>
                <w:p>
                  <w:pPr>
                    <w:pStyle w:val="37"/>
                    <w:rPr>
                      <w:color w:val="000000"/>
                    </w:rPr>
                  </w:pPr>
                  <w:r>
                    <w:rPr>
                      <w:rFonts w:hint="eastAsia"/>
                      <w:color w:val="000000"/>
                    </w:rPr>
                    <w:t>1.2</w:t>
                  </w:r>
                </w:p>
              </w:tc>
              <w:tc>
                <w:tcPr>
                  <w:tcW w:w="419" w:type="pct"/>
                  <w:noWrap/>
                  <w:vAlign w:val="center"/>
                </w:tcPr>
                <w:p>
                  <w:pPr>
                    <w:pStyle w:val="37"/>
                    <w:rPr>
                      <w:color w:val="000000"/>
                    </w:rPr>
                  </w:pPr>
                  <w:r>
                    <w:rPr>
                      <w:color w:val="000000"/>
                    </w:rPr>
                    <w:t>昼间噪声</w:t>
                  </w:r>
                </w:p>
              </w:tc>
              <w:tc>
                <w:tcPr>
                  <w:tcW w:w="385" w:type="pct"/>
                  <w:noWrap/>
                  <w:vAlign w:val="center"/>
                </w:tcPr>
                <w:p>
                  <w:pPr>
                    <w:pStyle w:val="37"/>
                  </w:pPr>
                  <w:r>
                    <w:rPr>
                      <w:rFonts w:hint="eastAsia"/>
                    </w:rPr>
                    <w:t>26.46</w:t>
                  </w:r>
                </w:p>
              </w:tc>
              <w:tc>
                <w:tcPr>
                  <w:tcW w:w="925" w:type="dxa"/>
                  <w:noWrap/>
                  <w:vAlign w:val="center"/>
                </w:tcPr>
                <w:p>
                  <w:pPr>
                    <w:pStyle w:val="37"/>
                  </w:pPr>
                  <w:r>
                    <w:rPr>
                      <w:rFonts w:hint="eastAsia"/>
                    </w:rPr>
                    <w:t>/</w:t>
                  </w:r>
                </w:p>
              </w:tc>
              <w:tc>
                <w:tcPr>
                  <w:tcW w:w="925" w:type="dxa"/>
                  <w:noWrap/>
                  <w:vAlign w:val="center"/>
                </w:tcPr>
                <w:p>
                  <w:pPr>
                    <w:pStyle w:val="37"/>
                  </w:pPr>
                  <w:r>
                    <w:rPr>
                      <w:rFonts w:hint="eastAsia"/>
                    </w:rPr>
                    <w:t>/</w:t>
                  </w:r>
                </w:p>
              </w:tc>
              <w:tc>
                <w:tcPr>
                  <w:tcW w:w="385" w:type="pct"/>
                  <w:noWrap/>
                  <w:vAlign w:val="center"/>
                </w:tcPr>
                <w:p>
                  <w:pPr>
                    <w:pStyle w:val="37"/>
                  </w:pPr>
                  <w:r>
                    <w:rPr>
                      <w:rFonts w:hint="eastAsia"/>
                    </w:rPr>
                    <w:t>65.00</w:t>
                  </w:r>
                </w:p>
              </w:tc>
              <w:tc>
                <w:tcPr>
                  <w:tcW w:w="1184" w:type="dxa"/>
                  <w:noWrap/>
                  <w:vAlign w:val="center"/>
                </w:tcPr>
                <w:p>
                  <w:pPr>
                    <w:pStyle w:val="37"/>
                  </w:pPr>
                  <w:r>
                    <w:rPr>
                      <w:rFonts w:hint="eastAsia"/>
                    </w:rPr>
                    <w:t>40.71</w:t>
                  </w:r>
                </w:p>
              </w:tc>
              <w:tc>
                <w:tcPr>
                  <w:tcW w:w="275" w:type="pct"/>
                  <w:noWrap/>
                  <w:vAlign w:val="center"/>
                </w:tcPr>
                <w:p>
                  <w:pPr>
                    <w:pStyle w:val="37"/>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noWrap/>
                  <w:vAlign w:val="center"/>
                </w:tcPr>
                <w:p>
                  <w:pPr>
                    <w:pStyle w:val="37"/>
                    <w:rPr>
                      <w:color w:val="000000"/>
                    </w:rPr>
                  </w:pPr>
                </w:p>
              </w:tc>
              <w:tc>
                <w:tcPr>
                  <w:tcW w:w="380" w:type="pct"/>
                  <w:vMerge w:val="continue"/>
                  <w:noWrap/>
                  <w:vAlign w:val="center"/>
                </w:tcPr>
                <w:p>
                  <w:pPr>
                    <w:pStyle w:val="37"/>
                    <w:rPr>
                      <w:color w:val="000000"/>
                    </w:rPr>
                  </w:pPr>
                </w:p>
              </w:tc>
              <w:tc>
                <w:tcPr>
                  <w:tcW w:w="466" w:type="pct"/>
                  <w:vMerge w:val="continue"/>
                  <w:noWrap/>
                  <w:vAlign w:val="center"/>
                </w:tcPr>
                <w:p>
                  <w:pPr>
                    <w:pStyle w:val="37"/>
                    <w:rPr>
                      <w:color w:val="000000"/>
                    </w:rPr>
                  </w:pPr>
                </w:p>
              </w:tc>
              <w:tc>
                <w:tcPr>
                  <w:tcW w:w="445" w:type="pct"/>
                  <w:vMerge w:val="continue"/>
                  <w:noWrap/>
                  <w:vAlign w:val="center"/>
                </w:tcPr>
                <w:p>
                  <w:pPr>
                    <w:pStyle w:val="37"/>
                    <w:rPr>
                      <w:color w:val="000000"/>
                    </w:rPr>
                  </w:pPr>
                </w:p>
              </w:tc>
              <w:tc>
                <w:tcPr>
                  <w:tcW w:w="384" w:type="pct"/>
                  <w:vMerge w:val="continue"/>
                  <w:noWrap/>
                  <w:vAlign w:val="center"/>
                </w:tcPr>
                <w:p>
                  <w:pPr>
                    <w:pStyle w:val="37"/>
                    <w:rPr>
                      <w:color w:val="000000"/>
                    </w:rPr>
                  </w:pPr>
                </w:p>
              </w:tc>
              <w:tc>
                <w:tcPr>
                  <w:tcW w:w="351" w:type="pct"/>
                  <w:vMerge w:val="continue"/>
                  <w:noWrap/>
                  <w:vAlign w:val="center"/>
                </w:tcPr>
                <w:p>
                  <w:pPr>
                    <w:pStyle w:val="37"/>
                    <w:rPr>
                      <w:color w:val="000000"/>
                    </w:rPr>
                  </w:pPr>
                </w:p>
              </w:tc>
              <w:tc>
                <w:tcPr>
                  <w:tcW w:w="419" w:type="pct"/>
                  <w:noWrap/>
                  <w:vAlign w:val="center"/>
                </w:tcPr>
                <w:p>
                  <w:pPr>
                    <w:pStyle w:val="37"/>
                    <w:rPr>
                      <w:color w:val="000000"/>
                    </w:rPr>
                  </w:pPr>
                  <w:r>
                    <w:rPr>
                      <w:rFonts w:hint="eastAsia"/>
                      <w:color w:val="000000"/>
                    </w:rPr>
                    <w:t>夜间噪声</w:t>
                  </w:r>
                </w:p>
              </w:tc>
              <w:tc>
                <w:tcPr>
                  <w:tcW w:w="385" w:type="pct"/>
                  <w:noWrap/>
                  <w:vAlign w:val="center"/>
                </w:tcPr>
                <w:p>
                  <w:pPr>
                    <w:pStyle w:val="37"/>
                  </w:pPr>
                  <w:r>
                    <w:rPr>
                      <w:rFonts w:hint="eastAsia"/>
                    </w:rPr>
                    <w:t>26.46</w:t>
                  </w:r>
                </w:p>
              </w:tc>
              <w:tc>
                <w:tcPr>
                  <w:tcW w:w="925" w:type="dxa"/>
                  <w:noWrap/>
                  <w:vAlign w:val="center"/>
                </w:tcPr>
                <w:p>
                  <w:pPr>
                    <w:pStyle w:val="37"/>
                  </w:pPr>
                  <w:r>
                    <w:rPr>
                      <w:rFonts w:hint="eastAsia"/>
                    </w:rPr>
                    <w:t>/</w:t>
                  </w:r>
                </w:p>
              </w:tc>
              <w:tc>
                <w:tcPr>
                  <w:tcW w:w="925" w:type="dxa"/>
                  <w:noWrap/>
                  <w:vAlign w:val="center"/>
                </w:tcPr>
                <w:p>
                  <w:pPr>
                    <w:pStyle w:val="37"/>
                  </w:pPr>
                  <w:r>
                    <w:rPr>
                      <w:rFonts w:hint="eastAsia"/>
                    </w:rPr>
                    <w:t>/</w:t>
                  </w:r>
                </w:p>
              </w:tc>
              <w:tc>
                <w:tcPr>
                  <w:tcW w:w="385" w:type="pct"/>
                  <w:noWrap/>
                  <w:vAlign w:val="center"/>
                </w:tcPr>
                <w:p>
                  <w:pPr>
                    <w:pStyle w:val="37"/>
                  </w:pPr>
                  <w:r>
                    <w:rPr>
                      <w:rFonts w:hint="eastAsia"/>
                    </w:rPr>
                    <w:t>55.00</w:t>
                  </w:r>
                </w:p>
              </w:tc>
              <w:tc>
                <w:tcPr>
                  <w:tcW w:w="1184" w:type="dxa"/>
                  <w:noWrap/>
                  <w:vAlign w:val="center"/>
                </w:tcPr>
                <w:p>
                  <w:pPr>
                    <w:pStyle w:val="37"/>
                  </w:pPr>
                  <w:r>
                    <w:rPr>
                      <w:rFonts w:hint="eastAsia"/>
                    </w:rPr>
                    <w:t>48.11</w:t>
                  </w:r>
                </w:p>
              </w:tc>
              <w:tc>
                <w:tcPr>
                  <w:tcW w:w="275" w:type="pct"/>
                  <w:noWrap/>
                  <w:vAlign w:val="center"/>
                </w:tcPr>
                <w:p>
                  <w:pPr>
                    <w:pStyle w:val="37"/>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 w:type="pct"/>
                  <w:vMerge w:val="restart"/>
                  <w:noWrap/>
                  <w:vAlign w:val="center"/>
                </w:tcPr>
                <w:p>
                  <w:pPr>
                    <w:pStyle w:val="37"/>
                    <w:rPr>
                      <w:color w:val="000000"/>
                    </w:rPr>
                  </w:pPr>
                  <w:r>
                    <w:rPr>
                      <w:rFonts w:hint="eastAsia"/>
                      <w:color w:val="000000"/>
                    </w:rPr>
                    <w:t>4</w:t>
                  </w:r>
                </w:p>
              </w:tc>
              <w:tc>
                <w:tcPr>
                  <w:tcW w:w="380" w:type="pct"/>
                  <w:vMerge w:val="restart"/>
                  <w:noWrap/>
                  <w:vAlign w:val="center"/>
                </w:tcPr>
                <w:p>
                  <w:pPr>
                    <w:pStyle w:val="37"/>
                    <w:rPr>
                      <w:color w:val="000000"/>
                    </w:rPr>
                  </w:pPr>
                  <w:r>
                    <w:rPr>
                      <w:rFonts w:hint="eastAsia"/>
                      <w:color w:val="000000"/>
                    </w:rPr>
                    <w:t>西</w:t>
                  </w:r>
                  <w:r>
                    <w:rPr>
                      <w:color w:val="000000"/>
                    </w:rPr>
                    <w:t>厂界</w:t>
                  </w:r>
                </w:p>
              </w:tc>
              <w:tc>
                <w:tcPr>
                  <w:tcW w:w="466" w:type="pct"/>
                  <w:vMerge w:val="restart"/>
                  <w:noWrap/>
                  <w:vAlign w:val="center"/>
                </w:tcPr>
                <w:p>
                  <w:pPr>
                    <w:pStyle w:val="37"/>
                    <w:rPr>
                      <w:color w:val="000000"/>
                    </w:rPr>
                  </w:pPr>
                  <w:r>
                    <w:rPr>
                      <w:rFonts w:hint="eastAsia"/>
                      <w:color w:val="000000"/>
                    </w:rPr>
                    <w:t>-459,108</w:t>
                  </w:r>
                </w:p>
              </w:tc>
              <w:tc>
                <w:tcPr>
                  <w:tcW w:w="445" w:type="pct"/>
                  <w:vMerge w:val="restart"/>
                  <w:noWrap/>
                  <w:vAlign w:val="center"/>
                </w:tcPr>
                <w:p>
                  <w:pPr>
                    <w:pStyle w:val="37"/>
                    <w:rPr>
                      <w:color w:val="000000"/>
                    </w:rPr>
                  </w:pPr>
                  <w:r>
                    <w:rPr>
                      <w:rFonts w:hint="eastAsia"/>
                      <w:color w:val="000000"/>
                    </w:rPr>
                    <w:t>-459,108</w:t>
                  </w:r>
                </w:p>
              </w:tc>
              <w:tc>
                <w:tcPr>
                  <w:tcW w:w="384" w:type="pct"/>
                  <w:vMerge w:val="restart"/>
                  <w:noWrap/>
                  <w:vAlign w:val="center"/>
                </w:tcPr>
                <w:p>
                  <w:pPr>
                    <w:pStyle w:val="37"/>
                    <w:rPr>
                      <w:color w:val="000000"/>
                    </w:rPr>
                  </w:pPr>
                  <w:r>
                    <w:rPr>
                      <w:rFonts w:hint="eastAsia"/>
                      <w:color w:val="000000"/>
                    </w:rPr>
                    <w:t>34.74</w:t>
                  </w:r>
                </w:p>
              </w:tc>
              <w:tc>
                <w:tcPr>
                  <w:tcW w:w="351" w:type="pct"/>
                  <w:vMerge w:val="restart"/>
                  <w:noWrap/>
                  <w:vAlign w:val="center"/>
                </w:tcPr>
                <w:p>
                  <w:pPr>
                    <w:pStyle w:val="37"/>
                    <w:rPr>
                      <w:color w:val="000000"/>
                    </w:rPr>
                  </w:pPr>
                  <w:r>
                    <w:rPr>
                      <w:rFonts w:hint="eastAsia"/>
                      <w:color w:val="000000"/>
                    </w:rPr>
                    <w:t>1.2</w:t>
                  </w:r>
                </w:p>
              </w:tc>
              <w:tc>
                <w:tcPr>
                  <w:tcW w:w="419" w:type="pct"/>
                  <w:noWrap/>
                  <w:vAlign w:val="center"/>
                </w:tcPr>
                <w:p>
                  <w:pPr>
                    <w:pStyle w:val="37"/>
                    <w:rPr>
                      <w:color w:val="000000"/>
                    </w:rPr>
                  </w:pPr>
                  <w:r>
                    <w:rPr>
                      <w:color w:val="000000"/>
                    </w:rPr>
                    <w:t>昼间噪声</w:t>
                  </w:r>
                </w:p>
              </w:tc>
              <w:tc>
                <w:tcPr>
                  <w:tcW w:w="385" w:type="pct"/>
                  <w:noWrap/>
                  <w:vAlign w:val="center"/>
                </w:tcPr>
                <w:p>
                  <w:pPr>
                    <w:pStyle w:val="37"/>
                  </w:pPr>
                  <w:r>
                    <w:rPr>
                      <w:rFonts w:hint="eastAsia"/>
                    </w:rPr>
                    <w:t>14.09</w:t>
                  </w:r>
                </w:p>
              </w:tc>
              <w:tc>
                <w:tcPr>
                  <w:tcW w:w="925" w:type="dxa"/>
                  <w:noWrap/>
                  <w:vAlign w:val="center"/>
                </w:tcPr>
                <w:p>
                  <w:pPr>
                    <w:pStyle w:val="37"/>
                  </w:pPr>
                  <w:r>
                    <w:rPr>
                      <w:rFonts w:hint="eastAsia"/>
                    </w:rPr>
                    <w:t>/</w:t>
                  </w:r>
                </w:p>
              </w:tc>
              <w:tc>
                <w:tcPr>
                  <w:tcW w:w="925" w:type="dxa"/>
                  <w:noWrap/>
                  <w:vAlign w:val="center"/>
                </w:tcPr>
                <w:p>
                  <w:pPr>
                    <w:pStyle w:val="37"/>
                  </w:pPr>
                  <w:r>
                    <w:rPr>
                      <w:rFonts w:hint="eastAsia"/>
                    </w:rPr>
                    <w:t>/</w:t>
                  </w:r>
                </w:p>
              </w:tc>
              <w:tc>
                <w:tcPr>
                  <w:tcW w:w="385" w:type="pct"/>
                  <w:noWrap/>
                  <w:vAlign w:val="center"/>
                </w:tcPr>
                <w:p>
                  <w:pPr>
                    <w:pStyle w:val="37"/>
                  </w:pPr>
                  <w:r>
                    <w:rPr>
                      <w:rFonts w:hint="eastAsia"/>
                    </w:rPr>
                    <w:t>65.00</w:t>
                  </w:r>
                </w:p>
              </w:tc>
              <w:tc>
                <w:tcPr>
                  <w:tcW w:w="1184" w:type="dxa"/>
                  <w:noWrap/>
                  <w:vAlign w:val="center"/>
                </w:tcPr>
                <w:p>
                  <w:pPr>
                    <w:pStyle w:val="37"/>
                  </w:pPr>
                  <w:r>
                    <w:rPr>
                      <w:rFonts w:hint="eastAsia"/>
                    </w:rPr>
                    <w:t>21.68</w:t>
                  </w:r>
                </w:p>
              </w:tc>
              <w:tc>
                <w:tcPr>
                  <w:tcW w:w="275" w:type="pct"/>
                  <w:noWrap/>
                  <w:vAlign w:val="center"/>
                </w:tcPr>
                <w:p>
                  <w:pPr>
                    <w:pStyle w:val="37"/>
                    <w:rPr>
                      <w:color w:val="000000"/>
                    </w:rPr>
                  </w:pPr>
                  <w:r>
                    <w:rPr>
                      <w:rFonts w:hint="eastAsia"/>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 w:type="pct"/>
                  <w:vMerge w:val="continue"/>
                  <w:noWrap/>
                  <w:vAlign w:val="center"/>
                </w:tcPr>
                <w:p>
                  <w:pPr>
                    <w:pStyle w:val="37"/>
                    <w:rPr>
                      <w:color w:val="000000"/>
                    </w:rPr>
                  </w:pPr>
                </w:p>
              </w:tc>
              <w:tc>
                <w:tcPr>
                  <w:tcW w:w="380" w:type="pct"/>
                  <w:vMerge w:val="continue"/>
                  <w:noWrap/>
                  <w:vAlign w:val="center"/>
                </w:tcPr>
                <w:p>
                  <w:pPr>
                    <w:pStyle w:val="37"/>
                    <w:rPr>
                      <w:color w:val="000000"/>
                    </w:rPr>
                  </w:pPr>
                </w:p>
              </w:tc>
              <w:tc>
                <w:tcPr>
                  <w:tcW w:w="466" w:type="pct"/>
                  <w:vMerge w:val="continue"/>
                  <w:noWrap/>
                  <w:vAlign w:val="center"/>
                </w:tcPr>
                <w:p>
                  <w:pPr>
                    <w:pStyle w:val="37"/>
                    <w:rPr>
                      <w:color w:val="000000"/>
                    </w:rPr>
                  </w:pPr>
                </w:p>
              </w:tc>
              <w:tc>
                <w:tcPr>
                  <w:tcW w:w="445" w:type="pct"/>
                  <w:vMerge w:val="continue"/>
                  <w:noWrap/>
                  <w:vAlign w:val="center"/>
                </w:tcPr>
                <w:p>
                  <w:pPr>
                    <w:pStyle w:val="37"/>
                    <w:rPr>
                      <w:color w:val="000000"/>
                    </w:rPr>
                  </w:pPr>
                </w:p>
              </w:tc>
              <w:tc>
                <w:tcPr>
                  <w:tcW w:w="384" w:type="pct"/>
                  <w:vMerge w:val="continue"/>
                  <w:noWrap/>
                  <w:vAlign w:val="center"/>
                </w:tcPr>
                <w:p>
                  <w:pPr>
                    <w:pStyle w:val="37"/>
                    <w:rPr>
                      <w:color w:val="000000"/>
                    </w:rPr>
                  </w:pPr>
                </w:p>
              </w:tc>
              <w:tc>
                <w:tcPr>
                  <w:tcW w:w="351" w:type="pct"/>
                  <w:vMerge w:val="continue"/>
                  <w:noWrap/>
                  <w:vAlign w:val="center"/>
                </w:tcPr>
                <w:p>
                  <w:pPr>
                    <w:pStyle w:val="37"/>
                    <w:rPr>
                      <w:color w:val="000000"/>
                    </w:rPr>
                  </w:pPr>
                </w:p>
              </w:tc>
              <w:tc>
                <w:tcPr>
                  <w:tcW w:w="419" w:type="pct"/>
                  <w:noWrap/>
                  <w:vAlign w:val="center"/>
                </w:tcPr>
                <w:p>
                  <w:pPr>
                    <w:pStyle w:val="37"/>
                    <w:rPr>
                      <w:color w:val="000000"/>
                    </w:rPr>
                  </w:pPr>
                  <w:r>
                    <w:rPr>
                      <w:rFonts w:hint="eastAsia"/>
                      <w:color w:val="000000"/>
                    </w:rPr>
                    <w:t>夜间噪声</w:t>
                  </w:r>
                </w:p>
              </w:tc>
              <w:tc>
                <w:tcPr>
                  <w:tcW w:w="385" w:type="pct"/>
                  <w:noWrap/>
                  <w:vAlign w:val="center"/>
                </w:tcPr>
                <w:p>
                  <w:pPr>
                    <w:pStyle w:val="37"/>
                  </w:pPr>
                  <w:r>
                    <w:rPr>
                      <w:rFonts w:hint="eastAsia"/>
                    </w:rPr>
                    <w:t>14.09</w:t>
                  </w:r>
                </w:p>
              </w:tc>
              <w:tc>
                <w:tcPr>
                  <w:tcW w:w="925" w:type="dxa"/>
                  <w:noWrap/>
                  <w:vAlign w:val="center"/>
                </w:tcPr>
                <w:p>
                  <w:pPr>
                    <w:pStyle w:val="37"/>
                  </w:pPr>
                  <w:r>
                    <w:rPr>
                      <w:rFonts w:hint="eastAsia"/>
                    </w:rPr>
                    <w:t>/</w:t>
                  </w:r>
                </w:p>
              </w:tc>
              <w:tc>
                <w:tcPr>
                  <w:tcW w:w="925" w:type="dxa"/>
                  <w:noWrap/>
                  <w:vAlign w:val="center"/>
                </w:tcPr>
                <w:p>
                  <w:pPr>
                    <w:pStyle w:val="37"/>
                  </w:pPr>
                  <w:r>
                    <w:rPr>
                      <w:rFonts w:hint="eastAsia"/>
                    </w:rPr>
                    <w:t>/</w:t>
                  </w:r>
                </w:p>
              </w:tc>
              <w:tc>
                <w:tcPr>
                  <w:tcW w:w="385" w:type="pct"/>
                  <w:noWrap/>
                  <w:vAlign w:val="center"/>
                </w:tcPr>
                <w:p>
                  <w:pPr>
                    <w:pStyle w:val="37"/>
                  </w:pPr>
                  <w:r>
                    <w:rPr>
                      <w:rFonts w:hint="eastAsia"/>
                    </w:rPr>
                    <w:t>55.00</w:t>
                  </w:r>
                </w:p>
              </w:tc>
              <w:tc>
                <w:tcPr>
                  <w:tcW w:w="1184" w:type="dxa"/>
                  <w:noWrap/>
                  <w:vAlign w:val="center"/>
                </w:tcPr>
                <w:p>
                  <w:pPr>
                    <w:pStyle w:val="37"/>
                  </w:pPr>
                  <w:r>
                    <w:rPr>
                      <w:rFonts w:hint="eastAsia"/>
                    </w:rPr>
                    <w:t>25.62</w:t>
                  </w:r>
                </w:p>
              </w:tc>
              <w:tc>
                <w:tcPr>
                  <w:tcW w:w="275" w:type="pct"/>
                  <w:noWrap/>
                  <w:vAlign w:val="center"/>
                </w:tcPr>
                <w:p>
                  <w:pPr>
                    <w:pStyle w:val="37"/>
                    <w:rPr>
                      <w:color w:val="000000"/>
                    </w:rPr>
                  </w:pPr>
                  <w:r>
                    <w:rPr>
                      <w:rFonts w:hint="eastAsia"/>
                      <w:color w:val="000000"/>
                    </w:rPr>
                    <w:t>达标</w:t>
                  </w:r>
                </w:p>
              </w:tc>
            </w:tr>
          </w:tbl>
          <w:p>
            <w:pPr>
              <w:adjustRightInd w:val="0"/>
              <w:snapToGrid w:val="0"/>
              <w:ind w:firstLine="0" w:firstLineChars="0"/>
              <w:jc w:val="center"/>
              <w:rPr>
                <w:color w:val="000000"/>
              </w:rPr>
            </w:pPr>
            <w:r>
              <w:drawing>
                <wp:inline distT="0" distB="0" distL="114300" distR="114300">
                  <wp:extent cx="7171690" cy="3098800"/>
                  <wp:effectExtent l="0" t="0" r="10160" b="63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9" cstate="print"/>
                          <a:stretch>
                            <a:fillRect/>
                          </a:stretch>
                        </pic:blipFill>
                        <pic:spPr>
                          <a:xfrm>
                            <a:off x="0" y="0"/>
                            <a:ext cx="7171690" cy="3098800"/>
                          </a:xfrm>
                          <a:prstGeom prst="rect">
                            <a:avLst/>
                          </a:prstGeom>
                          <a:noFill/>
                          <a:ln>
                            <a:noFill/>
                          </a:ln>
                        </pic:spPr>
                      </pic:pic>
                    </a:graphicData>
                  </a:graphic>
                </wp:inline>
              </w:drawing>
            </w:r>
          </w:p>
          <w:p>
            <w:pPr>
              <w:pStyle w:val="38"/>
              <w:rPr>
                <w:color w:val="000000"/>
                <w:spacing w:val="0"/>
              </w:rPr>
            </w:pPr>
            <w:r>
              <w:rPr>
                <w:rFonts w:hint="eastAsia"/>
                <w:color w:val="000000"/>
                <w:spacing w:val="0"/>
              </w:rPr>
              <w:t>图4-1  项目噪声排放情况分布图</w:t>
            </w:r>
          </w:p>
          <w:p>
            <w:pPr>
              <w:adjustRightInd w:val="0"/>
              <w:snapToGrid w:val="0"/>
              <w:spacing w:beforeLines="50"/>
              <w:ind w:firstLine="480"/>
              <w:rPr>
                <w:color w:val="000000"/>
              </w:rPr>
            </w:pPr>
            <w:r>
              <w:rPr>
                <w:color w:val="000000"/>
              </w:rPr>
              <w:t>根据预测结果可知，</w:t>
            </w:r>
            <w:r>
              <w:rPr>
                <w:rFonts w:hint="eastAsia"/>
                <w:color w:val="000000"/>
              </w:rPr>
              <w:t>扩建</w:t>
            </w:r>
            <w:r>
              <w:rPr>
                <w:color w:val="000000"/>
              </w:rPr>
              <w:t>项目使用的生产设备</w:t>
            </w:r>
            <w:r>
              <w:rPr>
                <w:rFonts w:hint="eastAsia"/>
                <w:color w:val="000000"/>
              </w:rPr>
              <w:t>产生的噪声</w:t>
            </w:r>
            <w:r>
              <w:rPr>
                <w:color w:val="000000"/>
              </w:rPr>
              <w:t>通过距离衰减、墙壁阻隔等措施之后，其噪声</w:t>
            </w:r>
            <w:r>
              <w:rPr>
                <w:rFonts w:hint="eastAsia"/>
                <w:color w:val="000000"/>
              </w:rPr>
              <w:t>排放</w:t>
            </w:r>
            <w:r>
              <w:rPr>
                <w:color w:val="000000"/>
              </w:rPr>
              <w:t>在厂区边界处</w:t>
            </w:r>
            <w:r>
              <w:rPr>
                <w:rFonts w:hint="eastAsia"/>
                <w:color w:val="000000"/>
              </w:rPr>
              <w:t>昼间、夜间均</w:t>
            </w:r>
            <w:r>
              <w:rPr>
                <w:color w:val="000000"/>
              </w:rPr>
              <w:t>能够达到《工业企业厂界环境噪声排放标准》（GB12348-2008）中</w:t>
            </w:r>
            <w:r>
              <w:rPr>
                <w:rFonts w:hint="eastAsia"/>
                <w:color w:val="000000"/>
              </w:rPr>
              <w:t>3</w:t>
            </w:r>
            <w:r>
              <w:rPr>
                <w:color w:val="000000"/>
              </w:rPr>
              <w:t>类标准要求，对周边环境无明显影响。</w:t>
            </w:r>
          </w:p>
          <w:p>
            <w:pPr>
              <w:numPr>
                <w:ilvl w:val="0"/>
                <w:numId w:val="8"/>
              </w:numPr>
              <w:adjustRightInd w:val="0"/>
              <w:snapToGrid w:val="0"/>
              <w:ind w:firstLine="482"/>
              <w:rPr>
                <w:b/>
                <w:color w:val="000000"/>
              </w:rPr>
            </w:pPr>
            <w:r>
              <w:rPr>
                <w:b/>
                <w:color w:val="000000"/>
              </w:rPr>
              <w:t>噪声监测要求</w:t>
            </w:r>
          </w:p>
          <w:p>
            <w:pPr>
              <w:pStyle w:val="38"/>
              <w:rPr>
                <w:color w:val="000000"/>
                <w:szCs w:val="24"/>
              </w:rPr>
            </w:pPr>
            <w:r>
              <w:rPr>
                <w:color w:val="000000"/>
                <w:szCs w:val="24"/>
              </w:rPr>
              <w:t>表4-</w:t>
            </w:r>
            <w:r>
              <w:rPr>
                <w:rFonts w:hint="eastAsia"/>
                <w:color w:val="000000"/>
                <w:szCs w:val="24"/>
              </w:rPr>
              <w:t>11  项目</w:t>
            </w:r>
            <w:r>
              <w:rPr>
                <w:color w:val="000000"/>
                <w:szCs w:val="24"/>
              </w:rPr>
              <w:t>噪声监测计划一览表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1967"/>
              <w:gridCol w:w="2526"/>
              <w:gridCol w:w="5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pct"/>
                  <w:vAlign w:val="center"/>
                </w:tcPr>
                <w:p>
                  <w:pPr>
                    <w:pStyle w:val="37"/>
                    <w:rPr>
                      <w:b/>
                      <w:bCs/>
                      <w:color w:val="000000"/>
                      <w:kern w:val="2"/>
                      <w:szCs w:val="24"/>
                    </w:rPr>
                  </w:pPr>
                  <w:r>
                    <w:rPr>
                      <w:b/>
                      <w:bCs/>
                      <w:color w:val="000000"/>
                      <w:kern w:val="2"/>
                      <w:szCs w:val="24"/>
                    </w:rPr>
                    <w:t>监测点位</w:t>
                  </w:r>
                </w:p>
              </w:tc>
              <w:tc>
                <w:tcPr>
                  <w:tcW w:w="818" w:type="pct"/>
                  <w:vAlign w:val="center"/>
                </w:tcPr>
                <w:p>
                  <w:pPr>
                    <w:pStyle w:val="37"/>
                    <w:rPr>
                      <w:b/>
                      <w:bCs/>
                      <w:color w:val="000000"/>
                      <w:kern w:val="2"/>
                      <w:szCs w:val="24"/>
                    </w:rPr>
                  </w:pPr>
                  <w:r>
                    <w:rPr>
                      <w:b/>
                      <w:bCs/>
                      <w:color w:val="000000"/>
                      <w:kern w:val="2"/>
                      <w:szCs w:val="24"/>
                    </w:rPr>
                    <w:t>监测指标</w:t>
                  </w:r>
                </w:p>
              </w:tc>
              <w:tc>
                <w:tcPr>
                  <w:tcW w:w="1051" w:type="pct"/>
                  <w:vAlign w:val="center"/>
                </w:tcPr>
                <w:p>
                  <w:pPr>
                    <w:pStyle w:val="37"/>
                    <w:rPr>
                      <w:b/>
                      <w:bCs/>
                      <w:color w:val="000000"/>
                      <w:kern w:val="2"/>
                      <w:szCs w:val="24"/>
                    </w:rPr>
                  </w:pPr>
                  <w:r>
                    <w:rPr>
                      <w:b/>
                      <w:bCs/>
                      <w:color w:val="000000"/>
                      <w:kern w:val="2"/>
                      <w:szCs w:val="24"/>
                    </w:rPr>
                    <w:t>监测频次</w:t>
                  </w:r>
                </w:p>
              </w:tc>
              <w:tc>
                <w:tcPr>
                  <w:tcW w:w="2307" w:type="pct"/>
                  <w:vAlign w:val="center"/>
                </w:tcPr>
                <w:p>
                  <w:pPr>
                    <w:pStyle w:val="37"/>
                    <w:rPr>
                      <w:b/>
                      <w:bCs/>
                      <w:color w:val="000000"/>
                      <w:kern w:val="2"/>
                      <w:szCs w:val="24"/>
                    </w:rPr>
                  </w:pPr>
                  <w:r>
                    <w:rPr>
                      <w:b/>
                      <w:bCs/>
                      <w:color w:val="000000"/>
                      <w:kern w:val="2"/>
                      <w:szCs w:val="24"/>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pct"/>
                  <w:vAlign w:val="center"/>
                </w:tcPr>
                <w:p>
                  <w:pPr>
                    <w:pStyle w:val="37"/>
                    <w:rPr>
                      <w:color w:val="000000"/>
                      <w:kern w:val="2"/>
                      <w:szCs w:val="24"/>
                    </w:rPr>
                  </w:pPr>
                  <w:r>
                    <w:rPr>
                      <w:color w:val="000000"/>
                      <w:kern w:val="2"/>
                      <w:szCs w:val="24"/>
                    </w:rPr>
                    <w:t>厂界外1m</w:t>
                  </w:r>
                </w:p>
              </w:tc>
              <w:tc>
                <w:tcPr>
                  <w:tcW w:w="818" w:type="pct"/>
                  <w:vAlign w:val="center"/>
                </w:tcPr>
                <w:p>
                  <w:pPr>
                    <w:pStyle w:val="37"/>
                    <w:rPr>
                      <w:color w:val="000000"/>
                      <w:kern w:val="2"/>
                      <w:szCs w:val="24"/>
                    </w:rPr>
                  </w:pPr>
                  <w:r>
                    <w:rPr>
                      <w:color w:val="000000"/>
                      <w:kern w:val="2"/>
                      <w:szCs w:val="24"/>
                    </w:rPr>
                    <w:t>噪声</w:t>
                  </w:r>
                </w:p>
              </w:tc>
              <w:tc>
                <w:tcPr>
                  <w:tcW w:w="1051" w:type="pct"/>
                  <w:vAlign w:val="center"/>
                </w:tcPr>
                <w:p>
                  <w:pPr>
                    <w:pStyle w:val="37"/>
                    <w:rPr>
                      <w:color w:val="000000"/>
                      <w:kern w:val="2"/>
                      <w:szCs w:val="24"/>
                    </w:rPr>
                  </w:pPr>
                  <w:r>
                    <w:rPr>
                      <w:color w:val="000000"/>
                      <w:kern w:val="2"/>
                      <w:szCs w:val="24"/>
                    </w:rPr>
                    <w:t>1次/</w:t>
                  </w:r>
                  <w:r>
                    <w:rPr>
                      <w:rFonts w:hint="eastAsia"/>
                      <w:color w:val="000000"/>
                      <w:kern w:val="2"/>
                      <w:szCs w:val="24"/>
                    </w:rPr>
                    <w:t>季度</w:t>
                  </w:r>
                  <w:r>
                    <w:rPr>
                      <w:color w:val="000000"/>
                      <w:kern w:val="2"/>
                      <w:szCs w:val="24"/>
                    </w:rPr>
                    <w:t>，昼</w:t>
                  </w:r>
                  <w:r>
                    <w:rPr>
                      <w:rFonts w:hint="eastAsia"/>
                      <w:color w:val="000000"/>
                      <w:kern w:val="2"/>
                      <w:szCs w:val="24"/>
                    </w:rPr>
                    <w:t>夜间各</w:t>
                  </w:r>
                  <w:r>
                    <w:rPr>
                      <w:color w:val="000000"/>
                      <w:kern w:val="2"/>
                      <w:szCs w:val="24"/>
                    </w:rPr>
                    <w:t>1次</w:t>
                  </w:r>
                </w:p>
              </w:tc>
              <w:tc>
                <w:tcPr>
                  <w:tcW w:w="2307" w:type="pct"/>
                  <w:vAlign w:val="center"/>
                </w:tcPr>
                <w:p>
                  <w:pPr>
                    <w:pStyle w:val="37"/>
                    <w:rPr>
                      <w:color w:val="000000"/>
                      <w:kern w:val="2"/>
                      <w:szCs w:val="24"/>
                    </w:rPr>
                  </w:pPr>
                  <w:r>
                    <w:rPr>
                      <w:color w:val="000000"/>
                      <w:kern w:val="2"/>
                      <w:szCs w:val="24"/>
                    </w:rPr>
                    <w:t>执行《工业企业厂界环境噪声排放标准》（GB12348-2008）</w:t>
                  </w:r>
                  <w:r>
                    <w:rPr>
                      <w:rFonts w:hint="eastAsia"/>
                      <w:color w:val="000000"/>
                      <w:kern w:val="2"/>
                      <w:szCs w:val="24"/>
                    </w:rPr>
                    <w:t>3</w:t>
                  </w:r>
                  <w:r>
                    <w:rPr>
                      <w:color w:val="000000"/>
                      <w:kern w:val="2"/>
                      <w:szCs w:val="24"/>
                    </w:rPr>
                    <w:t>类标准</w:t>
                  </w:r>
                </w:p>
              </w:tc>
            </w:tr>
          </w:tbl>
          <w:p>
            <w:pPr>
              <w:adjustRightInd w:val="0"/>
              <w:snapToGrid w:val="0"/>
              <w:ind w:firstLine="482"/>
              <w:rPr>
                <w:color w:val="000000"/>
              </w:rPr>
            </w:pPr>
            <w:bookmarkStart w:id="1" w:name="_GoBack"/>
            <w:bookmarkEnd w:id="1"/>
            <w:r>
              <w:rPr>
                <w:b/>
                <w:color w:val="000000"/>
              </w:rPr>
              <w:t>（4）固体废物</w:t>
            </w:r>
          </w:p>
          <w:p>
            <w:pPr>
              <w:pStyle w:val="38"/>
              <w:rPr>
                <w:color w:val="000000"/>
                <w:szCs w:val="24"/>
              </w:rPr>
            </w:pPr>
            <w:r>
              <w:rPr>
                <w:color w:val="000000"/>
                <w:szCs w:val="24"/>
              </w:rPr>
              <w:t>表4-</w:t>
            </w:r>
            <w:r>
              <w:rPr>
                <w:rFonts w:hint="eastAsia"/>
                <w:color w:val="000000"/>
                <w:szCs w:val="24"/>
              </w:rPr>
              <w:t>12</w:t>
            </w:r>
            <w:r>
              <w:rPr>
                <w:color w:val="000000"/>
                <w:szCs w:val="24"/>
              </w:rPr>
              <w:t xml:space="preserve">  </w:t>
            </w:r>
            <w:r>
              <w:rPr>
                <w:rFonts w:hint="eastAsia"/>
                <w:color w:val="000000"/>
                <w:szCs w:val="24"/>
              </w:rPr>
              <w:t>项目</w:t>
            </w:r>
            <w:r>
              <w:rPr>
                <w:color w:val="000000"/>
                <w:szCs w:val="24"/>
              </w:rPr>
              <w:t>固体废物污染源产生、排放汇总表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411"/>
              <w:gridCol w:w="726"/>
              <w:gridCol w:w="1075"/>
              <w:gridCol w:w="597"/>
              <w:gridCol w:w="974"/>
              <w:gridCol w:w="620"/>
              <w:gridCol w:w="632"/>
              <w:gridCol w:w="915"/>
              <w:gridCol w:w="675"/>
              <w:gridCol w:w="1910"/>
              <w:gridCol w:w="949"/>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Align w:val="center"/>
                </w:tcPr>
                <w:p>
                  <w:pPr>
                    <w:pStyle w:val="37"/>
                    <w:rPr>
                      <w:b/>
                      <w:bCs/>
                      <w:color w:val="000000"/>
                      <w:kern w:val="2"/>
                      <w:szCs w:val="24"/>
                    </w:rPr>
                  </w:pPr>
                  <w:r>
                    <w:rPr>
                      <w:b/>
                      <w:bCs/>
                      <w:color w:val="000000"/>
                      <w:kern w:val="2"/>
                      <w:szCs w:val="24"/>
                    </w:rPr>
                    <w:t>固废产生环节</w:t>
                  </w:r>
                </w:p>
              </w:tc>
              <w:tc>
                <w:tcPr>
                  <w:tcW w:w="587" w:type="pct"/>
                  <w:vAlign w:val="center"/>
                </w:tcPr>
                <w:p>
                  <w:pPr>
                    <w:pStyle w:val="37"/>
                    <w:rPr>
                      <w:b/>
                      <w:bCs/>
                      <w:color w:val="000000"/>
                      <w:kern w:val="2"/>
                      <w:szCs w:val="24"/>
                    </w:rPr>
                  </w:pPr>
                  <w:r>
                    <w:rPr>
                      <w:b/>
                      <w:bCs/>
                      <w:color w:val="000000"/>
                      <w:kern w:val="2"/>
                      <w:szCs w:val="24"/>
                    </w:rPr>
                    <w:t>固废名称</w:t>
                  </w:r>
                </w:p>
              </w:tc>
              <w:tc>
                <w:tcPr>
                  <w:tcW w:w="302" w:type="pct"/>
                  <w:vAlign w:val="center"/>
                </w:tcPr>
                <w:p>
                  <w:pPr>
                    <w:pStyle w:val="37"/>
                    <w:rPr>
                      <w:b/>
                      <w:bCs/>
                      <w:color w:val="000000"/>
                      <w:kern w:val="2"/>
                      <w:szCs w:val="24"/>
                    </w:rPr>
                  </w:pPr>
                  <w:r>
                    <w:rPr>
                      <w:rFonts w:hint="eastAsia"/>
                      <w:b/>
                      <w:bCs/>
                      <w:color w:val="000000"/>
                      <w:kern w:val="2"/>
                      <w:szCs w:val="24"/>
                    </w:rPr>
                    <w:t>危废类别</w:t>
                  </w:r>
                </w:p>
              </w:tc>
              <w:tc>
                <w:tcPr>
                  <w:tcW w:w="447" w:type="pct"/>
                  <w:vAlign w:val="center"/>
                </w:tcPr>
                <w:p>
                  <w:pPr>
                    <w:pStyle w:val="37"/>
                    <w:rPr>
                      <w:b/>
                      <w:bCs/>
                      <w:color w:val="000000"/>
                      <w:kern w:val="2"/>
                      <w:szCs w:val="24"/>
                    </w:rPr>
                  </w:pPr>
                  <w:r>
                    <w:rPr>
                      <w:rFonts w:hint="eastAsia"/>
                      <w:b/>
                      <w:bCs/>
                      <w:color w:val="000000"/>
                      <w:kern w:val="2"/>
                      <w:szCs w:val="24"/>
                    </w:rPr>
                    <w:t>固废代码</w:t>
                  </w:r>
                </w:p>
              </w:tc>
              <w:tc>
                <w:tcPr>
                  <w:tcW w:w="248" w:type="pct"/>
                  <w:vAlign w:val="center"/>
                </w:tcPr>
                <w:p>
                  <w:pPr>
                    <w:pStyle w:val="37"/>
                    <w:rPr>
                      <w:b/>
                      <w:bCs/>
                      <w:color w:val="000000"/>
                      <w:kern w:val="2"/>
                      <w:szCs w:val="24"/>
                    </w:rPr>
                  </w:pPr>
                  <w:r>
                    <w:rPr>
                      <w:b/>
                      <w:bCs/>
                      <w:color w:val="000000"/>
                      <w:kern w:val="2"/>
                      <w:szCs w:val="24"/>
                    </w:rPr>
                    <w:t>固废属性</w:t>
                  </w:r>
                </w:p>
              </w:tc>
              <w:tc>
                <w:tcPr>
                  <w:tcW w:w="405" w:type="pct"/>
                  <w:vAlign w:val="center"/>
                </w:tcPr>
                <w:p>
                  <w:pPr>
                    <w:pStyle w:val="37"/>
                    <w:rPr>
                      <w:b/>
                      <w:bCs/>
                      <w:color w:val="000000"/>
                      <w:kern w:val="2"/>
                      <w:szCs w:val="24"/>
                    </w:rPr>
                  </w:pPr>
                  <w:r>
                    <w:rPr>
                      <w:b/>
                      <w:bCs/>
                      <w:color w:val="000000"/>
                      <w:kern w:val="2"/>
                      <w:szCs w:val="24"/>
                    </w:rPr>
                    <w:t>主要</w:t>
                  </w:r>
                  <w:r>
                    <w:rPr>
                      <w:rFonts w:hint="eastAsia"/>
                      <w:b/>
                      <w:bCs/>
                      <w:color w:val="000000"/>
                      <w:kern w:val="2"/>
                      <w:szCs w:val="24"/>
                    </w:rPr>
                    <w:t>成分</w:t>
                  </w:r>
                </w:p>
              </w:tc>
              <w:tc>
                <w:tcPr>
                  <w:tcW w:w="258" w:type="pct"/>
                  <w:vAlign w:val="center"/>
                </w:tcPr>
                <w:p>
                  <w:pPr>
                    <w:pStyle w:val="37"/>
                    <w:rPr>
                      <w:b/>
                      <w:bCs/>
                      <w:color w:val="000000"/>
                      <w:kern w:val="2"/>
                      <w:szCs w:val="24"/>
                    </w:rPr>
                  </w:pPr>
                  <w:r>
                    <w:rPr>
                      <w:b/>
                      <w:bCs/>
                      <w:color w:val="000000"/>
                      <w:kern w:val="2"/>
                      <w:szCs w:val="24"/>
                    </w:rPr>
                    <w:t>物理</w:t>
                  </w:r>
                </w:p>
                <w:p>
                  <w:pPr>
                    <w:pStyle w:val="37"/>
                    <w:rPr>
                      <w:b/>
                      <w:bCs/>
                      <w:color w:val="000000"/>
                      <w:kern w:val="2"/>
                      <w:szCs w:val="24"/>
                    </w:rPr>
                  </w:pPr>
                  <w:r>
                    <w:rPr>
                      <w:b/>
                      <w:bCs/>
                      <w:color w:val="000000"/>
                      <w:kern w:val="2"/>
                      <w:szCs w:val="24"/>
                    </w:rPr>
                    <w:t>性状</w:t>
                  </w:r>
                </w:p>
              </w:tc>
              <w:tc>
                <w:tcPr>
                  <w:tcW w:w="263" w:type="pct"/>
                  <w:vAlign w:val="center"/>
                </w:tcPr>
                <w:p>
                  <w:pPr>
                    <w:pStyle w:val="37"/>
                    <w:rPr>
                      <w:b/>
                      <w:bCs/>
                      <w:color w:val="000000"/>
                      <w:kern w:val="2"/>
                      <w:szCs w:val="24"/>
                    </w:rPr>
                  </w:pPr>
                  <w:r>
                    <w:rPr>
                      <w:b/>
                      <w:bCs/>
                      <w:color w:val="000000"/>
                      <w:kern w:val="2"/>
                      <w:szCs w:val="24"/>
                    </w:rPr>
                    <w:t>环境危险特性</w:t>
                  </w:r>
                </w:p>
              </w:tc>
              <w:tc>
                <w:tcPr>
                  <w:tcW w:w="380" w:type="pct"/>
                  <w:vAlign w:val="center"/>
                </w:tcPr>
                <w:p>
                  <w:pPr>
                    <w:pStyle w:val="37"/>
                    <w:rPr>
                      <w:b/>
                      <w:bCs/>
                      <w:color w:val="000000"/>
                      <w:kern w:val="2"/>
                      <w:szCs w:val="24"/>
                    </w:rPr>
                  </w:pPr>
                  <w:r>
                    <w:rPr>
                      <w:b/>
                      <w:bCs/>
                      <w:color w:val="000000"/>
                      <w:kern w:val="2"/>
                      <w:szCs w:val="24"/>
                    </w:rPr>
                    <w:t>产生量</w:t>
                  </w:r>
                </w:p>
                <w:p>
                  <w:pPr>
                    <w:pStyle w:val="37"/>
                    <w:rPr>
                      <w:b/>
                      <w:bCs/>
                      <w:color w:val="000000"/>
                      <w:kern w:val="2"/>
                      <w:szCs w:val="24"/>
                    </w:rPr>
                  </w:pPr>
                  <w:r>
                    <w:rPr>
                      <w:b/>
                      <w:bCs/>
                      <w:color w:val="000000"/>
                      <w:kern w:val="2"/>
                      <w:szCs w:val="24"/>
                    </w:rPr>
                    <w:t>t/a</w:t>
                  </w:r>
                </w:p>
              </w:tc>
              <w:tc>
                <w:tcPr>
                  <w:tcW w:w="280" w:type="pct"/>
                  <w:vAlign w:val="center"/>
                </w:tcPr>
                <w:p>
                  <w:pPr>
                    <w:pStyle w:val="37"/>
                    <w:rPr>
                      <w:b/>
                      <w:bCs/>
                      <w:color w:val="000000"/>
                      <w:kern w:val="2"/>
                      <w:szCs w:val="24"/>
                    </w:rPr>
                  </w:pPr>
                  <w:r>
                    <w:rPr>
                      <w:b/>
                      <w:bCs/>
                      <w:color w:val="000000"/>
                      <w:kern w:val="2"/>
                      <w:szCs w:val="24"/>
                    </w:rPr>
                    <w:t>贮存方式</w:t>
                  </w:r>
                </w:p>
              </w:tc>
              <w:tc>
                <w:tcPr>
                  <w:tcW w:w="795" w:type="pct"/>
                  <w:vAlign w:val="center"/>
                </w:tcPr>
                <w:p>
                  <w:pPr>
                    <w:pStyle w:val="37"/>
                    <w:rPr>
                      <w:b/>
                      <w:bCs/>
                      <w:color w:val="000000"/>
                      <w:kern w:val="2"/>
                      <w:szCs w:val="24"/>
                    </w:rPr>
                  </w:pPr>
                  <w:r>
                    <w:rPr>
                      <w:b/>
                      <w:bCs/>
                      <w:color w:val="000000"/>
                      <w:kern w:val="2"/>
                      <w:szCs w:val="24"/>
                    </w:rPr>
                    <w:t>利用处置方式和去向</w:t>
                  </w:r>
                </w:p>
              </w:tc>
              <w:tc>
                <w:tcPr>
                  <w:tcW w:w="395" w:type="pct"/>
                  <w:vAlign w:val="center"/>
                </w:tcPr>
                <w:p>
                  <w:pPr>
                    <w:pStyle w:val="37"/>
                    <w:rPr>
                      <w:b/>
                      <w:bCs/>
                      <w:color w:val="000000"/>
                      <w:kern w:val="2"/>
                      <w:szCs w:val="24"/>
                    </w:rPr>
                  </w:pPr>
                  <w:r>
                    <w:rPr>
                      <w:b/>
                      <w:bCs/>
                      <w:color w:val="000000"/>
                      <w:kern w:val="2"/>
                      <w:szCs w:val="24"/>
                    </w:rPr>
                    <w:t>利用或处置量t/a</w:t>
                  </w:r>
                </w:p>
              </w:tc>
              <w:tc>
                <w:tcPr>
                  <w:tcW w:w="365" w:type="pct"/>
                  <w:vAlign w:val="center"/>
                </w:tcPr>
                <w:p>
                  <w:pPr>
                    <w:pStyle w:val="37"/>
                    <w:rPr>
                      <w:b/>
                      <w:bCs/>
                      <w:color w:val="000000"/>
                      <w:kern w:val="2"/>
                      <w:szCs w:val="24"/>
                    </w:rPr>
                  </w:pPr>
                  <w:r>
                    <w:rPr>
                      <w:b/>
                      <w:bCs/>
                      <w:color w:val="000000"/>
                      <w:kern w:val="2"/>
                      <w:szCs w:val="24"/>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70" w:type="pct"/>
                  <w:vMerge w:val="restart"/>
                  <w:vAlign w:val="center"/>
                </w:tcPr>
                <w:p>
                  <w:pPr>
                    <w:pStyle w:val="37"/>
                    <w:rPr>
                      <w:color w:val="000000"/>
                      <w:kern w:val="2"/>
                      <w:szCs w:val="24"/>
                    </w:rPr>
                  </w:pPr>
                  <w:r>
                    <w:rPr>
                      <w:color w:val="000000"/>
                      <w:kern w:val="2"/>
                      <w:szCs w:val="24"/>
                    </w:rPr>
                    <w:t>生产过程</w:t>
                  </w:r>
                </w:p>
              </w:tc>
              <w:tc>
                <w:tcPr>
                  <w:tcW w:w="587" w:type="pct"/>
                  <w:vAlign w:val="center"/>
                </w:tcPr>
                <w:p>
                  <w:pPr>
                    <w:pStyle w:val="37"/>
                    <w:rPr>
                      <w:color w:val="000000"/>
                    </w:rPr>
                  </w:pPr>
                  <w:r>
                    <w:rPr>
                      <w:rFonts w:hint="eastAsia"/>
                      <w:color w:val="000000"/>
                    </w:rPr>
                    <w:t>不合格品</w:t>
                  </w:r>
                </w:p>
              </w:tc>
              <w:tc>
                <w:tcPr>
                  <w:tcW w:w="302" w:type="pct"/>
                  <w:vAlign w:val="center"/>
                </w:tcPr>
                <w:p>
                  <w:pPr>
                    <w:pStyle w:val="37"/>
                    <w:rPr>
                      <w:color w:val="000000"/>
                      <w:kern w:val="2"/>
                      <w:szCs w:val="24"/>
                    </w:rPr>
                  </w:pPr>
                  <w:r>
                    <w:rPr>
                      <w:rFonts w:hint="eastAsia"/>
                      <w:color w:val="000000"/>
                      <w:kern w:val="2"/>
                      <w:szCs w:val="24"/>
                    </w:rPr>
                    <w:t>/</w:t>
                  </w:r>
                </w:p>
              </w:tc>
              <w:tc>
                <w:tcPr>
                  <w:tcW w:w="447" w:type="pct"/>
                  <w:vAlign w:val="center"/>
                </w:tcPr>
                <w:p>
                  <w:pPr>
                    <w:pStyle w:val="37"/>
                    <w:rPr>
                      <w:color w:val="000000"/>
                      <w:kern w:val="2"/>
                      <w:szCs w:val="24"/>
                    </w:rPr>
                  </w:pPr>
                  <w:r>
                    <w:rPr>
                      <w:rFonts w:hint="eastAsia"/>
                      <w:color w:val="000000"/>
                      <w:kern w:val="2"/>
                      <w:szCs w:val="24"/>
                    </w:rPr>
                    <w:t>/</w:t>
                  </w:r>
                </w:p>
              </w:tc>
              <w:tc>
                <w:tcPr>
                  <w:tcW w:w="248" w:type="pct"/>
                  <w:vAlign w:val="center"/>
                </w:tcPr>
                <w:p>
                  <w:pPr>
                    <w:pStyle w:val="37"/>
                    <w:rPr>
                      <w:color w:val="000000"/>
                      <w:kern w:val="2"/>
                      <w:szCs w:val="24"/>
                    </w:rPr>
                  </w:pPr>
                  <w:r>
                    <w:rPr>
                      <w:rFonts w:hint="eastAsia"/>
                      <w:color w:val="000000"/>
                      <w:kern w:val="2"/>
                      <w:szCs w:val="24"/>
                    </w:rPr>
                    <w:t>/</w:t>
                  </w:r>
                </w:p>
              </w:tc>
              <w:tc>
                <w:tcPr>
                  <w:tcW w:w="405" w:type="pct"/>
                  <w:vAlign w:val="center"/>
                </w:tcPr>
                <w:p>
                  <w:pPr>
                    <w:pStyle w:val="37"/>
                    <w:rPr>
                      <w:color w:val="000000"/>
                    </w:rPr>
                  </w:pPr>
                  <w:r>
                    <w:rPr>
                      <w:rFonts w:hint="eastAsia"/>
                      <w:color w:val="000000"/>
                    </w:rPr>
                    <w:t>碳钢</w:t>
                  </w:r>
                </w:p>
              </w:tc>
              <w:tc>
                <w:tcPr>
                  <w:tcW w:w="258" w:type="pct"/>
                  <w:vAlign w:val="center"/>
                </w:tcPr>
                <w:p>
                  <w:pPr>
                    <w:pStyle w:val="37"/>
                    <w:rPr>
                      <w:color w:val="000000"/>
                      <w:kern w:val="2"/>
                      <w:szCs w:val="24"/>
                    </w:rPr>
                  </w:pPr>
                  <w:r>
                    <w:rPr>
                      <w:rFonts w:hint="eastAsia"/>
                      <w:color w:val="000000"/>
                      <w:kern w:val="2"/>
                      <w:szCs w:val="24"/>
                    </w:rPr>
                    <w:t>固态</w:t>
                  </w:r>
                </w:p>
              </w:tc>
              <w:tc>
                <w:tcPr>
                  <w:tcW w:w="263" w:type="pct"/>
                  <w:vAlign w:val="center"/>
                </w:tcPr>
                <w:p>
                  <w:pPr>
                    <w:pStyle w:val="37"/>
                    <w:rPr>
                      <w:color w:val="000000"/>
                      <w:kern w:val="2"/>
                      <w:szCs w:val="24"/>
                    </w:rPr>
                  </w:pPr>
                  <w:r>
                    <w:rPr>
                      <w:rFonts w:hint="eastAsia"/>
                      <w:color w:val="000000"/>
                      <w:kern w:val="2"/>
                      <w:szCs w:val="24"/>
                    </w:rPr>
                    <w:t>/</w:t>
                  </w:r>
                </w:p>
              </w:tc>
              <w:tc>
                <w:tcPr>
                  <w:tcW w:w="380" w:type="pct"/>
                  <w:vAlign w:val="center"/>
                </w:tcPr>
                <w:p>
                  <w:pPr>
                    <w:pStyle w:val="37"/>
                    <w:rPr>
                      <w:color w:val="000000"/>
                      <w:kern w:val="2"/>
                      <w:szCs w:val="24"/>
                    </w:rPr>
                  </w:pPr>
                  <w:r>
                    <w:rPr>
                      <w:rFonts w:hint="eastAsia"/>
                      <w:color w:val="000000"/>
                      <w:kern w:val="2"/>
                      <w:szCs w:val="24"/>
                    </w:rPr>
                    <w:t>5</w:t>
                  </w:r>
                </w:p>
              </w:tc>
              <w:tc>
                <w:tcPr>
                  <w:tcW w:w="280" w:type="pct"/>
                  <w:vAlign w:val="center"/>
                </w:tcPr>
                <w:p>
                  <w:pPr>
                    <w:pStyle w:val="37"/>
                    <w:rPr>
                      <w:color w:val="000000"/>
                    </w:rPr>
                  </w:pPr>
                  <w:r>
                    <w:rPr>
                      <w:rFonts w:hint="eastAsia"/>
                      <w:color w:val="000000"/>
                    </w:rPr>
                    <w:t>堆放</w:t>
                  </w:r>
                </w:p>
              </w:tc>
              <w:tc>
                <w:tcPr>
                  <w:tcW w:w="795" w:type="pct"/>
                  <w:vAlign w:val="center"/>
                </w:tcPr>
                <w:p>
                  <w:pPr>
                    <w:pStyle w:val="37"/>
                    <w:rPr>
                      <w:color w:val="000000"/>
                    </w:rPr>
                  </w:pPr>
                  <w:r>
                    <w:rPr>
                      <w:rFonts w:hint="eastAsia"/>
                      <w:color w:val="000000"/>
                    </w:rPr>
                    <w:t>返回现有厂区已建生产线进行维修</w:t>
                  </w:r>
                </w:p>
              </w:tc>
              <w:tc>
                <w:tcPr>
                  <w:tcW w:w="395" w:type="pct"/>
                  <w:vAlign w:val="center"/>
                </w:tcPr>
                <w:p>
                  <w:pPr>
                    <w:pStyle w:val="37"/>
                    <w:rPr>
                      <w:color w:val="000000"/>
                      <w:kern w:val="2"/>
                      <w:szCs w:val="24"/>
                    </w:rPr>
                  </w:pPr>
                  <w:r>
                    <w:rPr>
                      <w:rFonts w:hint="eastAsia"/>
                      <w:color w:val="000000"/>
                      <w:kern w:val="2"/>
                      <w:szCs w:val="24"/>
                    </w:rPr>
                    <w:t>5</w:t>
                  </w:r>
                </w:p>
              </w:tc>
              <w:tc>
                <w:tcPr>
                  <w:tcW w:w="365" w:type="pct"/>
                  <w:vMerge w:val="restart"/>
                  <w:vAlign w:val="center"/>
                </w:tcPr>
                <w:p>
                  <w:pPr>
                    <w:pStyle w:val="37"/>
                    <w:rPr>
                      <w:color w:val="000000"/>
                      <w:kern w:val="2"/>
                      <w:szCs w:val="24"/>
                    </w:rPr>
                  </w:pPr>
                  <w:r>
                    <w:rPr>
                      <w:rFonts w:hint="eastAsia"/>
                      <w:color w:val="000000"/>
                      <w:kern w:val="2"/>
                      <w:szCs w:val="24"/>
                    </w:rPr>
                    <w:t>建立环境管理台账制度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270" w:type="pct"/>
                  <w:vMerge w:val="continue"/>
                  <w:vAlign w:val="center"/>
                </w:tcPr>
                <w:p>
                  <w:pPr>
                    <w:pStyle w:val="37"/>
                    <w:rPr>
                      <w:color w:val="000000"/>
                      <w:kern w:val="2"/>
                      <w:szCs w:val="24"/>
                    </w:rPr>
                  </w:pPr>
                </w:p>
              </w:tc>
              <w:tc>
                <w:tcPr>
                  <w:tcW w:w="587" w:type="pct"/>
                  <w:vAlign w:val="center"/>
                </w:tcPr>
                <w:p>
                  <w:pPr>
                    <w:pStyle w:val="37"/>
                    <w:rPr>
                      <w:color w:val="000000"/>
                    </w:rPr>
                  </w:pPr>
                  <w:r>
                    <w:rPr>
                      <w:rFonts w:hint="eastAsia"/>
                      <w:color w:val="000000"/>
                    </w:rPr>
                    <w:t>金属碎屑</w:t>
                  </w:r>
                </w:p>
              </w:tc>
              <w:tc>
                <w:tcPr>
                  <w:tcW w:w="302" w:type="pct"/>
                  <w:vAlign w:val="center"/>
                </w:tcPr>
                <w:p>
                  <w:pPr>
                    <w:pStyle w:val="37"/>
                    <w:rPr>
                      <w:color w:val="000000"/>
                      <w:kern w:val="2"/>
                      <w:szCs w:val="24"/>
                    </w:rPr>
                  </w:pPr>
                  <w:r>
                    <w:rPr>
                      <w:rFonts w:hint="eastAsia"/>
                      <w:color w:val="000000"/>
                      <w:kern w:val="2"/>
                      <w:szCs w:val="24"/>
                    </w:rPr>
                    <w:t>/</w:t>
                  </w:r>
                </w:p>
              </w:tc>
              <w:tc>
                <w:tcPr>
                  <w:tcW w:w="447" w:type="pct"/>
                  <w:vAlign w:val="center"/>
                </w:tcPr>
                <w:p>
                  <w:pPr>
                    <w:pStyle w:val="37"/>
                    <w:rPr>
                      <w:color w:val="000000"/>
                      <w:kern w:val="2"/>
                      <w:szCs w:val="24"/>
                    </w:rPr>
                  </w:pPr>
                  <w:r>
                    <w:rPr>
                      <w:rFonts w:hint="eastAsia"/>
                      <w:color w:val="000000"/>
                      <w:kern w:val="2"/>
                      <w:szCs w:val="24"/>
                    </w:rPr>
                    <w:t>367-007-09</w:t>
                  </w:r>
                </w:p>
              </w:tc>
              <w:tc>
                <w:tcPr>
                  <w:tcW w:w="248" w:type="pct"/>
                  <w:vMerge w:val="restart"/>
                  <w:vAlign w:val="center"/>
                </w:tcPr>
                <w:p>
                  <w:pPr>
                    <w:pStyle w:val="37"/>
                    <w:rPr>
                      <w:color w:val="000000"/>
                      <w:kern w:val="2"/>
                      <w:szCs w:val="24"/>
                    </w:rPr>
                  </w:pPr>
                  <w:r>
                    <w:rPr>
                      <w:rFonts w:hint="eastAsia"/>
                      <w:color w:val="000000"/>
                      <w:kern w:val="2"/>
                      <w:szCs w:val="24"/>
                    </w:rPr>
                    <w:t>一般固废</w:t>
                  </w:r>
                </w:p>
              </w:tc>
              <w:tc>
                <w:tcPr>
                  <w:tcW w:w="405" w:type="pct"/>
                  <w:vAlign w:val="center"/>
                </w:tcPr>
                <w:p>
                  <w:pPr>
                    <w:pStyle w:val="37"/>
                    <w:rPr>
                      <w:color w:val="000000"/>
                    </w:rPr>
                  </w:pPr>
                  <w:r>
                    <w:rPr>
                      <w:rFonts w:hint="eastAsia"/>
                      <w:color w:val="000000"/>
                    </w:rPr>
                    <w:t>碳钢</w:t>
                  </w:r>
                </w:p>
              </w:tc>
              <w:tc>
                <w:tcPr>
                  <w:tcW w:w="258" w:type="pct"/>
                  <w:vAlign w:val="center"/>
                </w:tcPr>
                <w:p>
                  <w:pPr>
                    <w:pStyle w:val="37"/>
                    <w:rPr>
                      <w:color w:val="000000"/>
                      <w:kern w:val="2"/>
                      <w:szCs w:val="24"/>
                    </w:rPr>
                  </w:pPr>
                  <w:r>
                    <w:rPr>
                      <w:rFonts w:hint="eastAsia"/>
                      <w:color w:val="000000"/>
                      <w:kern w:val="2"/>
                      <w:szCs w:val="24"/>
                    </w:rPr>
                    <w:t>固态</w:t>
                  </w:r>
                </w:p>
              </w:tc>
              <w:tc>
                <w:tcPr>
                  <w:tcW w:w="263" w:type="pct"/>
                  <w:vAlign w:val="center"/>
                </w:tcPr>
                <w:p>
                  <w:pPr>
                    <w:pStyle w:val="37"/>
                    <w:rPr>
                      <w:color w:val="000000"/>
                      <w:kern w:val="2"/>
                      <w:szCs w:val="24"/>
                    </w:rPr>
                  </w:pPr>
                  <w:r>
                    <w:rPr>
                      <w:rFonts w:hint="eastAsia"/>
                      <w:color w:val="000000"/>
                      <w:kern w:val="2"/>
                      <w:szCs w:val="24"/>
                    </w:rPr>
                    <w:t>/</w:t>
                  </w:r>
                </w:p>
              </w:tc>
              <w:tc>
                <w:tcPr>
                  <w:tcW w:w="380" w:type="pct"/>
                  <w:vAlign w:val="center"/>
                </w:tcPr>
                <w:p>
                  <w:pPr>
                    <w:pStyle w:val="37"/>
                    <w:rPr>
                      <w:color w:val="000000"/>
                      <w:kern w:val="2"/>
                      <w:szCs w:val="24"/>
                    </w:rPr>
                  </w:pPr>
                  <w:r>
                    <w:rPr>
                      <w:rFonts w:hint="eastAsia"/>
                      <w:color w:val="000000"/>
                      <w:kern w:val="2"/>
                      <w:szCs w:val="24"/>
                    </w:rPr>
                    <w:t>2</w:t>
                  </w:r>
                </w:p>
              </w:tc>
              <w:tc>
                <w:tcPr>
                  <w:tcW w:w="280" w:type="pct"/>
                  <w:vAlign w:val="center"/>
                </w:tcPr>
                <w:p>
                  <w:pPr>
                    <w:pStyle w:val="37"/>
                    <w:rPr>
                      <w:color w:val="000000"/>
                    </w:rPr>
                  </w:pPr>
                  <w:r>
                    <w:rPr>
                      <w:rFonts w:hint="eastAsia"/>
                      <w:color w:val="000000"/>
                    </w:rPr>
                    <w:t>袋装</w:t>
                  </w:r>
                </w:p>
              </w:tc>
              <w:tc>
                <w:tcPr>
                  <w:tcW w:w="795" w:type="pct"/>
                  <w:vAlign w:val="center"/>
                </w:tcPr>
                <w:p>
                  <w:pPr>
                    <w:pStyle w:val="37"/>
                    <w:rPr>
                      <w:color w:val="000000"/>
                    </w:rPr>
                  </w:pPr>
                  <w:r>
                    <w:rPr>
                      <w:rFonts w:hint="eastAsia"/>
                      <w:color w:val="000000"/>
                    </w:rPr>
                    <w:t>外售综合利用</w:t>
                  </w:r>
                </w:p>
              </w:tc>
              <w:tc>
                <w:tcPr>
                  <w:tcW w:w="395" w:type="pct"/>
                  <w:vAlign w:val="center"/>
                </w:tcPr>
                <w:p>
                  <w:pPr>
                    <w:pStyle w:val="37"/>
                    <w:rPr>
                      <w:color w:val="000000"/>
                      <w:kern w:val="2"/>
                      <w:szCs w:val="24"/>
                    </w:rPr>
                  </w:pPr>
                  <w:r>
                    <w:rPr>
                      <w:rFonts w:hint="eastAsia"/>
                      <w:color w:val="000000"/>
                      <w:kern w:val="2"/>
                      <w:szCs w:val="24"/>
                    </w:rPr>
                    <w:t>2</w:t>
                  </w:r>
                </w:p>
              </w:tc>
              <w:tc>
                <w:tcPr>
                  <w:tcW w:w="365"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8" w:hRule="atLeast"/>
                <w:jc w:val="center"/>
              </w:trPr>
              <w:tc>
                <w:tcPr>
                  <w:tcW w:w="270" w:type="pct"/>
                  <w:vMerge w:val="continue"/>
                  <w:vAlign w:val="center"/>
                </w:tcPr>
                <w:p>
                  <w:pPr>
                    <w:pStyle w:val="37"/>
                    <w:rPr>
                      <w:color w:val="000000"/>
                      <w:kern w:val="2"/>
                      <w:szCs w:val="24"/>
                    </w:rPr>
                  </w:pPr>
                </w:p>
              </w:tc>
              <w:tc>
                <w:tcPr>
                  <w:tcW w:w="587" w:type="pct"/>
                  <w:vAlign w:val="center"/>
                </w:tcPr>
                <w:p>
                  <w:pPr>
                    <w:pStyle w:val="37"/>
                    <w:rPr>
                      <w:color w:val="000000"/>
                    </w:rPr>
                  </w:pPr>
                  <w:r>
                    <w:rPr>
                      <w:rFonts w:hint="eastAsia"/>
                      <w:color w:val="000000"/>
                    </w:rPr>
                    <w:t>废包装材料</w:t>
                  </w:r>
                </w:p>
              </w:tc>
              <w:tc>
                <w:tcPr>
                  <w:tcW w:w="302" w:type="pct"/>
                  <w:vAlign w:val="center"/>
                </w:tcPr>
                <w:p>
                  <w:pPr>
                    <w:pStyle w:val="37"/>
                    <w:rPr>
                      <w:color w:val="000000"/>
                      <w:kern w:val="2"/>
                      <w:szCs w:val="24"/>
                    </w:rPr>
                  </w:pPr>
                  <w:r>
                    <w:rPr>
                      <w:rFonts w:hint="eastAsia"/>
                      <w:color w:val="000000"/>
                      <w:kern w:val="2"/>
                      <w:szCs w:val="24"/>
                    </w:rPr>
                    <w:t>/</w:t>
                  </w:r>
                </w:p>
              </w:tc>
              <w:tc>
                <w:tcPr>
                  <w:tcW w:w="447" w:type="pct"/>
                  <w:vAlign w:val="center"/>
                </w:tcPr>
                <w:p>
                  <w:pPr>
                    <w:pStyle w:val="37"/>
                    <w:rPr>
                      <w:color w:val="000000"/>
                      <w:kern w:val="2"/>
                      <w:szCs w:val="24"/>
                    </w:rPr>
                  </w:pPr>
                  <w:r>
                    <w:rPr>
                      <w:rFonts w:hint="eastAsia"/>
                      <w:color w:val="000000"/>
                      <w:kern w:val="2"/>
                      <w:szCs w:val="24"/>
                    </w:rPr>
                    <w:t>367-007-99</w:t>
                  </w:r>
                </w:p>
              </w:tc>
              <w:tc>
                <w:tcPr>
                  <w:tcW w:w="248" w:type="pct"/>
                  <w:vMerge w:val="continue"/>
                  <w:vAlign w:val="center"/>
                </w:tcPr>
                <w:p>
                  <w:pPr>
                    <w:pStyle w:val="37"/>
                    <w:rPr>
                      <w:color w:val="000000"/>
                      <w:kern w:val="2"/>
                      <w:szCs w:val="24"/>
                    </w:rPr>
                  </w:pPr>
                </w:p>
              </w:tc>
              <w:tc>
                <w:tcPr>
                  <w:tcW w:w="405" w:type="pct"/>
                  <w:vAlign w:val="center"/>
                </w:tcPr>
                <w:p>
                  <w:pPr>
                    <w:pStyle w:val="37"/>
                    <w:rPr>
                      <w:color w:val="000000"/>
                    </w:rPr>
                  </w:pPr>
                  <w:r>
                    <w:rPr>
                      <w:rFonts w:hint="eastAsia"/>
                      <w:color w:val="000000"/>
                    </w:rPr>
                    <w:t>塑料等</w:t>
                  </w:r>
                </w:p>
              </w:tc>
              <w:tc>
                <w:tcPr>
                  <w:tcW w:w="258" w:type="pct"/>
                  <w:vAlign w:val="center"/>
                </w:tcPr>
                <w:p>
                  <w:pPr>
                    <w:pStyle w:val="37"/>
                    <w:rPr>
                      <w:color w:val="000000"/>
                      <w:kern w:val="2"/>
                      <w:szCs w:val="24"/>
                    </w:rPr>
                  </w:pPr>
                  <w:r>
                    <w:rPr>
                      <w:rFonts w:hint="eastAsia"/>
                      <w:color w:val="000000"/>
                      <w:kern w:val="2"/>
                      <w:szCs w:val="24"/>
                    </w:rPr>
                    <w:t>固态</w:t>
                  </w:r>
                </w:p>
              </w:tc>
              <w:tc>
                <w:tcPr>
                  <w:tcW w:w="263" w:type="pct"/>
                  <w:vAlign w:val="center"/>
                </w:tcPr>
                <w:p>
                  <w:pPr>
                    <w:pStyle w:val="37"/>
                    <w:rPr>
                      <w:color w:val="000000"/>
                      <w:kern w:val="2"/>
                      <w:szCs w:val="24"/>
                    </w:rPr>
                  </w:pPr>
                  <w:r>
                    <w:rPr>
                      <w:rFonts w:hint="eastAsia"/>
                      <w:color w:val="000000"/>
                      <w:kern w:val="2"/>
                      <w:szCs w:val="24"/>
                    </w:rPr>
                    <w:t>/</w:t>
                  </w:r>
                </w:p>
              </w:tc>
              <w:tc>
                <w:tcPr>
                  <w:tcW w:w="380" w:type="pct"/>
                  <w:vAlign w:val="center"/>
                </w:tcPr>
                <w:p>
                  <w:pPr>
                    <w:pStyle w:val="37"/>
                    <w:rPr>
                      <w:color w:val="000000"/>
                      <w:kern w:val="2"/>
                      <w:szCs w:val="24"/>
                    </w:rPr>
                  </w:pPr>
                  <w:r>
                    <w:rPr>
                      <w:rFonts w:hint="eastAsia"/>
                      <w:color w:val="000000"/>
                      <w:kern w:val="2"/>
                      <w:szCs w:val="24"/>
                    </w:rPr>
                    <w:t>0.1</w:t>
                  </w:r>
                </w:p>
              </w:tc>
              <w:tc>
                <w:tcPr>
                  <w:tcW w:w="280" w:type="pct"/>
                  <w:vAlign w:val="center"/>
                </w:tcPr>
                <w:p>
                  <w:pPr>
                    <w:pStyle w:val="37"/>
                    <w:rPr>
                      <w:color w:val="000000"/>
                    </w:rPr>
                  </w:pPr>
                  <w:r>
                    <w:rPr>
                      <w:rFonts w:hint="eastAsia"/>
                      <w:color w:val="000000"/>
                    </w:rPr>
                    <w:t>袋装</w:t>
                  </w:r>
                </w:p>
              </w:tc>
              <w:tc>
                <w:tcPr>
                  <w:tcW w:w="795" w:type="pct"/>
                  <w:vAlign w:val="center"/>
                </w:tcPr>
                <w:p>
                  <w:pPr>
                    <w:pStyle w:val="37"/>
                    <w:rPr>
                      <w:color w:val="000000"/>
                    </w:rPr>
                  </w:pPr>
                  <w:r>
                    <w:rPr>
                      <w:rFonts w:hint="eastAsia"/>
                      <w:color w:val="000000"/>
                    </w:rPr>
                    <w:t>外售综合利用</w:t>
                  </w:r>
                </w:p>
              </w:tc>
              <w:tc>
                <w:tcPr>
                  <w:tcW w:w="395" w:type="pct"/>
                  <w:vAlign w:val="center"/>
                </w:tcPr>
                <w:p>
                  <w:pPr>
                    <w:pStyle w:val="37"/>
                    <w:rPr>
                      <w:color w:val="000000"/>
                      <w:kern w:val="2"/>
                      <w:szCs w:val="24"/>
                    </w:rPr>
                  </w:pPr>
                  <w:r>
                    <w:rPr>
                      <w:rFonts w:hint="eastAsia"/>
                      <w:color w:val="000000"/>
                      <w:kern w:val="2"/>
                      <w:szCs w:val="24"/>
                    </w:rPr>
                    <w:t>0.1</w:t>
                  </w:r>
                </w:p>
              </w:tc>
              <w:tc>
                <w:tcPr>
                  <w:tcW w:w="365"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vMerge w:val="continue"/>
                  <w:vAlign w:val="center"/>
                </w:tcPr>
                <w:p>
                  <w:pPr>
                    <w:pStyle w:val="37"/>
                    <w:rPr>
                      <w:color w:val="000000"/>
                      <w:kern w:val="2"/>
                      <w:szCs w:val="24"/>
                    </w:rPr>
                  </w:pPr>
                </w:p>
              </w:tc>
              <w:tc>
                <w:tcPr>
                  <w:tcW w:w="587" w:type="pct"/>
                  <w:vAlign w:val="center"/>
                </w:tcPr>
                <w:p>
                  <w:pPr>
                    <w:pStyle w:val="37"/>
                    <w:rPr>
                      <w:color w:val="000000"/>
                    </w:rPr>
                  </w:pPr>
                  <w:r>
                    <w:rPr>
                      <w:rFonts w:hint="eastAsia"/>
                      <w:color w:val="000000"/>
                    </w:rPr>
                    <w:t>布袋收集尘</w:t>
                  </w:r>
                </w:p>
              </w:tc>
              <w:tc>
                <w:tcPr>
                  <w:tcW w:w="302" w:type="pct"/>
                  <w:vAlign w:val="center"/>
                </w:tcPr>
                <w:p>
                  <w:pPr>
                    <w:pStyle w:val="37"/>
                    <w:rPr>
                      <w:color w:val="000000"/>
                      <w:kern w:val="2"/>
                      <w:szCs w:val="24"/>
                    </w:rPr>
                  </w:pPr>
                  <w:r>
                    <w:rPr>
                      <w:rFonts w:hint="eastAsia"/>
                      <w:color w:val="000000"/>
                      <w:kern w:val="2"/>
                      <w:szCs w:val="24"/>
                    </w:rPr>
                    <w:t>/</w:t>
                  </w:r>
                </w:p>
              </w:tc>
              <w:tc>
                <w:tcPr>
                  <w:tcW w:w="447" w:type="pct"/>
                  <w:vAlign w:val="center"/>
                </w:tcPr>
                <w:p>
                  <w:pPr>
                    <w:pStyle w:val="37"/>
                    <w:rPr>
                      <w:color w:val="000000"/>
                      <w:kern w:val="2"/>
                      <w:szCs w:val="24"/>
                    </w:rPr>
                  </w:pPr>
                  <w:r>
                    <w:rPr>
                      <w:rFonts w:hint="eastAsia"/>
                      <w:color w:val="000000"/>
                      <w:kern w:val="2"/>
                      <w:szCs w:val="24"/>
                    </w:rPr>
                    <w:t>367-007-66</w:t>
                  </w:r>
                </w:p>
              </w:tc>
              <w:tc>
                <w:tcPr>
                  <w:tcW w:w="248" w:type="pct"/>
                  <w:vMerge w:val="continue"/>
                  <w:vAlign w:val="center"/>
                </w:tcPr>
                <w:p>
                  <w:pPr>
                    <w:pStyle w:val="37"/>
                    <w:rPr>
                      <w:color w:val="000000"/>
                      <w:kern w:val="2"/>
                      <w:szCs w:val="24"/>
                    </w:rPr>
                  </w:pPr>
                </w:p>
              </w:tc>
              <w:tc>
                <w:tcPr>
                  <w:tcW w:w="405" w:type="pct"/>
                  <w:vAlign w:val="center"/>
                </w:tcPr>
                <w:p>
                  <w:pPr>
                    <w:pStyle w:val="37"/>
                    <w:rPr>
                      <w:color w:val="000000"/>
                    </w:rPr>
                  </w:pPr>
                  <w:r>
                    <w:rPr>
                      <w:rFonts w:hint="eastAsia"/>
                      <w:color w:val="000000"/>
                    </w:rPr>
                    <w:t>焊材</w:t>
                  </w:r>
                </w:p>
              </w:tc>
              <w:tc>
                <w:tcPr>
                  <w:tcW w:w="258" w:type="pct"/>
                  <w:vAlign w:val="center"/>
                </w:tcPr>
                <w:p>
                  <w:pPr>
                    <w:pStyle w:val="37"/>
                    <w:rPr>
                      <w:color w:val="000000"/>
                      <w:kern w:val="2"/>
                      <w:szCs w:val="24"/>
                    </w:rPr>
                  </w:pPr>
                  <w:r>
                    <w:rPr>
                      <w:rFonts w:hint="eastAsia"/>
                      <w:color w:val="000000"/>
                      <w:kern w:val="2"/>
                      <w:szCs w:val="24"/>
                    </w:rPr>
                    <w:t>固态</w:t>
                  </w:r>
                </w:p>
              </w:tc>
              <w:tc>
                <w:tcPr>
                  <w:tcW w:w="263" w:type="pct"/>
                  <w:vAlign w:val="center"/>
                </w:tcPr>
                <w:p>
                  <w:pPr>
                    <w:pStyle w:val="37"/>
                    <w:rPr>
                      <w:color w:val="000000"/>
                      <w:kern w:val="2"/>
                      <w:szCs w:val="24"/>
                    </w:rPr>
                  </w:pPr>
                  <w:r>
                    <w:rPr>
                      <w:rFonts w:hint="eastAsia"/>
                      <w:color w:val="000000"/>
                      <w:kern w:val="2"/>
                      <w:szCs w:val="24"/>
                    </w:rPr>
                    <w:t>/</w:t>
                  </w:r>
                </w:p>
              </w:tc>
              <w:tc>
                <w:tcPr>
                  <w:tcW w:w="380" w:type="pct"/>
                  <w:vAlign w:val="center"/>
                </w:tcPr>
                <w:p>
                  <w:pPr>
                    <w:pStyle w:val="37"/>
                    <w:rPr>
                      <w:color w:val="000000"/>
                      <w:kern w:val="2"/>
                      <w:szCs w:val="24"/>
                    </w:rPr>
                  </w:pPr>
                  <w:r>
                    <w:rPr>
                      <w:rFonts w:hint="eastAsia"/>
                      <w:color w:val="000000"/>
                      <w:kern w:val="2"/>
                      <w:szCs w:val="24"/>
                      <w:lang w:val="en-US" w:eastAsia="zh-CN"/>
                    </w:rPr>
                    <w:t>27.267</w:t>
                  </w:r>
                  <w:r>
                    <w:rPr>
                      <w:rFonts w:hint="eastAsia"/>
                      <w:color w:val="000000"/>
                      <w:kern w:val="2"/>
                      <w:szCs w:val="24"/>
                    </w:rPr>
                    <w:t>kg</w:t>
                  </w:r>
                </w:p>
              </w:tc>
              <w:tc>
                <w:tcPr>
                  <w:tcW w:w="280" w:type="pct"/>
                  <w:vAlign w:val="center"/>
                </w:tcPr>
                <w:p>
                  <w:pPr>
                    <w:pStyle w:val="37"/>
                    <w:rPr>
                      <w:color w:val="000000"/>
                    </w:rPr>
                  </w:pPr>
                  <w:r>
                    <w:rPr>
                      <w:rFonts w:hint="eastAsia"/>
                      <w:color w:val="000000"/>
                    </w:rPr>
                    <w:t>袋装</w:t>
                  </w:r>
                </w:p>
              </w:tc>
              <w:tc>
                <w:tcPr>
                  <w:tcW w:w="795" w:type="pct"/>
                  <w:vAlign w:val="center"/>
                </w:tcPr>
                <w:p>
                  <w:pPr>
                    <w:pStyle w:val="37"/>
                    <w:rPr>
                      <w:color w:val="000000"/>
                    </w:rPr>
                  </w:pPr>
                  <w:r>
                    <w:rPr>
                      <w:rFonts w:hint="eastAsia"/>
                      <w:color w:val="000000"/>
                    </w:rPr>
                    <w:t>外售综合利用</w:t>
                  </w:r>
                </w:p>
              </w:tc>
              <w:tc>
                <w:tcPr>
                  <w:tcW w:w="395" w:type="pct"/>
                  <w:vAlign w:val="center"/>
                </w:tcPr>
                <w:p>
                  <w:pPr>
                    <w:pStyle w:val="37"/>
                    <w:rPr>
                      <w:color w:val="000000"/>
                      <w:kern w:val="2"/>
                      <w:szCs w:val="24"/>
                    </w:rPr>
                  </w:pPr>
                  <w:r>
                    <w:rPr>
                      <w:rFonts w:hint="eastAsia"/>
                      <w:color w:val="000000"/>
                      <w:kern w:val="2"/>
                      <w:szCs w:val="24"/>
                      <w:lang w:val="en-US" w:eastAsia="zh-CN"/>
                    </w:rPr>
                    <w:t>27.267</w:t>
                  </w:r>
                  <w:r>
                    <w:rPr>
                      <w:rFonts w:hint="eastAsia"/>
                      <w:color w:val="000000"/>
                      <w:kern w:val="2"/>
                      <w:szCs w:val="24"/>
                    </w:rPr>
                    <w:t>kg</w:t>
                  </w:r>
                </w:p>
              </w:tc>
              <w:tc>
                <w:tcPr>
                  <w:tcW w:w="365"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vMerge w:val="continue"/>
                  <w:vAlign w:val="center"/>
                </w:tcPr>
                <w:p>
                  <w:pPr>
                    <w:pStyle w:val="37"/>
                    <w:rPr>
                      <w:color w:val="000000"/>
                      <w:kern w:val="2"/>
                      <w:szCs w:val="24"/>
                    </w:rPr>
                  </w:pPr>
                </w:p>
              </w:tc>
              <w:tc>
                <w:tcPr>
                  <w:tcW w:w="587" w:type="pct"/>
                  <w:vAlign w:val="center"/>
                </w:tcPr>
                <w:p>
                  <w:pPr>
                    <w:pStyle w:val="37"/>
                    <w:rPr>
                      <w:color w:val="000000"/>
                    </w:rPr>
                  </w:pPr>
                  <w:r>
                    <w:rPr>
                      <w:rFonts w:hint="eastAsia"/>
                      <w:color w:val="000000"/>
                    </w:rPr>
                    <w:t>废布袋</w:t>
                  </w:r>
                </w:p>
              </w:tc>
              <w:tc>
                <w:tcPr>
                  <w:tcW w:w="302" w:type="pct"/>
                  <w:vAlign w:val="center"/>
                </w:tcPr>
                <w:p>
                  <w:pPr>
                    <w:pStyle w:val="37"/>
                    <w:rPr>
                      <w:color w:val="000000"/>
                      <w:kern w:val="2"/>
                      <w:szCs w:val="24"/>
                    </w:rPr>
                  </w:pPr>
                  <w:r>
                    <w:rPr>
                      <w:rFonts w:hint="eastAsia"/>
                      <w:color w:val="000000"/>
                      <w:kern w:val="2"/>
                      <w:szCs w:val="24"/>
                    </w:rPr>
                    <w:t>/</w:t>
                  </w:r>
                </w:p>
              </w:tc>
              <w:tc>
                <w:tcPr>
                  <w:tcW w:w="447" w:type="pct"/>
                  <w:vAlign w:val="center"/>
                </w:tcPr>
                <w:p>
                  <w:pPr>
                    <w:pStyle w:val="37"/>
                    <w:rPr>
                      <w:color w:val="000000"/>
                      <w:kern w:val="2"/>
                      <w:szCs w:val="24"/>
                    </w:rPr>
                  </w:pPr>
                  <w:r>
                    <w:rPr>
                      <w:rFonts w:hint="eastAsia"/>
                      <w:color w:val="000000"/>
                      <w:kern w:val="2"/>
                      <w:szCs w:val="24"/>
                    </w:rPr>
                    <w:t>367-007-99</w:t>
                  </w:r>
                </w:p>
              </w:tc>
              <w:tc>
                <w:tcPr>
                  <w:tcW w:w="248" w:type="pct"/>
                  <w:vMerge w:val="continue"/>
                  <w:vAlign w:val="center"/>
                </w:tcPr>
                <w:p>
                  <w:pPr>
                    <w:pStyle w:val="37"/>
                    <w:rPr>
                      <w:color w:val="000000"/>
                      <w:kern w:val="2"/>
                      <w:szCs w:val="24"/>
                    </w:rPr>
                  </w:pPr>
                </w:p>
              </w:tc>
              <w:tc>
                <w:tcPr>
                  <w:tcW w:w="405" w:type="pct"/>
                  <w:vAlign w:val="center"/>
                </w:tcPr>
                <w:p>
                  <w:pPr>
                    <w:pStyle w:val="37"/>
                    <w:rPr>
                      <w:color w:val="000000"/>
                    </w:rPr>
                  </w:pPr>
                  <w:r>
                    <w:rPr>
                      <w:rFonts w:hint="eastAsia"/>
                      <w:color w:val="000000"/>
                    </w:rPr>
                    <w:t>焊材、纤维</w:t>
                  </w:r>
                </w:p>
              </w:tc>
              <w:tc>
                <w:tcPr>
                  <w:tcW w:w="258" w:type="pct"/>
                  <w:vAlign w:val="center"/>
                </w:tcPr>
                <w:p>
                  <w:pPr>
                    <w:pStyle w:val="37"/>
                    <w:rPr>
                      <w:color w:val="000000"/>
                      <w:kern w:val="2"/>
                      <w:szCs w:val="24"/>
                    </w:rPr>
                  </w:pPr>
                  <w:r>
                    <w:rPr>
                      <w:rFonts w:hint="eastAsia"/>
                      <w:color w:val="000000"/>
                      <w:kern w:val="2"/>
                      <w:szCs w:val="24"/>
                    </w:rPr>
                    <w:t>固态</w:t>
                  </w:r>
                </w:p>
              </w:tc>
              <w:tc>
                <w:tcPr>
                  <w:tcW w:w="263" w:type="pct"/>
                  <w:vAlign w:val="center"/>
                </w:tcPr>
                <w:p>
                  <w:pPr>
                    <w:pStyle w:val="37"/>
                    <w:rPr>
                      <w:color w:val="000000"/>
                      <w:kern w:val="2"/>
                      <w:szCs w:val="24"/>
                    </w:rPr>
                  </w:pPr>
                  <w:r>
                    <w:rPr>
                      <w:rFonts w:hint="eastAsia"/>
                      <w:color w:val="000000"/>
                      <w:kern w:val="2"/>
                      <w:szCs w:val="24"/>
                    </w:rPr>
                    <w:t>/</w:t>
                  </w:r>
                </w:p>
              </w:tc>
              <w:tc>
                <w:tcPr>
                  <w:tcW w:w="380" w:type="pct"/>
                  <w:vAlign w:val="center"/>
                </w:tcPr>
                <w:p>
                  <w:pPr>
                    <w:pStyle w:val="37"/>
                    <w:rPr>
                      <w:color w:val="000000"/>
                      <w:kern w:val="2"/>
                      <w:szCs w:val="24"/>
                    </w:rPr>
                  </w:pPr>
                  <w:r>
                    <w:rPr>
                      <w:rFonts w:hint="eastAsia"/>
                      <w:color w:val="000000"/>
                      <w:kern w:val="2"/>
                      <w:szCs w:val="24"/>
                    </w:rPr>
                    <w:t>0.01</w:t>
                  </w:r>
                </w:p>
              </w:tc>
              <w:tc>
                <w:tcPr>
                  <w:tcW w:w="280" w:type="pct"/>
                  <w:vAlign w:val="center"/>
                </w:tcPr>
                <w:p>
                  <w:pPr>
                    <w:pStyle w:val="37"/>
                    <w:rPr>
                      <w:color w:val="000000"/>
                    </w:rPr>
                  </w:pPr>
                  <w:r>
                    <w:rPr>
                      <w:rFonts w:hint="eastAsia"/>
                      <w:color w:val="000000"/>
                    </w:rPr>
                    <w:t>袋装</w:t>
                  </w:r>
                </w:p>
              </w:tc>
              <w:tc>
                <w:tcPr>
                  <w:tcW w:w="795" w:type="pct"/>
                  <w:vAlign w:val="center"/>
                </w:tcPr>
                <w:p>
                  <w:pPr>
                    <w:pStyle w:val="37"/>
                    <w:rPr>
                      <w:color w:val="000000"/>
                    </w:rPr>
                  </w:pPr>
                  <w:r>
                    <w:rPr>
                      <w:rFonts w:hint="eastAsia"/>
                      <w:color w:val="000000"/>
                    </w:rPr>
                    <w:t>交由厂商回收处理</w:t>
                  </w:r>
                </w:p>
              </w:tc>
              <w:tc>
                <w:tcPr>
                  <w:tcW w:w="395" w:type="pct"/>
                  <w:vAlign w:val="center"/>
                </w:tcPr>
                <w:p>
                  <w:pPr>
                    <w:pStyle w:val="37"/>
                    <w:rPr>
                      <w:color w:val="000000"/>
                      <w:kern w:val="2"/>
                      <w:szCs w:val="24"/>
                    </w:rPr>
                  </w:pPr>
                  <w:r>
                    <w:rPr>
                      <w:rFonts w:hint="eastAsia"/>
                      <w:color w:val="000000"/>
                      <w:kern w:val="2"/>
                      <w:szCs w:val="24"/>
                    </w:rPr>
                    <w:t>0.01</w:t>
                  </w:r>
                </w:p>
              </w:tc>
              <w:tc>
                <w:tcPr>
                  <w:tcW w:w="365"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70" w:type="pct"/>
                  <w:vMerge w:val="continue"/>
                  <w:vAlign w:val="center"/>
                </w:tcPr>
                <w:p>
                  <w:pPr>
                    <w:pStyle w:val="37"/>
                    <w:rPr>
                      <w:color w:val="000000"/>
                      <w:kern w:val="2"/>
                      <w:szCs w:val="24"/>
                    </w:rPr>
                  </w:pPr>
                </w:p>
              </w:tc>
              <w:tc>
                <w:tcPr>
                  <w:tcW w:w="587" w:type="pct"/>
                  <w:vAlign w:val="center"/>
                </w:tcPr>
                <w:p>
                  <w:pPr>
                    <w:pStyle w:val="37"/>
                    <w:rPr>
                      <w:color w:val="000000"/>
                    </w:rPr>
                  </w:pPr>
                  <w:r>
                    <w:rPr>
                      <w:rFonts w:hint="eastAsia"/>
                      <w:color w:val="000000"/>
                    </w:rPr>
                    <w:t>地面清扫尘</w:t>
                  </w:r>
                </w:p>
              </w:tc>
              <w:tc>
                <w:tcPr>
                  <w:tcW w:w="302" w:type="pct"/>
                  <w:vAlign w:val="center"/>
                </w:tcPr>
                <w:p>
                  <w:pPr>
                    <w:pStyle w:val="37"/>
                    <w:rPr>
                      <w:color w:val="000000"/>
                      <w:kern w:val="2"/>
                      <w:szCs w:val="24"/>
                    </w:rPr>
                  </w:pPr>
                  <w:r>
                    <w:rPr>
                      <w:rFonts w:hint="eastAsia"/>
                      <w:color w:val="000000"/>
                      <w:kern w:val="2"/>
                      <w:szCs w:val="24"/>
                    </w:rPr>
                    <w:t>/</w:t>
                  </w:r>
                </w:p>
              </w:tc>
              <w:tc>
                <w:tcPr>
                  <w:tcW w:w="447" w:type="pct"/>
                  <w:vAlign w:val="center"/>
                </w:tcPr>
                <w:p>
                  <w:pPr>
                    <w:pStyle w:val="37"/>
                    <w:rPr>
                      <w:color w:val="000000"/>
                      <w:kern w:val="2"/>
                      <w:szCs w:val="24"/>
                    </w:rPr>
                  </w:pPr>
                  <w:r>
                    <w:rPr>
                      <w:rFonts w:hint="eastAsia"/>
                      <w:color w:val="000000"/>
                      <w:kern w:val="2"/>
                      <w:szCs w:val="24"/>
                    </w:rPr>
                    <w:t>367-007-99</w:t>
                  </w:r>
                </w:p>
              </w:tc>
              <w:tc>
                <w:tcPr>
                  <w:tcW w:w="248" w:type="pct"/>
                  <w:vMerge w:val="continue"/>
                  <w:vAlign w:val="center"/>
                </w:tcPr>
                <w:p>
                  <w:pPr>
                    <w:pStyle w:val="37"/>
                    <w:rPr>
                      <w:color w:val="000000"/>
                      <w:kern w:val="2"/>
                      <w:szCs w:val="24"/>
                    </w:rPr>
                  </w:pPr>
                </w:p>
              </w:tc>
              <w:tc>
                <w:tcPr>
                  <w:tcW w:w="405" w:type="pct"/>
                  <w:vAlign w:val="center"/>
                </w:tcPr>
                <w:p>
                  <w:pPr>
                    <w:pStyle w:val="37"/>
                    <w:rPr>
                      <w:color w:val="000000"/>
                    </w:rPr>
                  </w:pPr>
                  <w:r>
                    <w:rPr>
                      <w:rFonts w:hint="eastAsia"/>
                      <w:color w:val="000000"/>
                    </w:rPr>
                    <w:t>焊材</w:t>
                  </w:r>
                </w:p>
              </w:tc>
              <w:tc>
                <w:tcPr>
                  <w:tcW w:w="258" w:type="pct"/>
                  <w:vAlign w:val="center"/>
                </w:tcPr>
                <w:p>
                  <w:pPr>
                    <w:pStyle w:val="37"/>
                    <w:rPr>
                      <w:color w:val="000000"/>
                      <w:kern w:val="2"/>
                      <w:szCs w:val="24"/>
                    </w:rPr>
                  </w:pPr>
                  <w:r>
                    <w:rPr>
                      <w:rFonts w:hint="eastAsia"/>
                      <w:color w:val="000000"/>
                      <w:kern w:val="2"/>
                      <w:szCs w:val="24"/>
                    </w:rPr>
                    <w:t>固态</w:t>
                  </w:r>
                </w:p>
              </w:tc>
              <w:tc>
                <w:tcPr>
                  <w:tcW w:w="263" w:type="pct"/>
                  <w:vAlign w:val="center"/>
                </w:tcPr>
                <w:p>
                  <w:pPr>
                    <w:pStyle w:val="37"/>
                    <w:rPr>
                      <w:color w:val="000000"/>
                      <w:kern w:val="2"/>
                      <w:szCs w:val="24"/>
                    </w:rPr>
                  </w:pPr>
                  <w:r>
                    <w:rPr>
                      <w:rFonts w:hint="eastAsia"/>
                      <w:color w:val="000000"/>
                      <w:kern w:val="2"/>
                      <w:szCs w:val="24"/>
                    </w:rPr>
                    <w:t>/</w:t>
                  </w:r>
                </w:p>
              </w:tc>
              <w:tc>
                <w:tcPr>
                  <w:tcW w:w="380" w:type="pct"/>
                  <w:vAlign w:val="center"/>
                </w:tcPr>
                <w:p>
                  <w:pPr>
                    <w:pStyle w:val="37"/>
                    <w:rPr>
                      <w:color w:val="000000"/>
                      <w:kern w:val="2"/>
                      <w:szCs w:val="24"/>
                    </w:rPr>
                  </w:pPr>
                  <w:r>
                    <w:rPr>
                      <w:rFonts w:hint="eastAsia"/>
                      <w:color w:val="000000"/>
                      <w:kern w:val="2"/>
                      <w:szCs w:val="24"/>
                    </w:rPr>
                    <w:t>0.5</w:t>
                  </w:r>
                </w:p>
              </w:tc>
              <w:tc>
                <w:tcPr>
                  <w:tcW w:w="280" w:type="pct"/>
                  <w:vAlign w:val="center"/>
                </w:tcPr>
                <w:p>
                  <w:pPr>
                    <w:pStyle w:val="37"/>
                    <w:rPr>
                      <w:color w:val="000000"/>
                    </w:rPr>
                  </w:pPr>
                  <w:r>
                    <w:rPr>
                      <w:rFonts w:hint="eastAsia"/>
                      <w:color w:val="000000"/>
                    </w:rPr>
                    <w:t>袋装</w:t>
                  </w:r>
                </w:p>
              </w:tc>
              <w:tc>
                <w:tcPr>
                  <w:tcW w:w="795" w:type="pct"/>
                  <w:vAlign w:val="center"/>
                </w:tcPr>
                <w:p>
                  <w:pPr>
                    <w:pStyle w:val="37"/>
                    <w:rPr>
                      <w:color w:val="000000"/>
                    </w:rPr>
                  </w:pPr>
                  <w:r>
                    <w:rPr>
                      <w:rFonts w:hint="eastAsia"/>
                      <w:color w:val="000000"/>
                    </w:rPr>
                    <w:t>交由环卫部门处置</w:t>
                  </w:r>
                </w:p>
              </w:tc>
              <w:tc>
                <w:tcPr>
                  <w:tcW w:w="395" w:type="pct"/>
                  <w:vAlign w:val="center"/>
                </w:tcPr>
                <w:p>
                  <w:pPr>
                    <w:pStyle w:val="37"/>
                    <w:rPr>
                      <w:color w:val="000000"/>
                      <w:kern w:val="2"/>
                      <w:szCs w:val="24"/>
                    </w:rPr>
                  </w:pPr>
                  <w:r>
                    <w:rPr>
                      <w:rFonts w:hint="eastAsia"/>
                      <w:color w:val="000000"/>
                      <w:kern w:val="2"/>
                      <w:szCs w:val="24"/>
                    </w:rPr>
                    <w:t>0.5</w:t>
                  </w:r>
                </w:p>
              </w:tc>
              <w:tc>
                <w:tcPr>
                  <w:tcW w:w="365"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vMerge w:val="continue"/>
                  <w:vAlign w:val="center"/>
                </w:tcPr>
                <w:p>
                  <w:pPr>
                    <w:pStyle w:val="37"/>
                    <w:rPr>
                      <w:color w:val="000000"/>
                      <w:kern w:val="2"/>
                      <w:szCs w:val="24"/>
                    </w:rPr>
                  </w:pPr>
                </w:p>
              </w:tc>
              <w:tc>
                <w:tcPr>
                  <w:tcW w:w="587" w:type="pct"/>
                  <w:vAlign w:val="center"/>
                </w:tcPr>
                <w:p>
                  <w:pPr>
                    <w:pStyle w:val="37"/>
                    <w:rPr>
                      <w:color w:val="000000"/>
                    </w:rPr>
                  </w:pPr>
                  <w:r>
                    <w:rPr>
                      <w:rFonts w:hint="eastAsia"/>
                      <w:color w:val="000000"/>
                    </w:rPr>
                    <w:t>废劳保品</w:t>
                  </w:r>
                </w:p>
              </w:tc>
              <w:tc>
                <w:tcPr>
                  <w:tcW w:w="302" w:type="pct"/>
                  <w:vAlign w:val="center"/>
                </w:tcPr>
                <w:p>
                  <w:pPr>
                    <w:pStyle w:val="37"/>
                    <w:rPr>
                      <w:color w:val="000000"/>
                      <w:kern w:val="2"/>
                      <w:szCs w:val="24"/>
                    </w:rPr>
                  </w:pPr>
                  <w:r>
                    <w:rPr>
                      <w:rFonts w:hint="eastAsia"/>
                      <w:color w:val="000000"/>
                      <w:kern w:val="2"/>
                      <w:szCs w:val="24"/>
                    </w:rPr>
                    <w:t>HW49</w:t>
                  </w:r>
                </w:p>
              </w:tc>
              <w:tc>
                <w:tcPr>
                  <w:tcW w:w="447" w:type="pct"/>
                  <w:vAlign w:val="center"/>
                </w:tcPr>
                <w:p>
                  <w:pPr>
                    <w:pStyle w:val="37"/>
                    <w:rPr>
                      <w:color w:val="000000"/>
                      <w:kern w:val="2"/>
                      <w:szCs w:val="24"/>
                    </w:rPr>
                  </w:pPr>
                  <w:r>
                    <w:rPr>
                      <w:rFonts w:hint="eastAsia"/>
                      <w:color w:val="000000"/>
                      <w:kern w:val="2"/>
                      <w:szCs w:val="24"/>
                    </w:rPr>
                    <w:t>900-041-49</w:t>
                  </w:r>
                </w:p>
              </w:tc>
              <w:tc>
                <w:tcPr>
                  <w:tcW w:w="248" w:type="pct"/>
                  <w:vMerge w:val="restart"/>
                  <w:vAlign w:val="center"/>
                </w:tcPr>
                <w:p>
                  <w:pPr>
                    <w:pStyle w:val="37"/>
                    <w:rPr>
                      <w:color w:val="000000"/>
                      <w:kern w:val="2"/>
                      <w:szCs w:val="24"/>
                    </w:rPr>
                  </w:pPr>
                  <w:r>
                    <w:rPr>
                      <w:rFonts w:hint="eastAsia"/>
                      <w:color w:val="000000"/>
                      <w:kern w:val="2"/>
                      <w:szCs w:val="24"/>
                    </w:rPr>
                    <w:t>危险废物</w:t>
                  </w:r>
                </w:p>
              </w:tc>
              <w:tc>
                <w:tcPr>
                  <w:tcW w:w="405" w:type="pct"/>
                  <w:vAlign w:val="center"/>
                </w:tcPr>
                <w:p>
                  <w:pPr>
                    <w:pStyle w:val="37"/>
                    <w:rPr>
                      <w:color w:val="000000"/>
                    </w:rPr>
                  </w:pPr>
                  <w:r>
                    <w:rPr>
                      <w:rFonts w:hint="eastAsia"/>
                      <w:color w:val="000000"/>
                    </w:rPr>
                    <w:t>有机物</w:t>
                  </w:r>
                </w:p>
              </w:tc>
              <w:tc>
                <w:tcPr>
                  <w:tcW w:w="258" w:type="pct"/>
                  <w:vAlign w:val="center"/>
                </w:tcPr>
                <w:p>
                  <w:pPr>
                    <w:pStyle w:val="37"/>
                    <w:rPr>
                      <w:color w:val="000000"/>
                      <w:kern w:val="2"/>
                      <w:szCs w:val="24"/>
                    </w:rPr>
                  </w:pPr>
                  <w:r>
                    <w:rPr>
                      <w:rFonts w:hint="eastAsia"/>
                      <w:color w:val="000000"/>
                      <w:kern w:val="2"/>
                      <w:szCs w:val="24"/>
                    </w:rPr>
                    <w:t>固态</w:t>
                  </w:r>
                </w:p>
              </w:tc>
              <w:tc>
                <w:tcPr>
                  <w:tcW w:w="263" w:type="pct"/>
                  <w:vAlign w:val="center"/>
                </w:tcPr>
                <w:p>
                  <w:pPr>
                    <w:pStyle w:val="37"/>
                    <w:rPr>
                      <w:color w:val="000000"/>
                    </w:rPr>
                  </w:pPr>
                  <w:r>
                    <w:rPr>
                      <w:rFonts w:hint="eastAsia"/>
                      <w:color w:val="000000"/>
                    </w:rPr>
                    <w:t>T/In</w:t>
                  </w:r>
                </w:p>
              </w:tc>
              <w:tc>
                <w:tcPr>
                  <w:tcW w:w="380" w:type="pct"/>
                  <w:vAlign w:val="center"/>
                </w:tcPr>
                <w:p>
                  <w:pPr>
                    <w:pStyle w:val="37"/>
                    <w:rPr>
                      <w:color w:val="000000"/>
                    </w:rPr>
                  </w:pPr>
                  <w:r>
                    <w:rPr>
                      <w:rFonts w:hint="eastAsia"/>
                      <w:color w:val="000000"/>
                    </w:rPr>
                    <w:t>0.05</w:t>
                  </w:r>
                </w:p>
              </w:tc>
              <w:tc>
                <w:tcPr>
                  <w:tcW w:w="280" w:type="pct"/>
                  <w:vAlign w:val="center"/>
                </w:tcPr>
                <w:p>
                  <w:pPr>
                    <w:pStyle w:val="37"/>
                    <w:rPr>
                      <w:color w:val="000000"/>
                      <w:kern w:val="2"/>
                      <w:szCs w:val="24"/>
                    </w:rPr>
                  </w:pPr>
                  <w:r>
                    <w:rPr>
                      <w:rFonts w:hint="eastAsia"/>
                      <w:color w:val="000000"/>
                    </w:rPr>
                    <w:t>袋装</w:t>
                  </w:r>
                </w:p>
              </w:tc>
              <w:tc>
                <w:tcPr>
                  <w:tcW w:w="795" w:type="pct"/>
                  <w:vMerge w:val="restart"/>
                  <w:vAlign w:val="center"/>
                </w:tcPr>
                <w:p>
                  <w:pPr>
                    <w:pStyle w:val="37"/>
                    <w:rPr>
                      <w:color w:val="000000"/>
                      <w:kern w:val="2"/>
                      <w:szCs w:val="24"/>
                    </w:rPr>
                  </w:pPr>
                  <w:r>
                    <w:rPr>
                      <w:rFonts w:hint="eastAsia"/>
                      <w:color w:val="000000"/>
                      <w:kern w:val="2"/>
                      <w:szCs w:val="24"/>
                    </w:rPr>
                    <w:t>交由有危废资质的单位处理</w:t>
                  </w:r>
                </w:p>
              </w:tc>
              <w:tc>
                <w:tcPr>
                  <w:tcW w:w="395" w:type="pct"/>
                  <w:vAlign w:val="center"/>
                </w:tcPr>
                <w:p>
                  <w:pPr>
                    <w:pStyle w:val="37"/>
                    <w:rPr>
                      <w:color w:val="000000"/>
                    </w:rPr>
                  </w:pPr>
                  <w:r>
                    <w:rPr>
                      <w:rFonts w:hint="eastAsia"/>
                      <w:color w:val="000000"/>
                    </w:rPr>
                    <w:t>0.05</w:t>
                  </w:r>
                </w:p>
              </w:tc>
              <w:tc>
                <w:tcPr>
                  <w:tcW w:w="365"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vMerge w:val="continue"/>
                  <w:vAlign w:val="center"/>
                </w:tcPr>
                <w:p>
                  <w:pPr>
                    <w:pStyle w:val="37"/>
                    <w:rPr>
                      <w:color w:val="000000"/>
                      <w:kern w:val="2"/>
                      <w:szCs w:val="24"/>
                    </w:rPr>
                  </w:pPr>
                </w:p>
              </w:tc>
              <w:tc>
                <w:tcPr>
                  <w:tcW w:w="587" w:type="pct"/>
                  <w:vAlign w:val="center"/>
                </w:tcPr>
                <w:p>
                  <w:pPr>
                    <w:pStyle w:val="37"/>
                    <w:rPr>
                      <w:color w:val="000000"/>
                    </w:rPr>
                  </w:pPr>
                  <w:r>
                    <w:rPr>
                      <w:rFonts w:hint="eastAsia"/>
                      <w:color w:val="000000"/>
                    </w:rPr>
                    <w:t>废机油及废机油瓶</w:t>
                  </w:r>
                </w:p>
              </w:tc>
              <w:tc>
                <w:tcPr>
                  <w:tcW w:w="302" w:type="pct"/>
                  <w:vAlign w:val="center"/>
                </w:tcPr>
                <w:p>
                  <w:pPr>
                    <w:pStyle w:val="37"/>
                    <w:rPr>
                      <w:color w:val="000000"/>
                      <w:kern w:val="2"/>
                      <w:szCs w:val="24"/>
                    </w:rPr>
                  </w:pPr>
                  <w:r>
                    <w:rPr>
                      <w:rFonts w:hint="eastAsia"/>
                      <w:color w:val="000000"/>
                      <w:kern w:val="2"/>
                      <w:szCs w:val="24"/>
                    </w:rPr>
                    <w:t>HW08</w:t>
                  </w:r>
                </w:p>
              </w:tc>
              <w:tc>
                <w:tcPr>
                  <w:tcW w:w="447" w:type="pct"/>
                  <w:vAlign w:val="center"/>
                </w:tcPr>
                <w:p>
                  <w:pPr>
                    <w:pStyle w:val="37"/>
                    <w:rPr>
                      <w:color w:val="000000"/>
                      <w:kern w:val="2"/>
                      <w:szCs w:val="24"/>
                    </w:rPr>
                  </w:pPr>
                  <w:r>
                    <w:rPr>
                      <w:rFonts w:hint="eastAsia"/>
                      <w:color w:val="000000"/>
                      <w:kern w:val="2"/>
                      <w:szCs w:val="24"/>
                    </w:rPr>
                    <w:t>900-249-08</w:t>
                  </w:r>
                </w:p>
              </w:tc>
              <w:tc>
                <w:tcPr>
                  <w:tcW w:w="248" w:type="pct"/>
                  <w:vMerge w:val="continue"/>
                  <w:vAlign w:val="center"/>
                </w:tcPr>
                <w:p>
                  <w:pPr>
                    <w:pStyle w:val="37"/>
                    <w:rPr>
                      <w:color w:val="000000"/>
                      <w:kern w:val="2"/>
                      <w:szCs w:val="24"/>
                    </w:rPr>
                  </w:pPr>
                </w:p>
              </w:tc>
              <w:tc>
                <w:tcPr>
                  <w:tcW w:w="405" w:type="pct"/>
                  <w:vAlign w:val="center"/>
                </w:tcPr>
                <w:p>
                  <w:pPr>
                    <w:pStyle w:val="37"/>
                    <w:rPr>
                      <w:color w:val="000000"/>
                    </w:rPr>
                  </w:pPr>
                  <w:r>
                    <w:rPr>
                      <w:rFonts w:hint="eastAsia"/>
                      <w:color w:val="000000"/>
                    </w:rPr>
                    <w:t>有机物</w:t>
                  </w:r>
                </w:p>
              </w:tc>
              <w:tc>
                <w:tcPr>
                  <w:tcW w:w="258" w:type="pct"/>
                  <w:vAlign w:val="center"/>
                </w:tcPr>
                <w:p>
                  <w:pPr>
                    <w:pStyle w:val="37"/>
                    <w:rPr>
                      <w:color w:val="000000"/>
                      <w:kern w:val="2"/>
                      <w:szCs w:val="24"/>
                    </w:rPr>
                  </w:pPr>
                  <w:r>
                    <w:rPr>
                      <w:rFonts w:hint="eastAsia"/>
                      <w:color w:val="000000"/>
                      <w:kern w:val="2"/>
                      <w:szCs w:val="24"/>
                    </w:rPr>
                    <w:t>固态</w:t>
                  </w:r>
                </w:p>
              </w:tc>
              <w:tc>
                <w:tcPr>
                  <w:tcW w:w="263" w:type="pct"/>
                  <w:vAlign w:val="center"/>
                </w:tcPr>
                <w:p>
                  <w:pPr>
                    <w:pStyle w:val="37"/>
                    <w:rPr>
                      <w:color w:val="000000"/>
                      <w:kern w:val="2"/>
                      <w:szCs w:val="24"/>
                    </w:rPr>
                  </w:pPr>
                  <w:r>
                    <w:rPr>
                      <w:rFonts w:hint="eastAsia"/>
                      <w:color w:val="000000"/>
                      <w:kern w:val="2"/>
                      <w:szCs w:val="24"/>
                    </w:rPr>
                    <w:t>T，I</w:t>
                  </w:r>
                </w:p>
              </w:tc>
              <w:tc>
                <w:tcPr>
                  <w:tcW w:w="380" w:type="pct"/>
                  <w:vAlign w:val="center"/>
                </w:tcPr>
                <w:p>
                  <w:pPr>
                    <w:pStyle w:val="37"/>
                    <w:rPr>
                      <w:color w:val="000000"/>
                      <w:kern w:val="2"/>
                      <w:szCs w:val="24"/>
                    </w:rPr>
                  </w:pPr>
                  <w:r>
                    <w:rPr>
                      <w:rFonts w:hint="eastAsia"/>
                      <w:color w:val="000000"/>
                      <w:kern w:val="2"/>
                      <w:szCs w:val="24"/>
                    </w:rPr>
                    <w:t>0.11</w:t>
                  </w:r>
                </w:p>
              </w:tc>
              <w:tc>
                <w:tcPr>
                  <w:tcW w:w="280" w:type="pct"/>
                  <w:vAlign w:val="center"/>
                </w:tcPr>
                <w:p>
                  <w:pPr>
                    <w:pStyle w:val="37"/>
                    <w:rPr>
                      <w:color w:val="000000"/>
                      <w:kern w:val="2"/>
                      <w:szCs w:val="24"/>
                    </w:rPr>
                  </w:pPr>
                  <w:r>
                    <w:rPr>
                      <w:rFonts w:hint="eastAsia"/>
                      <w:color w:val="000000"/>
                      <w:kern w:val="2"/>
                      <w:szCs w:val="24"/>
                    </w:rPr>
                    <w:t>桶装/堆放</w:t>
                  </w:r>
                </w:p>
              </w:tc>
              <w:tc>
                <w:tcPr>
                  <w:tcW w:w="795" w:type="pct"/>
                  <w:vMerge w:val="continue"/>
                  <w:vAlign w:val="center"/>
                </w:tcPr>
                <w:p>
                  <w:pPr>
                    <w:pStyle w:val="37"/>
                    <w:rPr>
                      <w:color w:val="000000"/>
                      <w:kern w:val="2"/>
                      <w:szCs w:val="24"/>
                    </w:rPr>
                  </w:pPr>
                </w:p>
              </w:tc>
              <w:tc>
                <w:tcPr>
                  <w:tcW w:w="395" w:type="pct"/>
                  <w:vAlign w:val="center"/>
                </w:tcPr>
                <w:p>
                  <w:pPr>
                    <w:pStyle w:val="37"/>
                    <w:rPr>
                      <w:color w:val="000000"/>
                      <w:kern w:val="2"/>
                      <w:szCs w:val="24"/>
                    </w:rPr>
                  </w:pPr>
                  <w:r>
                    <w:rPr>
                      <w:rFonts w:hint="eastAsia"/>
                      <w:color w:val="000000"/>
                      <w:kern w:val="2"/>
                      <w:szCs w:val="24"/>
                    </w:rPr>
                    <w:t>0.11</w:t>
                  </w:r>
                </w:p>
              </w:tc>
              <w:tc>
                <w:tcPr>
                  <w:tcW w:w="365" w:type="pct"/>
                  <w:vMerge w:val="continue"/>
                  <w:vAlign w:val="center"/>
                </w:tcPr>
                <w:p>
                  <w:pPr>
                    <w:pStyle w:val="37"/>
                    <w:rPr>
                      <w:color w:val="000000"/>
                      <w:kern w:val="2"/>
                      <w:szCs w:val="24"/>
                    </w:rPr>
                  </w:pPr>
                </w:p>
              </w:tc>
            </w:tr>
          </w:tbl>
          <w:p>
            <w:pPr>
              <w:ind w:firstLine="482"/>
              <w:rPr>
                <w:b/>
                <w:color w:val="000000"/>
              </w:rPr>
            </w:pPr>
            <w:r>
              <w:rPr>
                <w:rFonts w:hint="eastAsia"/>
                <w:b/>
                <w:color w:val="000000"/>
              </w:rPr>
              <w:t>固废源强计算说明：</w:t>
            </w:r>
          </w:p>
          <w:p>
            <w:pPr>
              <w:ind w:firstLine="480"/>
              <w:rPr>
                <w:color w:val="000000"/>
              </w:rPr>
            </w:pPr>
            <w:r>
              <w:rPr>
                <w:rFonts w:hint="eastAsia"/>
                <w:color w:val="000000"/>
              </w:rPr>
              <w:t>1、不合格品：项目在对产品的检验过程中会产生少量的不合格品，根据建设单位提供资料，产生量约为5t/a，返回现有厂区已建生产线进行维修。</w:t>
            </w:r>
          </w:p>
          <w:p>
            <w:pPr>
              <w:ind w:firstLine="480"/>
              <w:rPr>
                <w:color w:val="000000"/>
              </w:rPr>
            </w:pPr>
            <w:r>
              <w:rPr>
                <w:rFonts w:hint="eastAsia"/>
                <w:color w:val="000000"/>
              </w:rPr>
              <w:t>2、废金属屑：项目在后幅车架冲压过程中会产生少量的废金属屑，根据建设单位提供资料，产生量约为2t/a，属于一般工业固废，收集后外售综合利用。</w:t>
            </w:r>
          </w:p>
          <w:p>
            <w:pPr>
              <w:ind w:firstLine="480"/>
              <w:rPr>
                <w:color w:val="000000"/>
              </w:rPr>
            </w:pPr>
            <w:r>
              <w:rPr>
                <w:rFonts w:hint="eastAsia"/>
                <w:color w:val="000000"/>
              </w:rPr>
              <w:t>3、废包装材料：项目原辅料拆包过程会产生废包装材料，主要包括塑料袋，属于一般工业固废。根据建设单位提供资料，废包装材料产生量约为0.1t/a，收集后外售综合利用。</w:t>
            </w:r>
          </w:p>
          <w:p>
            <w:pPr>
              <w:ind w:firstLine="480"/>
              <w:rPr>
                <w:color w:val="000000"/>
              </w:rPr>
            </w:pPr>
            <w:r>
              <w:rPr>
                <w:rFonts w:hint="eastAsia"/>
                <w:color w:val="000000"/>
              </w:rPr>
              <w:t>4、布袋收集尘：废气处理采用布袋除尘器处理颗粒物，收集后的颗粒物主要成分为焊材等，根据废气源强核算结果，收集尘产生量约为</w:t>
            </w:r>
            <w:r>
              <w:rPr>
                <w:rFonts w:hint="eastAsia"/>
                <w:color w:val="000000"/>
                <w:lang w:val="en-US" w:eastAsia="zh-CN"/>
              </w:rPr>
              <w:t>27.267</w:t>
            </w:r>
            <w:r>
              <w:rPr>
                <w:rFonts w:hint="eastAsia"/>
                <w:color w:val="000000"/>
              </w:rPr>
              <w:t>kg/a，属于一般工业固废，外售综合利用。</w:t>
            </w:r>
          </w:p>
          <w:p>
            <w:pPr>
              <w:ind w:firstLine="480"/>
              <w:rPr>
                <w:color w:val="000000"/>
              </w:rPr>
            </w:pPr>
            <w:r>
              <w:rPr>
                <w:rFonts w:hint="eastAsia"/>
                <w:color w:val="000000"/>
              </w:rPr>
              <w:t>5、废布袋：</w:t>
            </w:r>
            <w:r>
              <w:rPr>
                <w:color w:val="000000"/>
              </w:rPr>
              <w:t>含尘废气处理的布袋需定期更换，一般情况下在每年停工检修过程中会更换布袋，即布袋除尘器的布袋每年更换一次，更换量约</w:t>
            </w:r>
            <w:r>
              <w:rPr>
                <w:rFonts w:hint="eastAsia"/>
                <w:color w:val="000000"/>
              </w:rPr>
              <w:t>0.01</w:t>
            </w:r>
            <w:r>
              <w:rPr>
                <w:color w:val="000000"/>
              </w:rPr>
              <w:t>t/a，属一般固废，由厂商回收</w:t>
            </w:r>
            <w:r>
              <w:rPr>
                <w:rFonts w:hint="eastAsia"/>
                <w:color w:val="000000"/>
              </w:rPr>
              <w:t>处理。</w:t>
            </w:r>
          </w:p>
          <w:p>
            <w:pPr>
              <w:ind w:firstLine="480"/>
              <w:rPr>
                <w:color w:val="000000"/>
              </w:rPr>
            </w:pPr>
            <w:r>
              <w:rPr>
                <w:rFonts w:hint="eastAsia"/>
                <w:color w:val="000000"/>
              </w:rPr>
              <w:t>6、地面清扫尘：项目采用地面清扫的方式进行地面清洁，会产生地面清扫尘，主要成分为无组织沉降的颗粒物。根据建设单位提供资料，地面清扫尘产生量约为0.5t/a，交由环卫部门处置。</w:t>
            </w:r>
          </w:p>
          <w:p>
            <w:pPr>
              <w:ind w:firstLine="480"/>
              <w:rPr>
                <w:color w:val="000000"/>
              </w:rPr>
            </w:pPr>
            <w:r>
              <w:rPr>
                <w:rFonts w:hint="eastAsia"/>
                <w:color w:val="000000"/>
              </w:rPr>
              <w:t>7、废劳保品：项目在生产过程中会产生含有沾染机油等有机物的废劳保品，产生量为0.05t/a，根据《国家危险废物名录》（2021年），属于危险废物，其危险废物类别为HW49，废物代码为900-041-49，暂存于危废暂存间，统一交由有危废资质单位处置。</w:t>
            </w:r>
          </w:p>
          <w:p>
            <w:pPr>
              <w:ind w:firstLine="480"/>
              <w:rPr>
                <w:color w:val="000000"/>
              </w:rPr>
            </w:pPr>
            <w:r>
              <w:rPr>
                <w:rFonts w:hint="eastAsia"/>
                <w:color w:val="000000"/>
              </w:rPr>
              <w:t>8、废机油及废机油瓶：项目设备检修时，会有少量废机油及废机油桶产生，产生量约为0.11t/a。根据《国家危险废物名录》（2021年），属于危险废物，其危险废物类别为HW08，废物代码900-249-08，暂存于危废暂存间，统一交由有危废资质单位处置。</w:t>
            </w:r>
          </w:p>
          <w:p>
            <w:pPr>
              <w:pStyle w:val="38"/>
              <w:rPr>
                <w:color w:val="000000"/>
                <w:szCs w:val="24"/>
              </w:rPr>
            </w:pPr>
            <w:r>
              <w:rPr>
                <w:rFonts w:hint="eastAsia"/>
                <w:color w:val="000000"/>
                <w:szCs w:val="24"/>
              </w:rPr>
              <w:t>表4-14  项目危险废物贮存场所基本情况表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49"/>
              <w:gridCol w:w="2127"/>
              <w:gridCol w:w="1291"/>
              <w:gridCol w:w="1290"/>
              <w:gridCol w:w="1103"/>
              <w:gridCol w:w="925"/>
              <w:gridCol w:w="973"/>
              <w:gridCol w:w="1033"/>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Align w:val="center"/>
                </w:tcPr>
                <w:p>
                  <w:pPr>
                    <w:pStyle w:val="37"/>
                    <w:rPr>
                      <w:b/>
                      <w:bCs/>
                      <w:color w:val="000000"/>
                      <w:kern w:val="2"/>
                      <w:szCs w:val="24"/>
                    </w:rPr>
                  </w:pPr>
                  <w:r>
                    <w:rPr>
                      <w:rFonts w:hint="eastAsia"/>
                      <w:b/>
                      <w:bCs/>
                      <w:color w:val="000000"/>
                      <w:kern w:val="2"/>
                      <w:szCs w:val="24"/>
                    </w:rPr>
                    <w:t>序号</w:t>
                  </w:r>
                </w:p>
              </w:tc>
              <w:tc>
                <w:tcPr>
                  <w:tcW w:w="686" w:type="pct"/>
                  <w:vAlign w:val="center"/>
                </w:tcPr>
                <w:p>
                  <w:pPr>
                    <w:pStyle w:val="37"/>
                    <w:rPr>
                      <w:b/>
                      <w:bCs/>
                      <w:color w:val="000000"/>
                      <w:kern w:val="2"/>
                      <w:szCs w:val="24"/>
                    </w:rPr>
                  </w:pPr>
                  <w:r>
                    <w:rPr>
                      <w:b/>
                      <w:bCs/>
                      <w:color w:val="000000"/>
                      <w:kern w:val="2"/>
                      <w:szCs w:val="24"/>
                    </w:rPr>
                    <w:t>贮存场所（名称</w:t>
                  </w:r>
                  <w:r>
                    <w:rPr>
                      <w:rFonts w:hint="eastAsia"/>
                      <w:b/>
                      <w:bCs/>
                      <w:color w:val="000000"/>
                      <w:kern w:val="2"/>
                      <w:szCs w:val="24"/>
                    </w:rPr>
                    <w:t>）</w:t>
                  </w:r>
                </w:p>
              </w:tc>
              <w:tc>
                <w:tcPr>
                  <w:tcW w:w="885" w:type="pct"/>
                  <w:vAlign w:val="center"/>
                </w:tcPr>
                <w:p>
                  <w:pPr>
                    <w:pStyle w:val="37"/>
                    <w:rPr>
                      <w:b/>
                      <w:bCs/>
                      <w:color w:val="000000"/>
                      <w:kern w:val="2"/>
                      <w:szCs w:val="24"/>
                    </w:rPr>
                  </w:pPr>
                  <w:r>
                    <w:rPr>
                      <w:b/>
                      <w:bCs/>
                      <w:color w:val="000000"/>
                      <w:kern w:val="2"/>
                      <w:szCs w:val="24"/>
                    </w:rPr>
                    <w:t>危险废物名称</w:t>
                  </w:r>
                </w:p>
              </w:tc>
              <w:tc>
                <w:tcPr>
                  <w:tcW w:w="537" w:type="pct"/>
                  <w:vAlign w:val="center"/>
                </w:tcPr>
                <w:p>
                  <w:pPr>
                    <w:pStyle w:val="37"/>
                    <w:rPr>
                      <w:b/>
                      <w:bCs/>
                      <w:color w:val="000000"/>
                      <w:kern w:val="2"/>
                      <w:szCs w:val="24"/>
                    </w:rPr>
                  </w:pPr>
                  <w:r>
                    <w:rPr>
                      <w:b/>
                      <w:bCs/>
                      <w:color w:val="000000"/>
                      <w:kern w:val="2"/>
                      <w:szCs w:val="24"/>
                    </w:rPr>
                    <w:t>危险废物类别</w:t>
                  </w:r>
                </w:p>
              </w:tc>
              <w:tc>
                <w:tcPr>
                  <w:tcW w:w="537" w:type="pct"/>
                  <w:vAlign w:val="center"/>
                </w:tcPr>
                <w:p>
                  <w:pPr>
                    <w:pStyle w:val="37"/>
                    <w:rPr>
                      <w:b/>
                      <w:bCs/>
                      <w:color w:val="000000"/>
                      <w:kern w:val="2"/>
                      <w:szCs w:val="24"/>
                    </w:rPr>
                  </w:pPr>
                  <w:r>
                    <w:rPr>
                      <w:b/>
                      <w:bCs/>
                      <w:color w:val="000000"/>
                      <w:kern w:val="2"/>
                      <w:szCs w:val="24"/>
                    </w:rPr>
                    <w:t>危险废物代码</w:t>
                  </w:r>
                </w:p>
              </w:tc>
              <w:tc>
                <w:tcPr>
                  <w:tcW w:w="459" w:type="pct"/>
                  <w:vAlign w:val="center"/>
                </w:tcPr>
                <w:p>
                  <w:pPr>
                    <w:pStyle w:val="37"/>
                    <w:rPr>
                      <w:b/>
                      <w:bCs/>
                      <w:color w:val="000000"/>
                      <w:kern w:val="2"/>
                      <w:szCs w:val="24"/>
                    </w:rPr>
                  </w:pPr>
                  <w:r>
                    <w:rPr>
                      <w:rFonts w:hint="eastAsia"/>
                      <w:b/>
                      <w:bCs/>
                      <w:color w:val="000000"/>
                      <w:kern w:val="2"/>
                      <w:szCs w:val="24"/>
                    </w:rPr>
                    <w:t>位置</w:t>
                  </w:r>
                </w:p>
              </w:tc>
              <w:tc>
                <w:tcPr>
                  <w:tcW w:w="385" w:type="pct"/>
                  <w:vAlign w:val="center"/>
                </w:tcPr>
                <w:p>
                  <w:pPr>
                    <w:pStyle w:val="37"/>
                    <w:rPr>
                      <w:b/>
                      <w:bCs/>
                      <w:color w:val="000000"/>
                      <w:kern w:val="2"/>
                      <w:szCs w:val="24"/>
                    </w:rPr>
                  </w:pPr>
                  <w:r>
                    <w:rPr>
                      <w:rFonts w:hint="eastAsia"/>
                      <w:b/>
                      <w:bCs/>
                      <w:color w:val="000000"/>
                      <w:kern w:val="2"/>
                      <w:szCs w:val="24"/>
                    </w:rPr>
                    <w:t>占地面积</w:t>
                  </w:r>
                </w:p>
              </w:tc>
              <w:tc>
                <w:tcPr>
                  <w:tcW w:w="405" w:type="pct"/>
                  <w:vAlign w:val="center"/>
                </w:tcPr>
                <w:p>
                  <w:pPr>
                    <w:pStyle w:val="37"/>
                    <w:rPr>
                      <w:b/>
                      <w:bCs/>
                      <w:color w:val="000000"/>
                      <w:kern w:val="2"/>
                      <w:szCs w:val="24"/>
                    </w:rPr>
                  </w:pPr>
                  <w:r>
                    <w:rPr>
                      <w:b/>
                      <w:bCs/>
                      <w:color w:val="000000"/>
                      <w:kern w:val="2"/>
                      <w:szCs w:val="24"/>
                    </w:rPr>
                    <w:t>贮存方式</w:t>
                  </w:r>
                </w:p>
              </w:tc>
              <w:tc>
                <w:tcPr>
                  <w:tcW w:w="430" w:type="pct"/>
                  <w:vAlign w:val="center"/>
                </w:tcPr>
                <w:p>
                  <w:pPr>
                    <w:pStyle w:val="37"/>
                    <w:rPr>
                      <w:b/>
                      <w:bCs/>
                      <w:color w:val="000000"/>
                      <w:kern w:val="2"/>
                      <w:szCs w:val="24"/>
                    </w:rPr>
                  </w:pPr>
                  <w:r>
                    <w:rPr>
                      <w:rFonts w:hint="eastAsia"/>
                      <w:b/>
                      <w:bCs/>
                      <w:color w:val="000000"/>
                      <w:kern w:val="2"/>
                      <w:szCs w:val="24"/>
                    </w:rPr>
                    <w:t>贮存能力kg</w:t>
                  </w:r>
                </w:p>
              </w:tc>
              <w:tc>
                <w:tcPr>
                  <w:tcW w:w="385" w:type="pct"/>
                  <w:vAlign w:val="center"/>
                </w:tcPr>
                <w:p>
                  <w:pPr>
                    <w:pStyle w:val="37"/>
                    <w:rPr>
                      <w:b/>
                      <w:bCs/>
                      <w:color w:val="000000"/>
                      <w:kern w:val="2"/>
                      <w:szCs w:val="24"/>
                    </w:rPr>
                  </w:pPr>
                  <w:r>
                    <w:rPr>
                      <w:rFonts w:hint="eastAsia"/>
                      <w:b/>
                      <w:bCs/>
                      <w:color w:val="000000"/>
                      <w:kern w:val="2"/>
                      <w:szCs w:val="24"/>
                    </w:rPr>
                    <w:t>贮存</w:t>
                  </w:r>
                  <w:r>
                    <w:rPr>
                      <w:b/>
                      <w:bCs/>
                      <w:color w:val="000000"/>
                      <w:kern w:val="2"/>
                      <w:szCs w:val="24"/>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Align w:val="center"/>
                </w:tcPr>
                <w:p>
                  <w:pPr>
                    <w:pStyle w:val="37"/>
                    <w:rPr>
                      <w:color w:val="000000"/>
                      <w:kern w:val="2"/>
                      <w:szCs w:val="24"/>
                    </w:rPr>
                  </w:pPr>
                  <w:r>
                    <w:rPr>
                      <w:rFonts w:hint="eastAsia"/>
                      <w:color w:val="000000"/>
                      <w:kern w:val="2"/>
                      <w:szCs w:val="24"/>
                    </w:rPr>
                    <w:t>1</w:t>
                  </w:r>
                </w:p>
              </w:tc>
              <w:tc>
                <w:tcPr>
                  <w:tcW w:w="686" w:type="pct"/>
                  <w:vMerge w:val="restart"/>
                  <w:vAlign w:val="center"/>
                </w:tcPr>
                <w:p>
                  <w:pPr>
                    <w:pStyle w:val="37"/>
                    <w:rPr>
                      <w:color w:val="000000"/>
                      <w:kern w:val="2"/>
                      <w:szCs w:val="24"/>
                    </w:rPr>
                  </w:pPr>
                  <w:r>
                    <w:rPr>
                      <w:rFonts w:hint="eastAsia"/>
                      <w:color w:val="000000"/>
                      <w:kern w:val="2"/>
                      <w:szCs w:val="24"/>
                    </w:rPr>
                    <w:t>危废暂存间</w:t>
                  </w:r>
                </w:p>
              </w:tc>
              <w:tc>
                <w:tcPr>
                  <w:tcW w:w="885" w:type="pct"/>
                  <w:vAlign w:val="center"/>
                </w:tcPr>
                <w:p>
                  <w:pPr>
                    <w:pStyle w:val="37"/>
                    <w:rPr>
                      <w:color w:val="000000"/>
                    </w:rPr>
                  </w:pPr>
                  <w:r>
                    <w:rPr>
                      <w:rFonts w:hint="eastAsia"/>
                      <w:color w:val="000000"/>
                    </w:rPr>
                    <w:t>废劳保品</w:t>
                  </w:r>
                </w:p>
              </w:tc>
              <w:tc>
                <w:tcPr>
                  <w:tcW w:w="537" w:type="pct"/>
                  <w:vAlign w:val="center"/>
                </w:tcPr>
                <w:p>
                  <w:pPr>
                    <w:pStyle w:val="37"/>
                    <w:rPr>
                      <w:color w:val="000000"/>
                      <w:kern w:val="2"/>
                      <w:szCs w:val="24"/>
                    </w:rPr>
                  </w:pPr>
                  <w:r>
                    <w:rPr>
                      <w:rFonts w:hint="eastAsia"/>
                      <w:color w:val="000000"/>
                      <w:kern w:val="2"/>
                      <w:szCs w:val="24"/>
                    </w:rPr>
                    <w:t>HW49</w:t>
                  </w:r>
                </w:p>
              </w:tc>
              <w:tc>
                <w:tcPr>
                  <w:tcW w:w="537" w:type="pct"/>
                  <w:vAlign w:val="center"/>
                </w:tcPr>
                <w:p>
                  <w:pPr>
                    <w:pStyle w:val="37"/>
                    <w:rPr>
                      <w:color w:val="000000"/>
                      <w:kern w:val="2"/>
                      <w:szCs w:val="24"/>
                    </w:rPr>
                  </w:pPr>
                  <w:r>
                    <w:rPr>
                      <w:rFonts w:hint="eastAsia"/>
                      <w:color w:val="000000"/>
                      <w:kern w:val="2"/>
                      <w:szCs w:val="24"/>
                    </w:rPr>
                    <w:t>900-041-49</w:t>
                  </w:r>
                </w:p>
              </w:tc>
              <w:tc>
                <w:tcPr>
                  <w:tcW w:w="459" w:type="pct"/>
                  <w:vMerge w:val="restart"/>
                  <w:vAlign w:val="center"/>
                </w:tcPr>
                <w:p>
                  <w:pPr>
                    <w:pStyle w:val="37"/>
                    <w:rPr>
                      <w:color w:val="000000"/>
                      <w:kern w:val="2"/>
                      <w:szCs w:val="24"/>
                    </w:rPr>
                  </w:pPr>
                  <w:r>
                    <w:rPr>
                      <w:rFonts w:hint="eastAsia"/>
                      <w:color w:val="000000"/>
                      <w:kern w:val="2"/>
                      <w:szCs w:val="24"/>
                    </w:rPr>
                    <w:t>危废暂存间</w:t>
                  </w:r>
                </w:p>
              </w:tc>
              <w:tc>
                <w:tcPr>
                  <w:tcW w:w="385" w:type="pct"/>
                  <w:vMerge w:val="restart"/>
                  <w:vAlign w:val="center"/>
                </w:tcPr>
                <w:p>
                  <w:pPr>
                    <w:pStyle w:val="37"/>
                    <w:rPr>
                      <w:color w:val="000000"/>
                      <w:kern w:val="2"/>
                      <w:szCs w:val="24"/>
                    </w:rPr>
                  </w:pPr>
                  <w:r>
                    <w:rPr>
                      <w:rFonts w:hint="eastAsia"/>
                      <w:color w:val="000000"/>
                      <w:kern w:val="2"/>
                      <w:szCs w:val="24"/>
                      <w:lang w:val="en-US" w:eastAsia="zh-CN"/>
                    </w:rPr>
                    <w:t>320</w:t>
                  </w:r>
                  <w:r>
                    <w:rPr>
                      <w:rFonts w:hint="eastAsia"/>
                      <w:color w:val="000000"/>
                      <w:kern w:val="2"/>
                      <w:szCs w:val="24"/>
                    </w:rPr>
                    <w:t>m</w:t>
                  </w:r>
                  <w:r>
                    <w:rPr>
                      <w:rFonts w:hint="eastAsia"/>
                      <w:color w:val="000000"/>
                      <w:kern w:val="2"/>
                      <w:szCs w:val="24"/>
                      <w:vertAlign w:val="superscript"/>
                    </w:rPr>
                    <w:t>2</w:t>
                  </w:r>
                </w:p>
              </w:tc>
              <w:tc>
                <w:tcPr>
                  <w:tcW w:w="405" w:type="pct"/>
                  <w:vAlign w:val="center"/>
                </w:tcPr>
                <w:p>
                  <w:pPr>
                    <w:pStyle w:val="37"/>
                    <w:rPr>
                      <w:color w:val="000000"/>
                      <w:kern w:val="2"/>
                      <w:szCs w:val="24"/>
                    </w:rPr>
                  </w:pPr>
                  <w:r>
                    <w:rPr>
                      <w:rFonts w:hint="eastAsia"/>
                      <w:color w:val="000000"/>
                    </w:rPr>
                    <w:t>袋装</w:t>
                  </w:r>
                </w:p>
              </w:tc>
              <w:tc>
                <w:tcPr>
                  <w:tcW w:w="430" w:type="pct"/>
                  <w:vAlign w:val="center"/>
                </w:tcPr>
                <w:p>
                  <w:pPr>
                    <w:pStyle w:val="37"/>
                    <w:rPr>
                      <w:color w:val="000000"/>
                    </w:rPr>
                  </w:pPr>
                  <w:r>
                    <w:rPr>
                      <w:rFonts w:hint="eastAsia"/>
                      <w:color w:val="000000"/>
                    </w:rPr>
                    <w:t>0.01</w:t>
                  </w:r>
                </w:p>
              </w:tc>
              <w:tc>
                <w:tcPr>
                  <w:tcW w:w="385" w:type="pct"/>
                  <w:vMerge w:val="restart"/>
                  <w:vAlign w:val="center"/>
                </w:tcPr>
                <w:p>
                  <w:pPr>
                    <w:pStyle w:val="37"/>
                    <w:rPr>
                      <w:color w:val="000000"/>
                      <w:kern w:val="2"/>
                      <w:szCs w:val="24"/>
                    </w:rPr>
                  </w:pPr>
                  <w:r>
                    <w:rPr>
                      <w:rFonts w:hint="eastAsia"/>
                      <w:color w:val="000000"/>
                      <w:kern w:val="2"/>
                      <w:szCs w:val="24"/>
                    </w:rPr>
                    <w:t>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tcPr>
                <w:p>
                  <w:pPr>
                    <w:pStyle w:val="37"/>
                    <w:rPr>
                      <w:color w:val="000000"/>
                      <w:kern w:val="2"/>
                      <w:szCs w:val="24"/>
                    </w:rPr>
                  </w:pPr>
                  <w:r>
                    <w:rPr>
                      <w:rFonts w:hint="eastAsia"/>
                      <w:color w:val="000000"/>
                      <w:kern w:val="2"/>
                      <w:szCs w:val="24"/>
                    </w:rPr>
                    <w:t>2</w:t>
                  </w:r>
                </w:p>
              </w:tc>
              <w:tc>
                <w:tcPr>
                  <w:tcW w:w="686" w:type="pct"/>
                  <w:vMerge w:val="continue"/>
                </w:tcPr>
                <w:p>
                  <w:pPr>
                    <w:pStyle w:val="37"/>
                    <w:rPr>
                      <w:color w:val="000000"/>
                      <w:kern w:val="2"/>
                      <w:szCs w:val="24"/>
                    </w:rPr>
                  </w:pPr>
                </w:p>
              </w:tc>
              <w:tc>
                <w:tcPr>
                  <w:tcW w:w="885" w:type="pct"/>
                  <w:vAlign w:val="center"/>
                </w:tcPr>
                <w:p>
                  <w:pPr>
                    <w:pStyle w:val="37"/>
                    <w:rPr>
                      <w:color w:val="000000"/>
                    </w:rPr>
                  </w:pPr>
                  <w:r>
                    <w:rPr>
                      <w:rFonts w:hint="eastAsia"/>
                      <w:color w:val="000000"/>
                    </w:rPr>
                    <w:t>废机油及废机油瓶</w:t>
                  </w:r>
                </w:p>
              </w:tc>
              <w:tc>
                <w:tcPr>
                  <w:tcW w:w="537" w:type="pct"/>
                  <w:vAlign w:val="center"/>
                </w:tcPr>
                <w:p>
                  <w:pPr>
                    <w:pStyle w:val="37"/>
                    <w:rPr>
                      <w:color w:val="000000"/>
                      <w:kern w:val="2"/>
                      <w:szCs w:val="24"/>
                    </w:rPr>
                  </w:pPr>
                  <w:r>
                    <w:rPr>
                      <w:rFonts w:hint="eastAsia"/>
                      <w:color w:val="000000"/>
                      <w:kern w:val="2"/>
                      <w:szCs w:val="24"/>
                    </w:rPr>
                    <w:t>HW08</w:t>
                  </w:r>
                </w:p>
              </w:tc>
              <w:tc>
                <w:tcPr>
                  <w:tcW w:w="537" w:type="pct"/>
                  <w:vAlign w:val="center"/>
                </w:tcPr>
                <w:p>
                  <w:pPr>
                    <w:pStyle w:val="37"/>
                    <w:rPr>
                      <w:color w:val="000000"/>
                      <w:kern w:val="2"/>
                      <w:szCs w:val="24"/>
                    </w:rPr>
                  </w:pPr>
                  <w:r>
                    <w:rPr>
                      <w:rFonts w:hint="eastAsia"/>
                      <w:color w:val="000000"/>
                      <w:kern w:val="2"/>
                      <w:szCs w:val="24"/>
                    </w:rPr>
                    <w:t>900-249-08</w:t>
                  </w:r>
                </w:p>
              </w:tc>
              <w:tc>
                <w:tcPr>
                  <w:tcW w:w="459" w:type="pct"/>
                  <w:vMerge w:val="continue"/>
                </w:tcPr>
                <w:p>
                  <w:pPr>
                    <w:pStyle w:val="37"/>
                    <w:rPr>
                      <w:color w:val="000000"/>
                      <w:kern w:val="2"/>
                      <w:szCs w:val="24"/>
                    </w:rPr>
                  </w:pPr>
                </w:p>
              </w:tc>
              <w:tc>
                <w:tcPr>
                  <w:tcW w:w="385" w:type="pct"/>
                  <w:vMerge w:val="continue"/>
                </w:tcPr>
                <w:p>
                  <w:pPr>
                    <w:pStyle w:val="37"/>
                    <w:rPr>
                      <w:color w:val="000000"/>
                      <w:kern w:val="2"/>
                      <w:szCs w:val="24"/>
                    </w:rPr>
                  </w:pPr>
                </w:p>
              </w:tc>
              <w:tc>
                <w:tcPr>
                  <w:tcW w:w="405" w:type="pct"/>
                  <w:vAlign w:val="center"/>
                </w:tcPr>
                <w:p>
                  <w:pPr>
                    <w:pStyle w:val="37"/>
                    <w:rPr>
                      <w:color w:val="000000"/>
                      <w:kern w:val="2"/>
                      <w:szCs w:val="24"/>
                    </w:rPr>
                  </w:pPr>
                  <w:r>
                    <w:rPr>
                      <w:rFonts w:hint="eastAsia"/>
                      <w:color w:val="000000"/>
                    </w:rPr>
                    <w:t>堆放</w:t>
                  </w:r>
                </w:p>
              </w:tc>
              <w:tc>
                <w:tcPr>
                  <w:tcW w:w="430" w:type="pct"/>
                  <w:vAlign w:val="center"/>
                </w:tcPr>
                <w:p>
                  <w:pPr>
                    <w:pStyle w:val="37"/>
                    <w:rPr>
                      <w:color w:val="000000"/>
                    </w:rPr>
                  </w:pPr>
                  <w:r>
                    <w:rPr>
                      <w:rFonts w:hint="eastAsia"/>
                      <w:color w:val="000000"/>
                    </w:rPr>
                    <w:t>0.02</w:t>
                  </w:r>
                </w:p>
              </w:tc>
              <w:tc>
                <w:tcPr>
                  <w:tcW w:w="385" w:type="pct"/>
                  <w:vMerge w:val="continue"/>
                </w:tcPr>
                <w:p>
                  <w:pPr>
                    <w:pStyle w:val="37"/>
                    <w:rPr>
                      <w:color w:val="000000"/>
                      <w:kern w:val="2"/>
                      <w:szCs w:val="24"/>
                    </w:rPr>
                  </w:pPr>
                </w:p>
              </w:tc>
            </w:tr>
          </w:tbl>
          <w:p>
            <w:pPr>
              <w:adjustRightInd w:val="0"/>
              <w:snapToGrid w:val="0"/>
              <w:ind w:firstLine="480"/>
              <w:rPr>
                <w:color w:val="000000"/>
              </w:rPr>
            </w:pPr>
            <w:r>
              <w:rPr>
                <w:rFonts w:hint="eastAsia"/>
                <w:color w:val="000000"/>
              </w:rPr>
              <w:t>建设单位收集危险固废后，暂存于厂区现有已建危废暂存间（占地面积</w:t>
            </w:r>
            <w:r>
              <w:rPr>
                <w:rFonts w:hint="eastAsia"/>
                <w:color w:val="000000"/>
                <w:lang w:val="en-US" w:eastAsia="zh-CN"/>
              </w:rPr>
              <w:t>320</w:t>
            </w:r>
            <w:r>
              <w:rPr>
                <w:rFonts w:hint="eastAsia"/>
                <w:color w:val="000000"/>
              </w:rPr>
              <w:t>m</w:t>
            </w:r>
            <w:r>
              <w:rPr>
                <w:rFonts w:hint="eastAsia"/>
                <w:color w:val="000000"/>
                <w:vertAlign w:val="superscript"/>
              </w:rPr>
              <w:t>2</w:t>
            </w:r>
            <w:r>
              <w:rPr>
                <w:rFonts w:hint="eastAsia"/>
                <w:color w:val="000000"/>
              </w:rPr>
              <w:t>，空间容纳率按0.6t/m</w:t>
            </w:r>
            <w:r>
              <w:rPr>
                <w:rFonts w:hint="eastAsia"/>
                <w:color w:val="000000"/>
                <w:vertAlign w:val="superscript"/>
              </w:rPr>
              <w:t>3</w:t>
            </w:r>
            <w:r>
              <w:rPr>
                <w:rFonts w:hint="eastAsia"/>
                <w:color w:val="000000"/>
              </w:rPr>
              <w:t>计，一次性最大储存量为</w:t>
            </w:r>
            <w:r>
              <w:rPr>
                <w:rFonts w:hint="eastAsia"/>
                <w:color w:val="000000"/>
                <w:lang w:val="en-US" w:eastAsia="zh-CN"/>
              </w:rPr>
              <w:t>192</w:t>
            </w:r>
            <w:r>
              <w:rPr>
                <w:rFonts w:hint="eastAsia"/>
                <w:color w:val="000000"/>
              </w:rPr>
              <w:t>t，现有项目已使用1</w:t>
            </w:r>
            <w:r>
              <w:rPr>
                <w:rFonts w:hint="eastAsia"/>
                <w:color w:val="000000"/>
                <w:lang w:val="en-US" w:eastAsia="zh-CN"/>
              </w:rPr>
              <w:t>10</w:t>
            </w:r>
            <w:r>
              <w:rPr>
                <w:rFonts w:hint="eastAsia"/>
                <w:color w:val="000000"/>
              </w:rPr>
              <w:t>t，剩余</w:t>
            </w:r>
            <w:r>
              <w:rPr>
                <w:rFonts w:hint="eastAsia"/>
                <w:color w:val="000000"/>
                <w:lang w:val="en-US" w:eastAsia="zh-CN"/>
              </w:rPr>
              <w:t>82</w:t>
            </w:r>
            <w:r>
              <w:rPr>
                <w:rFonts w:hint="eastAsia"/>
                <w:color w:val="000000"/>
              </w:rPr>
              <w:t>t未使用）。扩建项目建成后危废一次性最大储存量为0.03t，剩余暂存量可满足扩建项目暂存需求，同时危废入库后，需要进行台账管理，并对危废暂存区域采用警戒线划分，避免与暂存间内其他公司混淆。为减少废弃物的储运风险，防止危废流失污染环境，现有危废暂存间已严格按照《危险废物贮存污染控制标准》（GB18597-2023）的要求设计，做好防雨、防渗、防腐，防止二次污染。危废暂存间地面采用坚固、防渗、耐腐蚀的材料建造，并设计有堵截泄漏的裙脚、围堰等设施，防渗层渗透系数≤10</w:t>
            </w:r>
            <w:r>
              <w:rPr>
                <w:rFonts w:hint="eastAsia"/>
                <w:color w:val="000000"/>
                <w:vertAlign w:val="superscript"/>
              </w:rPr>
              <w:t>-10</w:t>
            </w:r>
            <w:r>
              <w:rPr>
                <w:rFonts w:hint="eastAsia"/>
                <w:color w:val="000000"/>
              </w:rPr>
              <w:t>cm/s。</w:t>
            </w:r>
          </w:p>
          <w:p>
            <w:pPr>
              <w:widowControl/>
              <w:snapToGrid w:val="0"/>
              <w:ind w:firstLine="480"/>
              <w:rPr>
                <w:color w:val="000000"/>
              </w:rPr>
            </w:pPr>
            <w:r>
              <w:rPr>
                <w:rFonts w:hint="eastAsia"/>
                <w:color w:val="000000"/>
              </w:rPr>
              <w:t>危险废物的贮存需严格按照《危险废物收集贮存运输技术规范》（HJ2025-2012）的有关规定执行。</w:t>
            </w:r>
          </w:p>
          <w:p>
            <w:pPr>
              <w:ind w:firstLine="482"/>
              <w:rPr>
                <w:b/>
                <w:bCs/>
                <w:color w:val="000000"/>
              </w:rPr>
            </w:pPr>
            <w:r>
              <w:rPr>
                <w:rFonts w:hint="eastAsia"/>
                <w:b/>
                <w:bCs/>
                <w:color w:val="000000"/>
              </w:rPr>
              <w:t>危废暂存要求：</w:t>
            </w:r>
          </w:p>
          <w:p>
            <w:pPr>
              <w:widowControl/>
              <w:snapToGrid w:val="0"/>
              <w:ind w:firstLine="480"/>
              <w:rPr>
                <w:color w:val="000000"/>
              </w:rPr>
            </w:pPr>
            <w:r>
              <w:rPr>
                <w:rFonts w:hint="eastAsia"/>
                <w:color w:val="000000"/>
              </w:rPr>
              <w:t>1、危险废物贮存设施应配备照明设施和消防设施。</w:t>
            </w:r>
          </w:p>
          <w:p>
            <w:pPr>
              <w:widowControl/>
              <w:snapToGrid w:val="0"/>
              <w:ind w:firstLine="480"/>
              <w:rPr>
                <w:color w:val="000000"/>
              </w:rPr>
            </w:pPr>
            <w:r>
              <w:rPr>
                <w:rFonts w:hint="eastAsia"/>
                <w:color w:val="000000"/>
              </w:rPr>
              <w:t>2、贮存危险废物应按危险废物的种类和特性进行分区贮存，每个贮存区域之间宜设置挡墙间隔，并设置防雨、防火、防雷、防扬尘装置。</w:t>
            </w:r>
          </w:p>
          <w:p>
            <w:pPr>
              <w:widowControl/>
              <w:snapToGrid w:val="0"/>
              <w:ind w:firstLine="480"/>
              <w:rPr>
                <w:color w:val="000000"/>
              </w:rPr>
            </w:pPr>
            <w:r>
              <w:rPr>
                <w:rFonts w:hint="eastAsia"/>
                <w:color w:val="000000"/>
              </w:rPr>
              <w:t>3、危险废物贮存期限应符合国家有关规定。</w:t>
            </w:r>
          </w:p>
          <w:p>
            <w:pPr>
              <w:widowControl/>
              <w:snapToGrid w:val="0"/>
              <w:ind w:firstLine="480"/>
              <w:rPr>
                <w:color w:val="000000"/>
              </w:rPr>
            </w:pPr>
            <w:r>
              <w:rPr>
                <w:rFonts w:hint="eastAsia"/>
                <w:color w:val="000000"/>
              </w:rPr>
              <w:t>4、在贮存危险废物时，应根据危险废物贮存经营许可证核发的有关规定建立相应的规章制度和污染防治措施，包括危险废物分析管理制度、安全管理制度、污染防治措施等。</w:t>
            </w:r>
          </w:p>
          <w:p>
            <w:pPr>
              <w:widowControl/>
              <w:snapToGrid w:val="0"/>
              <w:ind w:firstLine="480"/>
              <w:rPr>
                <w:color w:val="000000"/>
              </w:rPr>
            </w:pPr>
            <w:r>
              <w:rPr>
                <w:rFonts w:hint="eastAsia"/>
                <w:color w:val="000000"/>
              </w:rPr>
              <w:t>5、危险废物贮存设施应根据贮存的废物种类和特性按照规定设置标志。</w:t>
            </w:r>
          </w:p>
          <w:p>
            <w:pPr>
              <w:pStyle w:val="38"/>
              <w:rPr>
                <w:color w:val="000000"/>
                <w:szCs w:val="24"/>
              </w:rPr>
            </w:pPr>
            <w:r>
              <w:rPr>
                <w:rFonts w:hint="eastAsia"/>
                <w:color w:val="000000"/>
                <w:szCs w:val="24"/>
              </w:rPr>
              <w:t>表4-15  项目一般固体废物贮存场所基本情况表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650"/>
              <w:gridCol w:w="1953"/>
              <w:gridCol w:w="1415"/>
              <w:gridCol w:w="1559"/>
              <w:gridCol w:w="1271"/>
              <w:gridCol w:w="1139"/>
              <w:gridCol w:w="1091"/>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 w:type="pct"/>
                  <w:vAlign w:val="center"/>
                </w:tcPr>
                <w:p>
                  <w:pPr>
                    <w:pStyle w:val="37"/>
                    <w:rPr>
                      <w:b/>
                      <w:bCs/>
                      <w:color w:val="000000"/>
                      <w:kern w:val="2"/>
                      <w:szCs w:val="24"/>
                    </w:rPr>
                  </w:pPr>
                  <w:r>
                    <w:rPr>
                      <w:rFonts w:hint="eastAsia"/>
                      <w:b/>
                      <w:bCs/>
                      <w:color w:val="000000"/>
                      <w:kern w:val="2"/>
                      <w:szCs w:val="24"/>
                    </w:rPr>
                    <w:t>序号</w:t>
                  </w:r>
                </w:p>
              </w:tc>
              <w:tc>
                <w:tcPr>
                  <w:tcW w:w="686" w:type="pct"/>
                  <w:vAlign w:val="center"/>
                </w:tcPr>
                <w:p>
                  <w:pPr>
                    <w:pStyle w:val="37"/>
                    <w:rPr>
                      <w:b/>
                      <w:bCs/>
                      <w:color w:val="000000"/>
                      <w:kern w:val="2"/>
                      <w:szCs w:val="24"/>
                    </w:rPr>
                  </w:pPr>
                  <w:r>
                    <w:rPr>
                      <w:b/>
                      <w:bCs/>
                      <w:color w:val="000000"/>
                      <w:kern w:val="2"/>
                      <w:szCs w:val="24"/>
                    </w:rPr>
                    <w:t>贮存场所（名称</w:t>
                  </w:r>
                  <w:r>
                    <w:rPr>
                      <w:rFonts w:hint="eastAsia"/>
                      <w:b/>
                      <w:bCs/>
                      <w:color w:val="000000"/>
                      <w:kern w:val="2"/>
                      <w:szCs w:val="24"/>
                    </w:rPr>
                    <w:t>）</w:t>
                  </w:r>
                </w:p>
              </w:tc>
              <w:tc>
                <w:tcPr>
                  <w:tcW w:w="812" w:type="pct"/>
                  <w:vAlign w:val="center"/>
                </w:tcPr>
                <w:p>
                  <w:pPr>
                    <w:pStyle w:val="37"/>
                    <w:rPr>
                      <w:b/>
                      <w:bCs/>
                      <w:color w:val="000000"/>
                      <w:kern w:val="2"/>
                      <w:szCs w:val="24"/>
                    </w:rPr>
                  </w:pPr>
                  <w:r>
                    <w:rPr>
                      <w:b/>
                      <w:bCs/>
                      <w:color w:val="000000"/>
                      <w:kern w:val="2"/>
                      <w:szCs w:val="24"/>
                    </w:rPr>
                    <w:t>名称</w:t>
                  </w:r>
                </w:p>
              </w:tc>
              <w:tc>
                <w:tcPr>
                  <w:tcW w:w="589" w:type="pct"/>
                  <w:vAlign w:val="center"/>
                </w:tcPr>
                <w:p>
                  <w:pPr>
                    <w:pStyle w:val="37"/>
                    <w:rPr>
                      <w:b/>
                      <w:bCs/>
                      <w:color w:val="000000"/>
                      <w:kern w:val="2"/>
                      <w:szCs w:val="24"/>
                    </w:rPr>
                  </w:pPr>
                  <w:r>
                    <w:rPr>
                      <w:b/>
                      <w:bCs/>
                      <w:color w:val="000000"/>
                      <w:kern w:val="2"/>
                      <w:szCs w:val="24"/>
                    </w:rPr>
                    <w:t>类别</w:t>
                  </w:r>
                  <w:r>
                    <w:rPr>
                      <w:rFonts w:hint="eastAsia"/>
                      <w:b/>
                      <w:bCs/>
                      <w:color w:val="000000"/>
                      <w:kern w:val="2"/>
                      <w:szCs w:val="24"/>
                    </w:rPr>
                    <w:t>代码</w:t>
                  </w:r>
                </w:p>
              </w:tc>
              <w:tc>
                <w:tcPr>
                  <w:tcW w:w="648" w:type="pct"/>
                  <w:vAlign w:val="center"/>
                </w:tcPr>
                <w:p>
                  <w:pPr>
                    <w:pStyle w:val="37"/>
                    <w:rPr>
                      <w:b/>
                      <w:bCs/>
                      <w:color w:val="000000"/>
                      <w:kern w:val="2"/>
                      <w:szCs w:val="24"/>
                    </w:rPr>
                  </w:pPr>
                  <w:r>
                    <w:rPr>
                      <w:rFonts w:hint="eastAsia"/>
                      <w:b/>
                      <w:bCs/>
                      <w:color w:val="000000"/>
                      <w:kern w:val="2"/>
                      <w:szCs w:val="24"/>
                    </w:rPr>
                    <w:t>位置</w:t>
                  </w:r>
                </w:p>
              </w:tc>
              <w:tc>
                <w:tcPr>
                  <w:tcW w:w="529" w:type="pct"/>
                  <w:vAlign w:val="center"/>
                </w:tcPr>
                <w:p>
                  <w:pPr>
                    <w:pStyle w:val="37"/>
                    <w:rPr>
                      <w:b/>
                      <w:bCs/>
                      <w:color w:val="000000"/>
                      <w:kern w:val="2"/>
                      <w:szCs w:val="24"/>
                    </w:rPr>
                  </w:pPr>
                  <w:r>
                    <w:rPr>
                      <w:rFonts w:hint="eastAsia"/>
                      <w:b/>
                      <w:bCs/>
                      <w:color w:val="000000"/>
                      <w:kern w:val="2"/>
                      <w:szCs w:val="24"/>
                    </w:rPr>
                    <w:t>占地面积</w:t>
                  </w:r>
                </w:p>
              </w:tc>
              <w:tc>
                <w:tcPr>
                  <w:tcW w:w="474" w:type="pct"/>
                  <w:vAlign w:val="center"/>
                </w:tcPr>
                <w:p>
                  <w:pPr>
                    <w:pStyle w:val="37"/>
                    <w:rPr>
                      <w:b/>
                      <w:bCs/>
                      <w:color w:val="000000"/>
                      <w:kern w:val="2"/>
                      <w:szCs w:val="24"/>
                    </w:rPr>
                  </w:pPr>
                  <w:r>
                    <w:rPr>
                      <w:b/>
                      <w:bCs/>
                      <w:color w:val="000000"/>
                      <w:kern w:val="2"/>
                      <w:szCs w:val="24"/>
                    </w:rPr>
                    <w:t>贮存方式</w:t>
                  </w:r>
                </w:p>
              </w:tc>
              <w:tc>
                <w:tcPr>
                  <w:tcW w:w="454" w:type="pct"/>
                  <w:vAlign w:val="center"/>
                </w:tcPr>
                <w:p>
                  <w:pPr>
                    <w:pStyle w:val="37"/>
                    <w:rPr>
                      <w:b/>
                      <w:bCs/>
                      <w:color w:val="000000"/>
                      <w:kern w:val="2"/>
                      <w:szCs w:val="24"/>
                    </w:rPr>
                  </w:pPr>
                  <w:r>
                    <w:rPr>
                      <w:rFonts w:hint="eastAsia"/>
                      <w:b/>
                      <w:bCs/>
                      <w:color w:val="000000"/>
                      <w:kern w:val="2"/>
                      <w:szCs w:val="24"/>
                    </w:rPr>
                    <w:t>贮存能力t</w:t>
                  </w:r>
                </w:p>
              </w:tc>
              <w:tc>
                <w:tcPr>
                  <w:tcW w:w="457" w:type="pct"/>
                  <w:vAlign w:val="center"/>
                </w:tcPr>
                <w:p>
                  <w:pPr>
                    <w:pStyle w:val="37"/>
                    <w:rPr>
                      <w:b/>
                      <w:bCs/>
                      <w:color w:val="000000"/>
                      <w:kern w:val="2"/>
                      <w:szCs w:val="24"/>
                    </w:rPr>
                  </w:pPr>
                  <w:r>
                    <w:rPr>
                      <w:rFonts w:hint="eastAsia"/>
                      <w:b/>
                      <w:bCs/>
                      <w:color w:val="000000"/>
                      <w:kern w:val="2"/>
                      <w:szCs w:val="24"/>
                    </w:rPr>
                    <w:t>贮存</w:t>
                  </w:r>
                  <w:r>
                    <w:rPr>
                      <w:b/>
                      <w:bCs/>
                      <w:color w:val="000000"/>
                      <w:kern w:val="2"/>
                      <w:szCs w:val="24"/>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pStyle w:val="37"/>
                    <w:rPr>
                      <w:color w:val="000000"/>
                      <w:kern w:val="2"/>
                      <w:szCs w:val="24"/>
                    </w:rPr>
                  </w:pPr>
                  <w:r>
                    <w:rPr>
                      <w:rFonts w:hint="eastAsia"/>
                      <w:color w:val="000000"/>
                      <w:kern w:val="2"/>
                      <w:szCs w:val="24"/>
                    </w:rPr>
                    <w:t>1</w:t>
                  </w:r>
                </w:p>
              </w:tc>
              <w:tc>
                <w:tcPr>
                  <w:tcW w:w="686" w:type="pct"/>
                  <w:vMerge w:val="restart"/>
                  <w:vAlign w:val="center"/>
                </w:tcPr>
                <w:p>
                  <w:pPr>
                    <w:pStyle w:val="37"/>
                    <w:rPr>
                      <w:color w:val="000000"/>
                      <w:kern w:val="2"/>
                      <w:szCs w:val="24"/>
                    </w:rPr>
                  </w:pPr>
                  <w:r>
                    <w:rPr>
                      <w:rFonts w:hint="eastAsia"/>
                      <w:color w:val="000000"/>
                      <w:kern w:val="2"/>
                      <w:szCs w:val="24"/>
                    </w:rPr>
                    <w:t>一般固废暂存间</w:t>
                  </w:r>
                </w:p>
              </w:tc>
              <w:tc>
                <w:tcPr>
                  <w:tcW w:w="812" w:type="pct"/>
                  <w:vAlign w:val="center"/>
                </w:tcPr>
                <w:p>
                  <w:pPr>
                    <w:pStyle w:val="37"/>
                    <w:rPr>
                      <w:color w:val="000000"/>
                    </w:rPr>
                  </w:pPr>
                  <w:r>
                    <w:rPr>
                      <w:rFonts w:hint="eastAsia"/>
                      <w:color w:val="000000"/>
                    </w:rPr>
                    <w:t>不合格品</w:t>
                  </w:r>
                </w:p>
              </w:tc>
              <w:tc>
                <w:tcPr>
                  <w:tcW w:w="589" w:type="pct"/>
                  <w:vAlign w:val="center"/>
                </w:tcPr>
                <w:p>
                  <w:pPr>
                    <w:pStyle w:val="37"/>
                    <w:rPr>
                      <w:color w:val="000000"/>
                      <w:kern w:val="2"/>
                      <w:szCs w:val="24"/>
                    </w:rPr>
                  </w:pPr>
                  <w:r>
                    <w:rPr>
                      <w:rFonts w:hint="eastAsia"/>
                      <w:color w:val="000000"/>
                      <w:kern w:val="2"/>
                      <w:szCs w:val="24"/>
                    </w:rPr>
                    <w:t>367-007-99</w:t>
                  </w:r>
                </w:p>
              </w:tc>
              <w:tc>
                <w:tcPr>
                  <w:tcW w:w="648" w:type="pct"/>
                  <w:vMerge w:val="restart"/>
                  <w:vAlign w:val="center"/>
                </w:tcPr>
                <w:p>
                  <w:pPr>
                    <w:pStyle w:val="37"/>
                    <w:rPr>
                      <w:color w:val="000000"/>
                      <w:kern w:val="2"/>
                      <w:szCs w:val="24"/>
                    </w:rPr>
                  </w:pPr>
                  <w:r>
                    <w:rPr>
                      <w:rFonts w:hint="eastAsia"/>
                      <w:color w:val="000000"/>
                      <w:kern w:val="2"/>
                      <w:szCs w:val="24"/>
                    </w:rPr>
                    <w:t>一般固废暂存间</w:t>
                  </w:r>
                </w:p>
              </w:tc>
              <w:tc>
                <w:tcPr>
                  <w:tcW w:w="529" w:type="pct"/>
                  <w:vMerge w:val="restart"/>
                  <w:vAlign w:val="center"/>
                </w:tcPr>
                <w:p>
                  <w:pPr>
                    <w:pStyle w:val="37"/>
                    <w:rPr>
                      <w:color w:val="000000"/>
                      <w:kern w:val="2"/>
                      <w:szCs w:val="24"/>
                    </w:rPr>
                  </w:pPr>
                  <w:r>
                    <w:rPr>
                      <w:rFonts w:hint="eastAsia"/>
                      <w:color w:val="000000"/>
                      <w:kern w:val="2"/>
                      <w:szCs w:val="24"/>
                      <w:lang w:val="en-US" w:eastAsia="zh-CN"/>
                    </w:rPr>
                    <w:t>120</w:t>
                  </w:r>
                  <w:r>
                    <w:rPr>
                      <w:rFonts w:hint="eastAsia"/>
                      <w:color w:val="000000"/>
                      <w:kern w:val="2"/>
                      <w:szCs w:val="24"/>
                    </w:rPr>
                    <w:t>m</w:t>
                  </w:r>
                  <w:r>
                    <w:rPr>
                      <w:rFonts w:hint="eastAsia"/>
                      <w:color w:val="000000"/>
                      <w:kern w:val="2"/>
                      <w:szCs w:val="24"/>
                      <w:vertAlign w:val="superscript"/>
                    </w:rPr>
                    <w:t>2</w:t>
                  </w:r>
                </w:p>
              </w:tc>
              <w:tc>
                <w:tcPr>
                  <w:tcW w:w="474" w:type="pct"/>
                  <w:vAlign w:val="center"/>
                </w:tcPr>
                <w:p>
                  <w:pPr>
                    <w:pStyle w:val="37"/>
                    <w:rPr>
                      <w:color w:val="000000"/>
                    </w:rPr>
                  </w:pPr>
                  <w:r>
                    <w:rPr>
                      <w:rFonts w:hint="eastAsia"/>
                      <w:color w:val="000000"/>
                    </w:rPr>
                    <w:t>堆放</w:t>
                  </w:r>
                </w:p>
              </w:tc>
              <w:tc>
                <w:tcPr>
                  <w:tcW w:w="454" w:type="pct"/>
                  <w:vAlign w:val="center"/>
                </w:tcPr>
                <w:p>
                  <w:pPr>
                    <w:pStyle w:val="37"/>
                    <w:rPr>
                      <w:color w:val="000000"/>
                    </w:rPr>
                  </w:pPr>
                  <w:r>
                    <w:rPr>
                      <w:rFonts w:hint="eastAsia"/>
                      <w:color w:val="000000"/>
                    </w:rPr>
                    <w:t>1</w:t>
                  </w:r>
                </w:p>
              </w:tc>
              <w:tc>
                <w:tcPr>
                  <w:tcW w:w="457" w:type="pct"/>
                  <w:vMerge w:val="restart"/>
                  <w:vAlign w:val="center"/>
                </w:tcPr>
                <w:p>
                  <w:pPr>
                    <w:pStyle w:val="37"/>
                    <w:rPr>
                      <w:color w:val="000000"/>
                      <w:kern w:val="2"/>
                      <w:szCs w:val="24"/>
                    </w:rPr>
                  </w:pPr>
                  <w:r>
                    <w:rPr>
                      <w:rFonts w:hint="eastAsia"/>
                      <w:color w:val="000000"/>
                      <w:kern w:val="2"/>
                      <w:szCs w:val="24"/>
                    </w:rPr>
                    <w:t>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pStyle w:val="37"/>
                    <w:rPr>
                      <w:color w:val="000000"/>
                      <w:kern w:val="2"/>
                      <w:szCs w:val="24"/>
                    </w:rPr>
                  </w:pPr>
                  <w:r>
                    <w:rPr>
                      <w:rFonts w:hint="eastAsia"/>
                      <w:color w:val="000000"/>
                      <w:kern w:val="2"/>
                      <w:szCs w:val="24"/>
                    </w:rPr>
                    <w:t>2</w:t>
                  </w:r>
                </w:p>
              </w:tc>
              <w:tc>
                <w:tcPr>
                  <w:tcW w:w="686" w:type="pct"/>
                  <w:vMerge w:val="continue"/>
                  <w:vAlign w:val="center"/>
                </w:tcPr>
                <w:p>
                  <w:pPr>
                    <w:pStyle w:val="37"/>
                    <w:rPr>
                      <w:color w:val="000000"/>
                      <w:kern w:val="2"/>
                      <w:szCs w:val="24"/>
                    </w:rPr>
                  </w:pPr>
                </w:p>
              </w:tc>
              <w:tc>
                <w:tcPr>
                  <w:tcW w:w="812" w:type="pct"/>
                  <w:vAlign w:val="center"/>
                </w:tcPr>
                <w:p>
                  <w:pPr>
                    <w:pStyle w:val="37"/>
                    <w:rPr>
                      <w:color w:val="000000"/>
                    </w:rPr>
                  </w:pPr>
                  <w:r>
                    <w:rPr>
                      <w:rFonts w:hint="eastAsia"/>
                      <w:color w:val="000000"/>
                    </w:rPr>
                    <w:t>金属碎屑</w:t>
                  </w:r>
                </w:p>
              </w:tc>
              <w:tc>
                <w:tcPr>
                  <w:tcW w:w="589" w:type="pct"/>
                  <w:vAlign w:val="center"/>
                </w:tcPr>
                <w:p>
                  <w:pPr>
                    <w:pStyle w:val="37"/>
                    <w:rPr>
                      <w:color w:val="000000"/>
                      <w:kern w:val="2"/>
                      <w:szCs w:val="24"/>
                    </w:rPr>
                  </w:pPr>
                  <w:r>
                    <w:rPr>
                      <w:rFonts w:hint="eastAsia"/>
                      <w:color w:val="000000"/>
                      <w:kern w:val="2"/>
                      <w:szCs w:val="24"/>
                    </w:rPr>
                    <w:t>367-007-09</w:t>
                  </w:r>
                </w:p>
              </w:tc>
              <w:tc>
                <w:tcPr>
                  <w:tcW w:w="648" w:type="pct"/>
                  <w:vMerge w:val="continue"/>
                  <w:vAlign w:val="center"/>
                </w:tcPr>
                <w:p>
                  <w:pPr>
                    <w:pStyle w:val="37"/>
                    <w:rPr>
                      <w:color w:val="000000"/>
                      <w:kern w:val="2"/>
                      <w:szCs w:val="24"/>
                    </w:rPr>
                  </w:pPr>
                </w:p>
              </w:tc>
              <w:tc>
                <w:tcPr>
                  <w:tcW w:w="529" w:type="pct"/>
                  <w:vMerge w:val="continue"/>
                  <w:vAlign w:val="center"/>
                </w:tcPr>
                <w:p>
                  <w:pPr>
                    <w:pStyle w:val="37"/>
                    <w:rPr>
                      <w:color w:val="000000"/>
                      <w:kern w:val="2"/>
                      <w:szCs w:val="24"/>
                    </w:rPr>
                  </w:pPr>
                </w:p>
              </w:tc>
              <w:tc>
                <w:tcPr>
                  <w:tcW w:w="474" w:type="pct"/>
                  <w:vAlign w:val="center"/>
                </w:tcPr>
                <w:p>
                  <w:pPr>
                    <w:pStyle w:val="37"/>
                    <w:rPr>
                      <w:color w:val="000000"/>
                    </w:rPr>
                  </w:pPr>
                  <w:r>
                    <w:rPr>
                      <w:rFonts w:hint="eastAsia"/>
                      <w:color w:val="000000"/>
                    </w:rPr>
                    <w:t>袋装</w:t>
                  </w:r>
                </w:p>
              </w:tc>
              <w:tc>
                <w:tcPr>
                  <w:tcW w:w="454" w:type="pct"/>
                  <w:vAlign w:val="center"/>
                </w:tcPr>
                <w:p>
                  <w:pPr>
                    <w:pStyle w:val="37"/>
                    <w:rPr>
                      <w:color w:val="000000"/>
                    </w:rPr>
                  </w:pPr>
                  <w:r>
                    <w:rPr>
                      <w:rFonts w:hint="eastAsia"/>
                      <w:color w:val="000000"/>
                    </w:rPr>
                    <w:t>0.2</w:t>
                  </w:r>
                </w:p>
              </w:tc>
              <w:tc>
                <w:tcPr>
                  <w:tcW w:w="457"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pStyle w:val="37"/>
                    <w:rPr>
                      <w:color w:val="000000"/>
                      <w:kern w:val="2"/>
                      <w:szCs w:val="24"/>
                    </w:rPr>
                  </w:pPr>
                  <w:r>
                    <w:rPr>
                      <w:rFonts w:hint="eastAsia"/>
                      <w:color w:val="000000"/>
                      <w:kern w:val="2"/>
                      <w:szCs w:val="24"/>
                    </w:rPr>
                    <w:t>3</w:t>
                  </w:r>
                </w:p>
              </w:tc>
              <w:tc>
                <w:tcPr>
                  <w:tcW w:w="686" w:type="pct"/>
                  <w:vMerge w:val="continue"/>
                  <w:vAlign w:val="center"/>
                </w:tcPr>
                <w:p>
                  <w:pPr>
                    <w:pStyle w:val="37"/>
                    <w:rPr>
                      <w:color w:val="000000"/>
                      <w:kern w:val="2"/>
                      <w:szCs w:val="24"/>
                    </w:rPr>
                  </w:pPr>
                </w:p>
              </w:tc>
              <w:tc>
                <w:tcPr>
                  <w:tcW w:w="812" w:type="pct"/>
                  <w:vAlign w:val="center"/>
                </w:tcPr>
                <w:p>
                  <w:pPr>
                    <w:pStyle w:val="37"/>
                    <w:rPr>
                      <w:color w:val="000000"/>
                    </w:rPr>
                  </w:pPr>
                  <w:r>
                    <w:rPr>
                      <w:rFonts w:hint="eastAsia"/>
                      <w:color w:val="000000"/>
                    </w:rPr>
                    <w:t>废包装材料</w:t>
                  </w:r>
                </w:p>
              </w:tc>
              <w:tc>
                <w:tcPr>
                  <w:tcW w:w="589" w:type="pct"/>
                  <w:vAlign w:val="center"/>
                </w:tcPr>
                <w:p>
                  <w:pPr>
                    <w:pStyle w:val="37"/>
                    <w:rPr>
                      <w:color w:val="000000"/>
                      <w:kern w:val="2"/>
                      <w:szCs w:val="24"/>
                    </w:rPr>
                  </w:pPr>
                  <w:r>
                    <w:rPr>
                      <w:rFonts w:hint="eastAsia"/>
                      <w:color w:val="000000"/>
                      <w:kern w:val="2"/>
                      <w:szCs w:val="24"/>
                    </w:rPr>
                    <w:t>367-007-99</w:t>
                  </w:r>
                </w:p>
              </w:tc>
              <w:tc>
                <w:tcPr>
                  <w:tcW w:w="648" w:type="pct"/>
                  <w:vMerge w:val="continue"/>
                  <w:vAlign w:val="center"/>
                </w:tcPr>
                <w:p>
                  <w:pPr>
                    <w:pStyle w:val="37"/>
                    <w:rPr>
                      <w:color w:val="000000"/>
                      <w:kern w:val="2"/>
                      <w:szCs w:val="24"/>
                    </w:rPr>
                  </w:pPr>
                </w:p>
              </w:tc>
              <w:tc>
                <w:tcPr>
                  <w:tcW w:w="529" w:type="pct"/>
                  <w:vMerge w:val="continue"/>
                  <w:vAlign w:val="center"/>
                </w:tcPr>
                <w:p>
                  <w:pPr>
                    <w:pStyle w:val="37"/>
                    <w:rPr>
                      <w:color w:val="000000"/>
                      <w:kern w:val="2"/>
                      <w:szCs w:val="24"/>
                    </w:rPr>
                  </w:pPr>
                </w:p>
              </w:tc>
              <w:tc>
                <w:tcPr>
                  <w:tcW w:w="474" w:type="pct"/>
                  <w:vAlign w:val="center"/>
                </w:tcPr>
                <w:p>
                  <w:pPr>
                    <w:pStyle w:val="37"/>
                    <w:rPr>
                      <w:color w:val="000000"/>
                    </w:rPr>
                  </w:pPr>
                  <w:r>
                    <w:rPr>
                      <w:rFonts w:hint="eastAsia"/>
                      <w:color w:val="000000"/>
                    </w:rPr>
                    <w:t>袋装</w:t>
                  </w:r>
                </w:p>
              </w:tc>
              <w:tc>
                <w:tcPr>
                  <w:tcW w:w="454" w:type="pct"/>
                  <w:vAlign w:val="center"/>
                </w:tcPr>
                <w:p>
                  <w:pPr>
                    <w:pStyle w:val="37"/>
                    <w:rPr>
                      <w:color w:val="000000"/>
                    </w:rPr>
                  </w:pPr>
                  <w:r>
                    <w:rPr>
                      <w:rFonts w:hint="eastAsia"/>
                      <w:color w:val="000000"/>
                    </w:rPr>
                    <w:t>0.01</w:t>
                  </w:r>
                </w:p>
              </w:tc>
              <w:tc>
                <w:tcPr>
                  <w:tcW w:w="457"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pStyle w:val="37"/>
                    <w:rPr>
                      <w:color w:val="000000"/>
                      <w:kern w:val="2"/>
                      <w:szCs w:val="24"/>
                    </w:rPr>
                  </w:pPr>
                  <w:r>
                    <w:rPr>
                      <w:rFonts w:hint="eastAsia"/>
                      <w:color w:val="000000"/>
                      <w:kern w:val="2"/>
                      <w:szCs w:val="24"/>
                    </w:rPr>
                    <w:t>4</w:t>
                  </w:r>
                </w:p>
              </w:tc>
              <w:tc>
                <w:tcPr>
                  <w:tcW w:w="686" w:type="pct"/>
                  <w:vMerge w:val="continue"/>
                  <w:vAlign w:val="center"/>
                </w:tcPr>
                <w:p>
                  <w:pPr>
                    <w:pStyle w:val="37"/>
                    <w:rPr>
                      <w:color w:val="000000"/>
                      <w:kern w:val="2"/>
                      <w:szCs w:val="24"/>
                    </w:rPr>
                  </w:pPr>
                </w:p>
              </w:tc>
              <w:tc>
                <w:tcPr>
                  <w:tcW w:w="812" w:type="pct"/>
                  <w:vAlign w:val="center"/>
                </w:tcPr>
                <w:p>
                  <w:pPr>
                    <w:pStyle w:val="37"/>
                    <w:rPr>
                      <w:color w:val="000000"/>
                    </w:rPr>
                  </w:pPr>
                  <w:r>
                    <w:rPr>
                      <w:rFonts w:hint="eastAsia"/>
                      <w:color w:val="000000"/>
                    </w:rPr>
                    <w:t>布袋收集尘</w:t>
                  </w:r>
                </w:p>
              </w:tc>
              <w:tc>
                <w:tcPr>
                  <w:tcW w:w="589" w:type="pct"/>
                  <w:vAlign w:val="center"/>
                </w:tcPr>
                <w:p>
                  <w:pPr>
                    <w:pStyle w:val="37"/>
                    <w:rPr>
                      <w:color w:val="000000"/>
                      <w:kern w:val="2"/>
                      <w:szCs w:val="24"/>
                    </w:rPr>
                  </w:pPr>
                  <w:r>
                    <w:rPr>
                      <w:rFonts w:hint="eastAsia"/>
                      <w:color w:val="000000"/>
                      <w:kern w:val="2"/>
                      <w:szCs w:val="24"/>
                    </w:rPr>
                    <w:t>367-007-66</w:t>
                  </w:r>
                </w:p>
              </w:tc>
              <w:tc>
                <w:tcPr>
                  <w:tcW w:w="648" w:type="pct"/>
                  <w:vMerge w:val="continue"/>
                  <w:vAlign w:val="center"/>
                </w:tcPr>
                <w:p>
                  <w:pPr>
                    <w:pStyle w:val="37"/>
                    <w:rPr>
                      <w:color w:val="000000"/>
                      <w:kern w:val="2"/>
                      <w:szCs w:val="24"/>
                    </w:rPr>
                  </w:pPr>
                </w:p>
              </w:tc>
              <w:tc>
                <w:tcPr>
                  <w:tcW w:w="529" w:type="pct"/>
                  <w:vMerge w:val="continue"/>
                  <w:vAlign w:val="center"/>
                </w:tcPr>
                <w:p>
                  <w:pPr>
                    <w:pStyle w:val="37"/>
                    <w:rPr>
                      <w:color w:val="000000"/>
                      <w:kern w:val="2"/>
                      <w:szCs w:val="24"/>
                    </w:rPr>
                  </w:pPr>
                </w:p>
              </w:tc>
              <w:tc>
                <w:tcPr>
                  <w:tcW w:w="474" w:type="pct"/>
                  <w:vAlign w:val="center"/>
                </w:tcPr>
                <w:p>
                  <w:pPr>
                    <w:pStyle w:val="37"/>
                    <w:rPr>
                      <w:color w:val="000000"/>
                    </w:rPr>
                  </w:pPr>
                  <w:r>
                    <w:rPr>
                      <w:rFonts w:hint="eastAsia"/>
                      <w:color w:val="000000"/>
                    </w:rPr>
                    <w:t>袋装</w:t>
                  </w:r>
                </w:p>
              </w:tc>
              <w:tc>
                <w:tcPr>
                  <w:tcW w:w="454" w:type="pct"/>
                  <w:vAlign w:val="center"/>
                </w:tcPr>
                <w:p>
                  <w:pPr>
                    <w:pStyle w:val="37"/>
                    <w:rPr>
                      <w:color w:val="000000"/>
                    </w:rPr>
                  </w:pPr>
                  <w:r>
                    <w:rPr>
                      <w:rFonts w:hint="eastAsia"/>
                      <w:color w:val="000000"/>
                    </w:rPr>
                    <w:t>0.01</w:t>
                  </w:r>
                </w:p>
              </w:tc>
              <w:tc>
                <w:tcPr>
                  <w:tcW w:w="457"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pPr>
                    <w:pStyle w:val="37"/>
                    <w:rPr>
                      <w:color w:val="000000"/>
                      <w:kern w:val="2"/>
                      <w:szCs w:val="24"/>
                    </w:rPr>
                  </w:pPr>
                  <w:r>
                    <w:rPr>
                      <w:rFonts w:hint="eastAsia"/>
                      <w:color w:val="000000"/>
                      <w:kern w:val="2"/>
                      <w:szCs w:val="24"/>
                    </w:rPr>
                    <w:t>5</w:t>
                  </w:r>
                </w:p>
              </w:tc>
              <w:tc>
                <w:tcPr>
                  <w:tcW w:w="686" w:type="pct"/>
                  <w:vMerge w:val="continue"/>
                  <w:vAlign w:val="center"/>
                </w:tcPr>
                <w:p>
                  <w:pPr>
                    <w:pStyle w:val="37"/>
                    <w:rPr>
                      <w:color w:val="000000"/>
                      <w:kern w:val="2"/>
                      <w:szCs w:val="24"/>
                    </w:rPr>
                  </w:pPr>
                </w:p>
              </w:tc>
              <w:tc>
                <w:tcPr>
                  <w:tcW w:w="812" w:type="pct"/>
                  <w:vAlign w:val="center"/>
                </w:tcPr>
                <w:p>
                  <w:pPr>
                    <w:pStyle w:val="37"/>
                    <w:rPr>
                      <w:color w:val="000000"/>
                    </w:rPr>
                  </w:pPr>
                  <w:r>
                    <w:rPr>
                      <w:rFonts w:hint="eastAsia"/>
                      <w:color w:val="000000"/>
                    </w:rPr>
                    <w:t>废布袋</w:t>
                  </w:r>
                </w:p>
              </w:tc>
              <w:tc>
                <w:tcPr>
                  <w:tcW w:w="589" w:type="pct"/>
                  <w:vAlign w:val="center"/>
                </w:tcPr>
                <w:p>
                  <w:pPr>
                    <w:pStyle w:val="37"/>
                    <w:rPr>
                      <w:color w:val="000000"/>
                      <w:kern w:val="2"/>
                      <w:szCs w:val="24"/>
                    </w:rPr>
                  </w:pPr>
                  <w:r>
                    <w:rPr>
                      <w:rFonts w:hint="eastAsia"/>
                      <w:color w:val="000000"/>
                      <w:kern w:val="2"/>
                      <w:szCs w:val="24"/>
                    </w:rPr>
                    <w:t>367-007-99</w:t>
                  </w:r>
                </w:p>
              </w:tc>
              <w:tc>
                <w:tcPr>
                  <w:tcW w:w="648" w:type="pct"/>
                  <w:vMerge w:val="continue"/>
                  <w:vAlign w:val="center"/>
                </w:tcPr>
                <w:p>
                  <w:pPr>
                    <w:pStyle w:val="37"/>
                    <w:rPr>
                      <w:color w:val="000000"/>
                      <w:kern w:val="2"/>
                      <w:szCs w:val="24"/>
                    </w:rPr>
                  </w:pPr>
                </w:p>
              </w:tc>
              <w:tc>
                <w:tcPr>
                  <w:tcW w:w="529" w:type="pct"/>
                  <w:vMerge w:val="continue"/>
                  <w:vAlign w:val="center"/>
                </w:tcPr>
                <w:p>
                  <w:pPr>
                    <w:pStyle w:val="37"/>
                    <w:rPr>
                      <w:color w:val="000000"/>
                      <w:kern w:val="2"/>
                      <w:szCs w:val="24"/>
                    </w:rPr>
                  </w:pPr>
                </w:p>
              </w:tc>
              <w:tc>
                <w:tcPr>
                  <w:tcW w:w="474" w:type="pct"/>
                  <w:vAlign w:val="center"/>
                </w:tcPr>
                <w:p>
                  <w:pPr>
                    <w:pStyle w:val="37"/>
                    <w:rPr>
                      <w:color w:val="000000"/>
                    </w:rPr>
                  </w:pPr>
                  <w:r>
                    <w:rPr>
                      <w:rFonts w:hint="eastAsia"/>
                      <w:color w:val="000000"/>
                    </w:rPr>
                    <w:t>袋装</w:t>
                  </w:r>
                </w:p>
              </w:tc>
              <w:tc>
                <w:tcPr>
                  <w:tcW w:w="454" w:type="pct"/>
                  <w:vAlign w:val="center"/>
                </w:tcPr>
                <w:p>
                  <w:pPr>
                    <w:pStyle w:val="37"/>
                    <w:rPr>
                      <w:color w:val="000000"/>
                    </w:rPr>
                  </w:pPr>
                  <w:r>
                    <w:rPr>
                      <w:rFonts w:hint="eastAsia"/>
                      <w:color w:val="000000"/>
                    </w:rPr>
                    <w:t>0.01</w:t>
                  </w:r>
                </w:p>
              </w:tc>
              <w:tc>
                <w:tcPr>
                  <w:tcW w:w="457" w:type="pct"/>
                  <w:vMerge w:val="continue"/>
                  <w:vAlign w:val="center"/>
                </w:tcPr>
                <w:p>
                  <w:pPr>
                    <w:pStyle w:val="37"/>
                    <w:rPr>
                      <w:color w:val="000000"/>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tcPr>
                <w:p>
                  <w:pPr>
                    <w:pStyle w:val="37"/>
                    <w:rPr>
                      <w:color w:val="000000"/>
                      <w:kern w:val="2"/>
                      <w:szCs w:val="24"/>
                    </w:rPr>
                  </w:pPr>
                  <w:r>
                    <w:rPr>
                      <w:rFonts w:hint="eastAsia"/>
                      <w:color w:val="000000"/>
                      <w:kern w:val="2"/>
                      <w:szCs w:val="24"/>
                    </w:rPr>
                    <w:t>6</w:t>
                  </w:r>
                </w:p>
              </w:tc>
              <w:tc>
                <w:tcPr>
                  <w:tcW w:w="686" w:type="pct"/>
                  <w:vMerge w:val="continue"/>
                  <w:vAlign w:val="center"/>
                </w:tcPr>
                <w:p>
                  <w:pPr>
                    <w:pStyle w:val="37"/>
                    <w:rPr>
                      <w:color w:val="000000"/>
                      <w:kern w:val="2"/>
                      <w:szCs w:val="24"/>
                    </w:rPr>
                  </w:pPr>
                </w:p>
              </w:tc>
              <w:tc>
                <w:tcPr>
                  <w:tcW w:w="812" w:type="pct"/>
                  <w:vAlign w:val="center"/>
                </w:tcPr>
                <w:p>
                  <w:pPr>
                    <w:pStyle w:val="37"/>
                    <w:rPr>
                      <w:color w:val="000000"/>
                    </w:rPr>
                  </w:pPr>
                  <w:r>
                    <w:rPr>
                      <w:rFonts w:hint="eastAsia"/>
                      <w:color w:val="000000"/>
                    </w:rPr>
                    <w:t>地面清扫尘</w:t>
                  </w:r>
                </w:p>
              </w:tc>
              <w:tc>
                <w:tcPr>
                  <w:tcW w:w="589" w:type="pct"/>
                  <w:vAlign w:val="center"/>
                </w:tcPr>
                <w:p>
                  <w:pPr>
                    <w:pStyle w:val="37"/>
                    <w:rPr>
                      <w:color w:val="000000"/>
                      <w:kern w:val="2"/>
                      <w:szCs w:val="24"/>
                    </w:rPr>
                  </w:pPr>
                  <w:r>
                    <w:rPr>
                      <w:rFonts w:hint="eastAsia"/>
                      <w:color w:val="000000"/>
                      <w:kern w:val="2"/>
                      <w:szCs w:val="24"/>
                    </w:rPr>
                    <w:t>367-007-99</w:t>
                  </w:r>
                </w:p>
              </w:tc>
              <w:tc>
                <w:tcPr>
                  <w:tcW w:w="648" w:type="pct"/>
                  <w:vMerge w:val="continue"/>
                  <w:vAlign w:val="center"/>
                </w:tcPr>
                <w:p>
                  <w:pPr>
                    <w:pStyle w:val="37"/>
                    <w:rPr>
                      <w:color w:val="000000"/>
                      <w:kern w:val="2"/>
                      <w:szCs w:val="24"/>
                    </w:rPr>
                  </w:pPr>
                </w:p>
              </w:tc>
              <w:tc>
                <w:tcPr>
                  <w:tcW w:w="529" w:type="pct"/>
                  <w:vMerge w:val="continue"/>
                  <w:vAlign w:val="center"/>
                </w:tcPr>
                <w:p>
                  <w:pPr>
                    <w:pStyle w:val="37"/>
                    <w:rPr>
                      <w:color w:val="000000"/>
                      <w:kern w:val="2"/>
                      <w:szCs w:val="24"/>
                    </w:rPr>
                  </w:pPr>
                </w:p>
              </w:tc>
              <w:tc>
                <w:tcPr>
                  <w:tcW w:w="474" w:type="pct"/>
                  <w:vAlign w:val="center"/>
                </w:tcPr>
                <w:p>
                  <w:pPr>
                    <w:pStyle w:val="37"/>
                    <w:rPr>
                      <w:color w:val="000000"/>
                    </w:rPr>
                  </w:pPr>
                  <w:r>
                    <w:rPr>
                      <w:rFonts w:hint="eastAsia"/>
                      <w:color w:val="000000"/>
                    </w:rPr>
                    <w:t>袋装</w:t>
                  </w:r>
                </w:p>
              </w:tc>
              <w:tc>
                <w:tcPr>
                  <w:tcW w:w="454" w:type="pct"/>
                  <w:vAlign w:val="center"/>
                </w:tcPr>
                <w:p>
                  <w:pPr>
                    <w:pStyle w:val="37"/>
                    <w:rPr>
                      <w:color w:val="000000"/>
                    </w:rPr>
                  </w:pPr>
                  <w:r>
                    <w:rPr>
                      <w:rFonts w:hint="eastAsia"/>
                      <w:color w:val="000000"/>
                    </w:rPr>
                    <w:t>0.05</w:t>
                  </w:r>
                </w:p>
              </w:tc>
              <w:tc>
                <w:tcPr>
                  <w:tcW w:w="457" w:type="pct"/>
                  <w:vMerge w:val="continue"/>
                  <w:vAlign w:val="center"/>
                </w:tcPr>
                <w:p>
                  <w:pPr>
                    <w:pStyle w:val="37"/>
                    <w:rPr>
                      <w:color w:val="000000"/>
                      <w:kern w:val="2"/>
                      <w:szCs w:val="24"/>
                    </w:rPr>
                  </w:pPr>
                </w:p>
              </w:tc>
            </w:tr>
          </w:tbl>
          <w:p>
            <w:pPr>
              <w:widowControl/>
              <w:snapToGrid w:val="0"/>
              <w:ind w:firstLine="480"/>
              <w:rPr>
                <w:color w:val="000000"/>
              </w:rPr>
            </w:pPr>
            <w:r>
              <w:rPr>
                <w:rFonts w:hint="eastAsia"/>
                <w:color w:val="000000"/>
              </w:rPr>
              <w:t>建设单位收集一般固体废物后，暂存于厂区现有已建一般固废暂存间（占地面积</w:t>
            </w:r>
            <w:r>
              <w:rPr>
                <w:rFonts w:hint="eastAsia"/>
                <w:color w:val="000000"/>
                <w:lang w:val="en-US" w:eastAsia="zh-CN"/>
              </w:rPr>
              <w:t>120</w:t>
            </w:r>
            <w:r>
              <w:rPr>
                <w:rFonts w:hint="eastAsia"/>
                <w:color w:val="000000"/>
              </w:rPr>
              <w:t>m</w:t>
            </w:r>
            <w:r>
              <w:rPr>
                <w:rFonts w:hint="eastAsia"/>
                <w:color w:val="000000"/>
                <w:vertAlign w:val="superscript"/>
              </w:rPr>
              <w:t>2</w:t>
            </w:r>
            <w:r>
              <w:rPr>
                <w:rFonts w:hint="eastAsia"/>
                <w:color w:val="000000"/>
              </w:rPr>
              <w:t>，由于扩建项目产生的一般固体废物可较好的进行堆放且密度较大，故本次空间容纳率按1.5t/m</w:t>
            </w:r>
            <w:r>
              <w:rPr>
                <w:rFonts w:hint="eastAsia"/>
                <w:color w:val="000000"/>
                <w:vertAlign w:val="superscript"/>
              </w:rPr>
              <w:t>3</w:t>
            </w:r>
            <w:r>
              <w:rPr>
                <w:rFonts w:hint="eastAsia"/>
                <w:color w:val="000000"/>
              </w:rPr>
              <w:t>计，一次性最大储存量为</w:t>
            </w:r>
            <w:r>
              <w:rPr>
                <w:rFonts w:hint="eastAsia"/>
                <w:color w:val="000000"/>
                <w:lang w:val="en-US" w:eastAsia="zh-CN"/>
              </w:rPr>
              <w:t>180</w:t>
            </w:r>
            <w:r>
              <w:rPr>
                <w:rFonts w:hint="eastAsia"/>
                <w:color w:val="000000"/>
              </w:rPr>
              <w:t>t，现有项目已使用</w:t>
            </w:r>
            <w:r>
              <w:rPr>
                <w:rFonts w:hint="eastAsia"/>
                <w:color w:val="000000"/>
                <w:lang w:val="en-US" w:eastAsia="zh-CN"/>
              </w:rPr>
              <w:t>130</w:t>
            </w:r>
            <w:r>
              <w:rPr>
                <w:rFonts w:hint="eastAsia"/>
                <w:color w:val="000000"/>
              </w:rPr>
              <w:t>t，剩余</w:t>
            </w:r>
            <w:r>
              <w:rPr>
                <w:rFonts w:hint="eastAsia"/>
                <w:color w:val="000000"/>
                <w:lang w:val="en-US" w:eastAsia="zh-CN"/>
              </w:rPr>
              <w:t>50</w:t>
            </w:r>
            <w:r>
              <w:rPr>
                <w:rFonts w:hint="eastAsia"/>
                <w:color w:val="000000"/>
              </w:rPr>
              <w:t>t暂未使用）。扩建项目建成后需一次性暂存的一般固废最大量为1.2</w:t>
            </w:r>
            <w:r>
              <w:rPr>
                <w:rFonts w:hint="eastAsia"/>
                <w:color w:val="000000"/>
                <w:lang w:val="en-US" w:eastAsia="zh-CN"/>
              </w:rPr>
              <w:t>8</w:t>
            </w:r>
            <w:r>
              <w:rPr>
                <w:rFonts w:hint="eastAsia"/>
                <w:color w:val="000000"/>
              </w:rPr>
              <w:t>t，剩余的一般固废间容积可满足项目最大一般固废储存量需求。一般工业固体废物贮存过程已满足相应防渗漏、防雨淋、防扬尘等环境保护要求的要求设计。</w:t>
            </w:r>
          </w:p>
          <w:p>
            <w:pPr>
              <w:widowControl/>
              <w:snapToGrid w:val="0"/>
              <w:ind w:firstLine="482"/>
              <w:rPr>
                <w:color w:val="000000"/>
              </w:rPr>
            </w:pPr>
            <w:r>
              <w:rPr>
                <w:rFonts w:hint="eastAsia"/>
                <w:b/>
                <w:bCs/>
                <w:color w:val="000000"/>
              </w:rPr>
              <w:t>一般固废暂存要求：</w:t>
            </w:r>
          </w:p>
          <w:p>
            <w:pPr>
              <w:widowControl/>
              <w:snapToGrid w:val="0"/>
              <w:ind w:firstLine="480"/>
              <w:rPr>
                <w:color w:val="000000"/>
              </w:rPr>
            </w:pPr>
            <w:r>
              <w:rPr>
                <w:rFonts w:hint="eastAsia"/>
                <w:color w:val="000000"/>
              </w:rPr>
              <w:t>项目产生一般固废为不合格品、金属碎屑、废包装材料、布袋收集尘、废布袋、地面清扫尘。不合格品返回现有厂区已建生产进行维修，金属碎屑、废包装材料、布袋收集尘等收集后外售综合利用，废布袋交由厂商回收处理，地面清扫尘交由环卫部门处理。</w:t>
            </w:r>
          </w:p>
          <w:p>
            <w:pPr>
              <w:widowControl/>
              <w:snapToGrid w:val="0"/>
              <w:ind w:firstLine="480"/>
              <w:rPr>
                <w:color w:val="000000"/>
              </w:rPr>
            </w:pPr>
            <w:r>
              <w:rPr>
                <w:rFonts w:hint="eastAsia"/>
                <w:color w:val="000000"/>
              </w:rPr>
              <w:t>1、一般工业固体废物贮存过程满足相应防渗漏、防雨淋、防扬尘等环境保护要求。</w:t>
            </w:r>
          </w:p>
          <w:p>
            <w:pPr>
              <w:widowControl/>
              <w:snapToGrid w:val="0"/>
              <w:ind w:firstLine="480"/>
              <w:rPr>
                <w:color w:val="000000"/>
              </w:rPr>
            </w:pPr>
            <w:r>
              <w:rPr>
                <w:rFonts w:hint="eastAsia"/>
                <w:color w:val="000000"/>
              </w:rPr>
              <w:t>2、贮存、处置场采取防止粉尘污染的措施。</w:t>
            </w:r>
          </w:p>
          <w:p>
            <w:pPr>
              <w:widowControl/>
              <w:snapToGrid w:val="0"/>
              <w:ind w:firstLine="480"/>
              <w:rPr>
                <w:color w:val="000000"/>
              </w:rPr>
            </w:pPr>
            <w:r>
              <w:rPr>
                <w:rFonts w:hint="eastAsia"/>
                <w:color w:val="000000"/>
              </w:rPr>
              <w:t>因此，项目产生的固体废物经有效处理和处置后对环境影响较小，且项目营运期产生的各类危险废物均可得到妥善处理和处置，不会对周围环境产生二次污染，对环境影响较小。</w:t>
            </w:r>
          </w:p>
          <w:p>
            <w:pPr>
              <w:ind w:firstLine="482"/>
              <w:rPr>
                <w:b/>
                <w:bCs/>
                <w:color w:val="000000"/>
              </w:rPr>
            </w:pPr>
            <w:r>
              <w:rPr>
                <w:rFonts w:hint="eastAsia"/>
                <w:b/>
                <w:bCs/>
                <w:color w:val="000000"/>
              </w:rPr>
              <w:t>固废在厂内收集、转运的环境影响分析：</w:t>
            </w:r>
          </w:p>
          <w:p>
            <w:pPr>
              <w:ind w:firstLine="480"/>
              <w:rPr>
                <w:color w:val="000000"/>
              </w:rPr>
            </w:pPr>
            <w:r>
              <w:rPr>
                <w:rFonts w:hint="eastAsia"/>
                <w:color w:val="000000"/>
              </w:rPr>
              <w:t>1、明确标识收集固体废物的桶的袋。将生产和生活各环节产生的固体废物分类存放，每天集中送至标识固体废物类别的收集棚，采取措施防止泄漏或混放。</w:t>
            </w:r>
          </w:p>
          <w:p>
            <w:pPr>
              <w:ind w:firstLine="480"/>
              <w:rPr>
                <w:color w:val="000000"/>
              </w:rPr>
            </w:pPr>
            <w:r>
              <w:rPr>
                <w:rFonts w:hint="eastAsia"/>
                <w:color w:val="000000"/>
              </w:rPr>
              <w:t>2、固废存放处由仓库管理人员统一管理，保证各类固体废物正确分类堆放，并对仓内固废每天进行检查，如发现有混放现象应立即通知车间部及逆行教育处理。</w:t>
            </w:r>
          </w:p>
          <w:p>
            <w:pPr>
              <w:ind w:firstLine="480"/>
              <w:rPr>
                <w:color w:val="000000"/>
              </w:rPr>
            </w:pPr>
            <w:r>
              <w:rPr>
                <w:rFonts w:hint="eastAsia"/>
                <w:color w:val="000000"/>
              </w:rPr>
              <w:t>3、可回收的一般固废由办公室与物资回收单位联系，以废旧物资出售；不可回收的一般固废由办公室与环境保护部门联系运送至指定场所处理。</w:t>
            </w:r>
          </w:p>
          <w:p>
            <w:pPr>
              <w:ind w:firstLine="480"/>
              <w:rPr>
                <w:color w:val="000000"/>
              </w:rPr>
            </w:pPr>
            <w:r>
              <w:rPr>
                <w:rFonts w:hint="eastAsia"/>
                <w:color w:val="000000"/>
              </w:rPr>
              <w:t>4、</w:t>
            </w:r>
            <w:r>
              <w:rPr>
                <w:color w:val="000000"/>
              </w:rPr>
              <w:t>在</w:t>
            </w:r>
            <w:r>
              <w:rPr>
                <w:rFonts w:hint="eastAsia"/>
                <w:color w:val="000000"/>
              </w:rPr>
              <w:t>转运</w:t>
            </w:r>
            <w:r>
              <w:rPr>
                <w:color w:val="000000"/>
              </w:rPr>
              <w:t>前应认真验收运输的固废是否与运输单相符</w:t>
            </w:r>
            <w:r>
              <w:rPr>
                <w:rFonts w:hint="eastAsia"/>
                <w:color w:val="000000"/>
              </w:rPr>
              <w:t>，</w:t>
            </w:r>
            <w:r>
              <w:rPr>
                <w:color w:val="000000"/>
              </w:rPr>
              <w:t>不能让互不相容的固废混入</w:t>
            </w:r>
            <w:r>
              <w:rPr>
                <w:rFonts w:hint="eastAsia"/>
                <w:color w:val="000000"/>
              </w:rPr>
              <w:t>；</w:t>
            </w:r>
            <w:r>
              <w:rPr>
                <w:color w:val="000000"/>
              </w:rPr>
              <w:t>检查包装容器</w:t>
            </w:r>
            <w:r>
              <w:rPr>
                <w:rFonts w:hint="eastAsia"/>
                <w:color w:val="000000"/>
              </w:rPr>
              <w:t>，</w:t>
            </w:r>
            <w:r>
              <w:rPr>
                <w:color w:val="000000"/>
              </w:rPr>
              <w:t>查看标记</w:t>
            </w:r>
            <w:r>
              <w:rPr>
                <w:rFonts w:hint="eastAsia"/>
                <w:color w:val="000000"/>
              </w:rPr>
              <w:t>，</w:t>
            </w:r>
            <w:r>
              <w:rPr>
                <w:color w:val="000000"/>
              </w:rPr>
              <w:t>熟悉产生者提供的偶然事故的应急处理措施。如出现意外事故</w:t>
            </w:r>
            <w:r>
              <w:rPr>
                <w:rFonts w:hint="eastAsia"/>
                <w:color w:val="000000"/>
              </w:rPr>
              <w:t>，</w:t>
            </w:r>
            <w:r>
              <w:rPr>
                <w:color w:val="000000"/>
              </w:rPr>
              <w:t>及时向环保部门报告。</w:t>
            </w:r>
          </w:p>
          <w:p>
            <w:pPr>
              <w:ind w:firstLine="480"/>
              <w:rPr>
                <w:color w:val="000000"/>
              </w:rPr>
            </w:pPr>
            <w:r>
              <w:rPr>
                <w:rFonts w:hint="eastAsia"/>
                <w:color w:val="000000"/>
              </w:rPr>
              <w:t>5、</w:t>
            </w:r>
            <w:r>
              <w:rPr>
                <w:color w:val="000000"/>
              </w:rPr>
              <w:t>在</w:t>
            </w:r>
            <w:r>
              <w:rPr>
                <w:rFonts w:hint="eastAsia"/>
                <w:color w:val="000000"/>
              </w:rPr>
              <w:t>转运</w:t>
            </w:r>
            <w:r>
              <w:rPr>
                <w:color w:val="000000"/>
              </w:rPr>
              <w:t>危险固体废物时，对装卸人员和运输者，要进行专门的培训，并进行有关固体废物管理，特别是危险固体废物等装卸技术和运输中的注意事项等方法的</w:t>
            </w:r>
            <w:r>
              <w:rPr>
                <w:rFonts w:hint="eastAsia"/>
                <w:color w:val="000000"/>
              </w:rPr>
              <w:t>知识</w:t>
            </w:r>
            <w:r>
              <w:rPr>
                <w:color w:val="000000"/>
              </w:rPr>
              <w:t>教育，同时配备必要的防护工具，以确保人员和运输者安全。</w:t>
            </w:r>
          </w:p>
          <w:p>
            <w:pPr>
              <w:adjustRightInd w:val="0"/>
              <w:snapToGrid w:val="0"/>
              <w:ind w:firstLine="482"/>
              <w:rPr>
                <w:b/>
                <w:color w:val="000000"/>
              </w:rPr>
            </w:pPr>
            <w:r>
              <w:rPr>
                <w:b/>
                <w:color w:val="000000"/>
              </w:rPr>
              <w:t>（5）环境风险</w:t>
            </w:r>
          </w:p>
          <w:p>
            <w:pPr>
              <w:adjustRightInd w:val="0"/>
              <w:snapToGrid w:val="0"/>
              <w:ind w:firstLine="480"/>
              <w:rPr>
                <w:color w:val="000000"/>
              </w:rPr>
            </w:pPr>
            <w:r>
              <w:rPr>
                <w:rFonts w:hint="eastAsia"/>
                <w:color w:val="000000"/>
              </w:rPr>
              <w:t>扩建项目使用原料中：油类物质（废机油/机油）</w:t>
            </w:r>
            <w:r>
              <w:rPr>
                <w:color w:val="000000"/>
              </w:rPr>
              <w:t>等列为</w:t>
            </w:r>
            <w:r>
              <w:rPr>
                <w:rFonts w:hint="eastAsia"/>
                <w:color w:val="000000"/>
              </w:rPr>
              <w:t>“</w:t>
            </w:r>
            <w:r>
              <w:rPr>
                <w:color w:val="000000"/>
              </w:rPr>
              <w:t>危险物质</w:t>
            </w:r>
            <w:r>
              <w:rPr>
                <w:rFonts w:hint="eastAsia"/>
                <w:color w:val="000000"/>
              </w:rPr>
              <w:t>”</w:t>
            </w:r>
            <w:r>
              <w:rPr>
                <w:color w:val="000000"/>
              </w:rPr>
              <w:t>。</w:t>
            </w:r>
          </w:p>
          <w:p>
            <w:pPr>
              <w:pStyle w:val="38"/>
              <w:rPr>
                <w:color w:val="000000"/>
                <w:szCs w:val="24"/>
              </w:rPr>
            </w:pPr>
            <w:r>
              <w:rPr>
                <w:color w:val="000000"/>
                <w:szCs w:val="24"/>
              </w:rPr>
              <w:t>表4-</w:t>
            </w:r>
            <w:r>
              <w:rPr>
                <w:rFonts w:hint="eastAsia"/>
                <w:color w:val="000000"/>
                <w:szCs w:val="24"/>
              </w:rPr>
              <w:t xml:space="preserve">16 </w:t>
            </w:r>
            <w:r>
              <w:rPr>
                <w:color w:val="000000"/>
                <w:szCs w:val="24"/>
              </w:rPr>
              <w:t xml:space="preserve"> 项目Q值计算表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2249"/>
              <w:gridCol w:w="1050"/>
              <w:gridCol w:w="2162"/>
              <w:gridCol w:w="2011"/>
              <w:gridCol w:w="1744"/>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66" w:type="pct"/>
                  <w:vAlign w:val="center"/>
                </w:tcPr>
                <w:p>
                  <w:pPr>
                    <w:pStyle w:val="37"/>
                    <w:rPr>
                      <w:b/>
                      <w:bCs/>
                      <w:color w:val="000000"/>
                      <w:kern w:val="2"/>
                      <w:szCs w:val="24"/>
                    </w:rPr>
                  </w:pPr>
                  <w:r>
                    <w:rPr>
                      <w:b/>
                      <w:bCs/>
                      <w:color w:val="000000"/>
                      <w:kern w:val="2"/>
                      <w:szCs w:val="24"/>
                    </w:rPr>
                    <w:t>序号</w:t>
                  </w:r>
                </w:p>
              </w:tc>
              <w:tc>
                <w:tcPr>
                  <w:tcW w:w="936" w:type="pct"/>
                  <w:vAlign w:val="center"/>
                </w:tcPr>
                <w:p>
                  <w:pPr>
                    <w:pStyle w:val="37"/>
                    <w:rPr>
                      <w:b/>
                      <w:bCs/>
                      <w:color w:val="000000"/>
                      <w:kern w:val="2"/>
                      <w:szCs w:val="24"/>
                    </w:rPr>
                  </w:pPr>
                  <w:r>
                    <w:rPr>
                      <w:b/>
                      <w:bCs/>
                      <w:color w:val="000000"/>
                      <w:kern w:val="2"/>
                      <w:szCs w:val="24"/>
                    </w:rPr>
                    <w:t>危险物质名称</w:t>
                  </w:r>
                </w:p>
              </w:tc>
              <w:tc>
                <w:tcPr>
                  <w:tcW w:w="437" w:type="pct"/>
                  <w:vAlign w:val="center"/>
                </w:tcPr>
                <w:p>
                  <w:pPr>
                    <w:pStyle w:val="37"/>
                    <w:rPr>
                      <w:b/>
                      <w:bCs/>
                      <w:color w:val="000000"/>
                      <w:kern w:val="2"/>
                      <w:szCs w:val="24"/>
                    </w:rPr>
                  </w:pPr>
                  <w:r>
                    <w:rPr>
                      <w:b/>
                      <w:bCs/>
                      <w:color w:val="000000"/>
                      <w:kern w:val="2"/>
                      <w:szCs w:val="24"/>
                    </w:rPr>
                    <w:t>CAS号</w:t>
                  </w:r>
                </w:p>
              </w:tc>
              <w:tc>
                <w:tcPr>
                  <w:tcW w:w="900" w:type="pct"/>
                  <w:vAlign w:val="center"/>
                </w:tcPr>
                <w:p>
                  <w:pPr>
                    <w:pStyle w:val="37"/>
                    <w:rPr>
                      <w:b/>
                      <w:bCs/>
                      <w:color w:val="000000"/>
                      <w:kern w:val="2"/>
                      <w:szCs w:val="24"/>
                    </w:rPr>
                  </w:pPr>
                  <w:r>
                    <w:rPr>
                      <w:b/>
                      <w:bCs/>
                      <w:color w:val="000000"/>
                      <w:kern w:val="2"/>
                      <w:szCs w:val="24"/>
                    </w:rPr>
                    <w:t>分布情况</w:t>
                  </w:r>
                </w:p>
              </w:tc>
              <w:tc>
                <w:tcPr>
                  <w:tcW w:w="837" w:type="pct"/>
                  <w:vAlign w:val="center"/>
                </w:tcPr>
                <w:p>
                  <w:pPr>
                    <w:pStyle w:val="37"/>
                    <w:rPr>
                      <w:b/>
                      <w:bCs/>
                      <w:color w:val="000000"/>
                      <w:kern w:val="2"/>
                      <w:szCs w:val="24"/>
                    </w:rPr>
                  </w:pPr>
                  <w:r>
                    <w:rPr>
                      <w:b/>
                      <w:bCs/>
                      <w:color w:val="000000"/>
                      <w:kern w:val="2"/>
                      <w:szCs w:val="24"/>
                    </w:rPr>
                    <w:t>最大存在总量qn/t</w:t>
                  </w:r>
                </w:p>
              </w:tc>
              <w:tc>
                <w:tcPr>
                  <w:tcW w:w="725" w:type="pct"/>
                  <w:vAlign w:val="center"/>
                </w:tcPr>
                <w:p>
                  <w:pPr>
                    <w:pStyle w:val="37"/>
                    <w:rPr>
                      <w:b/>
                      <w:bCs/>
                      <w:color w:val="000000"/>
                      <w:kern w:val="2"/>
                      <w:szCs w:val="24"/>
                    </w:rPr>
                  </w:pPr>
                  <w:r>
                    <w:rPr>
                      <w:b/>
                      <w:bCs/>
                      <w:color w:val="000000"/>
                      <w:kern w:val="2"/>
                      <w:szCs w:val="24"/>
                    </w:rPr>
                    <w:t>临界量Qn/t</w:t>
                  </w:r>
                </w:p>
              </w:tc>
              <w:tc>
                <w:tcPr>
                  <w:tcW w:w="897" w:type="pct"/>
                  <w:vAlign w:val="center"/>
                </w:tcPr>
                <w:p>
                  <w:pPr>
                    <w:pStyle w:val="37"/>
                    <w:rPr>
                      <w:b/>
                      <w:bCs/>
                      <w:color w:val="000000"/>
                      <w:kern w:val="2"/>
                      <w:szCs w:val="24"/>
                    </w:rPr>
                  </w:pPr>
                  <w:r>
                    <w:rPr>
                      <w:b/>
                      <w:bCs/>
                      <w:color w:val="000000"/>
                      <w:kern w:val="2"/>
                      <w:szCs w:val="24"/>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266" w:type="pct"/>
                  <w:vAlign w:val="center"/>
                </w:tcPr>
                <w:p>
                  <w:pPr>
                    <w:pStyle w:val="37"/>
                    <w:rPr>
                      <w:color w:val="000000"/>
                      <w:kern w:val="2"/>
                      <w:szCs w:val="24"/>
                    </w:rPr>
                  </w:pPr>
                  <w:r>
                    <w:rPr>
                      <w:rFonts w:hint="eastAsia"/>
                      <w:color w:val="000000"/>
                      <w:kern w:val="2"/>
                      <w:szCs w:val="24"/>
                    </w:rPr>
                    <w:t>1</w:t>
                  </w:r>
                </w:p>
              </w:tc>
              <w:tc>
                <w:tcPr>
                  <w:tcW w:w="936" w:type="pct"/>
                  <w:vAlign w:val="center"/>
                </w:tcPr>
                <w:p>
                  <w:pPr>
                    <w:pStyle w:val="37"/>
                    <w:rPr>
                      <w:color w:val="000000"/>
                    </w:rPr>
                  </w:pPr>
                  <w:r>
                    <w:rPr>
                      <w:rFonts w:hint="eastAsia"/>
                      <w:color w:val="000000"/>
                    </w:rPr>
                    <w:t>油类物质（废机油/机油）</w:t>
                  </w:r>
                </w:p>
              </w:tc>
              <w:tc>
                <w:tcPr>
                  <w:tcW w:w="437" w:type="pct"/>
                  <w:vAlign w:val="center"/>
                </w:tcPr>
                <w:p>
                  <w:pPr>
                    <w:pStyle w:val="37"/>
                    <w:rPr>
                      <w:color w:val="000000"/>
                    </w:rPr>
                  </w:pPr>
                  <w:r>
                    <w:rPr>
                      <w:rFonts w:hint="eastAsia"/>
                      <w:color w:val="000000"/>
                    </w:rPr>
                    <w:t>/</w:t>
                  </w:r>
                </w:p>
              </w:tc>
              <w:tc>
                <w:tcPr>
                  <w:tcW w:w="900" w:type="pct"/>
                  <w:vAlign w:val="center"/>
                </w:tcPr>
                <w:p>
                  <w:pPr>
                    <w:pStyle w:val="37"/>
                    <w:rPr>
                      <w:color w:val="000000"/>
                    </w:rPr>
                  </w:pPr>
                  <w:r>
                    <w:rPr>
                      <w:rFonts w:hint="eastAsia"/>
                      <w:color w:val="000000"/>
                    </w:rPr>
                    <w:t>危废暂存间/原料暂存</w:t>
                  </w:r>
                </w:p>
              </w:tc>
              <w:tc>
                <w:tcPr>
                  <w:tcW w:w="837" w:type="pct"/>
                  <w:vAlign w:val="center"/>
                </w:tcPr>
                <w:p>
                  <w:pPr>
                    <w:pStyle w:val="37"/>
                    <w:rPr>
                      <w:color w:val="000000"/>
                    </w:rPr>
                  </w:pPr>
                  <w:r>
                    <w:rPr>
                      <w:rFonts w:hint="eastAsia"/>
                      <w:color w:val="000000"/>
                    </w:rPr>
                    <w:t>0.11</w:t>
                  </w:r>
                </w:p>
              </w:tc>
              <w:tc>
                <w:tcPr>
                  <w:tcW w:w="725" w:type="pct"/>
                  <w:vAlign w:val="center"/>
                </w:tcPr>
                <w:p>
                  <w:pPr>
                    <w:pStyle w:val="37"/>
                    <w:rPr>
                      <w:color w:val="000000"/>
                    </w:rPr>
                  </w:pPr>
                  <w:r>
                    <w:rPr>
                      <w:rFonts w:hint="eastAsia"/>
                      <w:color w:val="000000"/>
                    </w:rPr>
                    <w:t>2500</w:t>
                  </w:r>
                </w:p>
              </w:tc>
              <w:tc>
                <w:tcPr>
                  <w:tcW w:w="897" w:type="pct"/>
                  <w:vAlign w:val="center"/>
                </w:tcPr>
                <w:p>
                  <w:pPr>
                    <w:pStyle w:val="37"/>
                    <w:rPr>
                      <w:color w:val="000000"/>
                    </w:rPr>
                  </w:pPr>
                  <w:r>
                    <w:rPr>
                      <w:rFonts w:hint="eastAsia"/>
                      <w:color w:val="000000"/>
                    </w:rPr>
                    <w:t>0.000044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102" w:type="pct"/>
                  <w:gridSpan w:val="6"/>
                  <w:vAlign w:val="center"/>
                </w:tcPr>
                <w:p>
                  <w:pPr>
                    <w:pStyle w:val="37"/>
                    <w:rPr>
                      <w:color w:val="000000"/>
                    </w:rPr>
                  </w:pPr>
                  <w:r>
                    <w:rPr>
                      <w:rFonts w:hint="eastAsia"/>
                      <w:color w:val="000000"/>
                    </w:rPr>
                    <w:t>项目Q值总计</w:t>
                  </w:r>
                </w:p>
              </w:tc>
              <w:tc>
                <w:tcPr>
                  <w:tcW w:w="897" w:type="pct"/>
                  <w:vAlign w:val="center"/>
                </w:tcPr>
                <w:p>
                  <w:pPr>
                    <w:pStyle w:val="37"/>
                    <w:rPr>
                      <w:color w:val="000000"/>
                    </w:rPr>
                  </w:pPr>
                  <w:r>
                    <w:rPr>
                      <w:rFonts w:hint="eastAsia"/>
                      <w:color w:val="000000"/>
                    </w:rPr>
                    <w:t>0.000044</w:t>
                  </w:r>
                </w:p>
              </w:tc>
            </w:tr>
          </w:tbl>
          <w:p>
            <w:pPr>
              <w:adjustRightInd w:val="0"/>
              <w:snapToGrid w:val="0"/>
              <w:spacing w:beforeLines="50"/>
              <w:ind w:firstLine="480"/>
              <w:rPr>
                <w:color w:val="000000"/>
              </w:rPr>
            </w:pPr>
            <w:r>
              <w:rPr>
                <w:rFonts w:hint="eastAsia"/>
                <w:color w:val="000000"/>
              </w:rPr>
              <w:t>经源项分析，扩建项目最大的环境风险事故设定为危废暂存和原料暂存过程中的油类物质等的泄漏，</w:t>
            </w:r>
            <w:r>
              <w:rPr>
                <w:color w:val="000000"/>
              </w:rPr>
              <w:t>经加权计算，项目Q&lt;1，环境风险潜势为Ⅰ，环境风险评价等级定为简单分析a</w:t>
            </w:r>
            <w:r>
              <w:rPr>
                <w:rFonts w:hint="eastAsia"/>
                <w:color w:val="000000"/>
              </w:rPr>
              <w:t>，</w:t>
            </w:r>
            <w:r>
              <w:rPr>
                <w:color w:val="000000"/>
              </w:rPr>
              <w:t>不构成重大危险源，环境风险总体可控，不会对环境敏感目标造成大的影响</w:t>
            </w:r>
            <w:r>
              <w:rPr>
                <w:rFonts w:hint="eastAsia"/>
                <w:color w:val="000000"/>
              </w:rPr>
              <w:t>。</w:t>
            </w:r>
          </w:p>
          <w:p>
            <w:pPr>
              <w:adjustRightInd w:val="0"/>
              <w:snapToGrid w:val="0"/>
              <w:ind w:firstLine="480"/>
              <w:rPr>
                <w:color w:val="000000"/>
              </w:rPr>
            </w:pPr>
            <w:r>
              <w:rPr>
                <w:color w:val="000000"/>
              </w:rPr>
              <w:t>分析危险物质特性及可能的环境风险类型，识别危险物质影响环境的途径，分析可能影响的环境敏感目标，具体见</w:t>
            </w:r>
            <w:r>
              <w:rPr>
                <w:rFonts w:hint="eastAsia"/>
                <w:color w:val="000000"/>
              </w:rPr>
              <w:t>下表</w:t>
            </w:r>
            <w:r>
              <w:rPr>
                <w:color w:val="000000"/>
              </w:rPr>
              <w:t>。</w:t>
            </w:r>
          </w:p>
          <w:p>
            <w:pPr>
              <w:pStyle w:val="38"/>
              <w:rPr>
                <w:color w:val="000000"/>
                <w:szCs w:val="24"/>
              </w:rPr>
            </w:pPr>
            <w:r>
              <w:rPr>
                <w:color w:val="000000"/>
                <w:szCs w:val="24"/>
              </w:rPr>
              <w:t>表</w:t>
            </w:r>
            <w:r>
              <w:rPr>
                <w:rFonts w:hint="eastAsia"/>
                <w:color w:val="000000"/>
                <w:szCs w:val="24"/>
              </w:rPr>
              <w:t>4-17</w:t>
            </w:r>
            <w:r>
              <w:rPr>
                <w:color w:val="000000"/>
                <w:szCs w:val="24"/>
              </w:rPr>
              <w:t xml:space="preserve"> </w:t>
            </w:r>
            <w:r>
              <w:rPr>
                <w:rFonts w:hint="eastAsia"/>
                <w:color w:val="000000"/>
                <w:szCs w:val="24"/>
              </w:rPr>
              <w:t xml:space="preserve"> </w:t>
            </w:r>
            <w:r>
              <w:rPr>
                <w:color w:val="000000"/>
                <w:szCs w:val="24"/>
              </w:rPr>
              <w:t>建设项目环境风险识别表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32"/>
              <w:gridCol w:w="1290"/>
              <w:gridCol w:w="1710"/>
              <w:gridCol w:w="1134"/>
              <w:gridCol w:w="2832"/>
              <w:gridCol w:w="995"/>
              <w:gridCol w:w="1511"/>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 w:type="pct"/>
                  <w:vAlign w:val="center"/>
                </w:tcPr>
                <w:p>
                  <w:pPr>
                    <w:pStyle w:val="37"/>
                    <w:rPr>
                      <w:b/>
                      <w:bCs/>
                      <w:color w:val="000000"/>
                      <w:kern w:val="2"/>
                      <w:szCs w:val="24"/>
                    </w:rPr>
                  </w:pPr>
                  <w:r>
                    <w:rPr>
                      <w:b/>
                      <w:bCs/>
                      <w:color w:val="000000"/>
                      <w:kern w:val="2"/>
                      <w:szCs w:val="24"/>
                    </w:rPr>
                    <w:t>序号</w:t>
                  </w:r>
                </w:p>
              </w:tc>
              <w:tc>
                <w:tcPr>
                  <w:tcW w:w="554" w:type="pct"/>
                  <w:tcBorders>
                    <w:bottom w:val="single" w:color="auto" w:sz="4" w:space="0"/>
                  </w:tcBorders>
                  <w:vAlign w:val="center"/>
                </w:tcPr>
                <w:p>
                  <w:pPr>
                    <w:pStyle w:val="37"/>
                    <w:rPr>
                      <w:b/>
                      <w:bCs/>
                      <w:color w:val="000000"/>
                      <w:kern w:val="2"/>
                      <w:szCs w:val="24"/>
                    </w:rPr>
                  </w:pPr>
                  <w:r>
                    <w:rPr>
                      <w:b/>
                      <w:bCs/>
                      <w:color w:val="000000"/>
                      <w:kern w:val="2"/>
                      <w:szCs w:val="24"/>
                    </w:rPr>
                    <w:t>危险单元</w:t>
                  </w:r>
                </w:p>
              </w:tc>
              <w:tc>
                <w:tcPr>
                  <w:tcW w:w="537" w:type="pct"/>
                  <w:tcBorders>
                    <w:bottom w:val="single" w:color="auto" w:sz="4" w:space="0"/>
                  </w:tcBorders>
                  <w:vAlign w:val="center"/>
                </w:tcPr>
                <w:p>
                  <w:pPr>
                    <w:pStyle w:val="37"/>
                    <w:rPr>
                      <w:b/>
                      <w:bCs/>
                      <w:color w:val="000000"/>
                      <w:kern w:val="2"/>
                      <w:szCs w:val="24"/>
                    </w:rPr>
                  </w:pPr>
                  <w:r>
                    <w:rPr>
                      <w:b/>
                      <w:bCs/>
                      <w:color w:val="000000"/>
                      <w:kern w:val="2"/>
                      <w:szCs w:val="24"/>
                    </w:rPr>
                    <w:t>风险源</w:t>
                  </w:r>
                </w:p>
              </w:tc>
              <w:tc>
                <w:tcPr>
                  <w:tcW w:w="712" w:type="pct"/>
                  <w:vAlign w:val="center"/>
                </w:tcPr>
                <w:p>
                  <w:pPr>
                    <w:pStyle w:val="37"/>
                    <w:rPr>
                      <w:b/>
                      <w:bCs/>
                      <w:color w:val="000000"/>
                      <w:kern w:val="2"/>
                      <w:szCs w:val="24"/>
                    </w:rPr>
                  </w:pPr>
                  <w:r>
                    <w:rPr>
                      <w:b/>
                      <w:bCs/>
                      <w:color w:val="000000"/>
                      <w:kern w:val="2"/>
                      <w:szCs w:val="24"/>
                    </w:rPr>
                    <w:t>主要危险物质</w:t>
                  </w:r>
                </w:p>
              </w:tc>
              <w:tc>
                <w:tcPr>
                  <w:tcW w:w="472" w:type="pct"/>
                  <w:vAlign w:val="center"/>
                </w:tcPr>
                <w:p>
                  <w:pPr>
                    <w:pStyle w:val="37"/>
                    <w:rPr>
                      <w:b/>
                      <w:bCs/>
                      <w:color w:val="000000"/>
                      <w:kern w:val="2"/>
                      <w:szCs w:val="24"/>
                    </w:rPr>
                  </w:pPr>
                  <w:r>
                    <w:rPr>
                      <w:b/>
                      <w:bCs/>
                      <w:color w:val="000000"/>
                      <w:kern w:val="2"/>
                      <w:szCs w:val="24"/>
                    </w:rPr>
                    <w:t>环境风险类型</w:t>
                  </w:r>
                </w:p>
              </w:tc>
              <w:tc>
                <w:tcPr>
                  <w:tcW w:w="1179" w:type="pct"/>
                  <w:vAlign w:val="center"/>
                </w:tcPr>
                <w:p>
                  <w:pPr>
                    <w:pStyle w:val="37"/>
                    <w:rPr>
                      <w:b/>
                      <w:bCs/>
                      <w:color w:val="000000"/>
                      <w:kern w:val="2"/>
                      <w:szCs w:val="24"/>
                    </w:rPr>
                  </w:pPr>
                  <w:r>
                    <w:rPr>
                      <w:b/>
                      <w:bCs/>
                      <w:color w:val="000000"/>
                      <w:kern w:val="2"/>
                      <w:szCs w:val="24"/>
                    </w:rPr>
                    <w:t>环境风险途径</w:t>
                  </w:r>
                </w:p>
              </w:tc>
              <w:tc>
                <w:tcPr>
                  <w:tcW w:w="414" w:type="pct"/>
                  <w:vAlign w:val="center"/>
                </w:tcPr>
                <w:p>
                  <w:pPr>
                    <w:pStyle w:val="37"/>
                    <w:rPr>
                      <w:b/>
                      <w:bCs/>
                      <w:color w:val="000000"/>
                      <w:kern w:val="2"/>
                      <w:szCs w:val="24"/>
                    </w:rPr>
                  </w:pPr>
                  <w:r>
                    <w:rPr>
                      <w:b/>
                      <w:bCs/>
                      <w:color w:val="000000"/>
                      <w:kern w:val="2"/>
                      <w:szCs w:val="24"/>
                    </w:rPr>
                    <w:t>伴生/次生污染物</w:t>
                  </w:r>
                </w:p>
              </w:tc>
              <w:tc>
                <w:tcPr>
                  <w:tcW w:w="629" w:type="pct"/>
                  <w:vAlign w:val="center"/>
                </w:tcPr>
                <w:p>
                  <w:pPr>
                    <w:pStyle w:val="37"/>
                    <w:rPr>
                      <w:b/>
                      <w:bCs/>
                      <w:color w:val="000000"/>
                      <w:kern w:val="2"/>
                      <w:szCs w:val="24"/>
                    </w:rPr>
                  </w:pPr>
                  <w:r>
                    <w:rPr>
                      <w:b/>
                      <w:bCs/>
                      <w:color w:val="000000"/>
                      <w:kern w:val="2"/>
                      <w:szCs w:val="24"/>
                    </w:rPr>
                    <w:t>可能影响的环境敏感目标</w:t>
                  </w:r>
                </w:p>
              </w:tc>
              <w:tc>
                <w:tcPr>
                  <w:tcW w:w="283" w:type="pct"/>
                  <w:vAlign w:val="center"/>
                </w:tcPr>
                <w:p>
                  <w:pPr>
                    <w:pStyle w:val="37"/>
                    <w:rPr>
                      <w:b/>
                      <w:bCs/>
                      <w:color w:val="000000"/>
                      <w:kern w:val="2"/>
                      <w:szCs w:val="24"/>
                    </w:rPr>
                  </w:pPr>
                  <w:r>
                    <w:rPr>
                      <w:b/>
                      <w:bCs/>
                      <w:color w:val="000000"/>
                      <w:kern w:val="2"/>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 w:type="pct"/>
                  <w:tcBorders>
                    <w:right w:val="single" w:color="auto" w:sz="4" w:space="0"/>
                  </w:tcBorders>
                  <w:vAlign w:val="center"/>
                </w:tcPr>
                <w:p>
                  <w:pPr>
                    <w:pStyle w:val="37"/>
                    <w:rPr>
                      <w:color w:val="000000"/>
                      <w:kern w:val="2"/>
                      <w:szCs w:val="24"/>
                    </w:rPr>
                  </w:pPr>
                  <w:r>
                    <w:rPr>
                      <w:color w:val="000000"/>
                      <w:kern w:val="2"/>
                      <w:szCs w:val="24"/>
                    </w:rPr>
                    <w:t>1</w:t>
                  </w:r>
                </w:p>
              </w:tc>
              <w:tc>
                <w:tcPr>
                  <w:tcW w:w="554" w:type="pct"/>
                  <w:tcBorders>
                    <w:top w:val="single" w:color="auto" w:sz="4" w:space="0"/>
                    <w:left w:val="single" w:color="auto" w:sz="4" w:space="0"/>
                  </w:tcBorders>
                  <w:vAlign w:val="center"/>
                </w:tcPr>
                <w:p>
                  <w:pPr>
                    <w:pStyle w:val="37"/>
                    <w:rPr>
                      <w:color w:val="000000"/>
                      <w:kern w:val="2"/>
                      <w:szCs w:val="24"/>
                    </w:rPr>
                  </w:pPr>
                  <w:r>
                    <w:rPr>
                      <w:rFonts w:hint="eastAsia"/>
                      <w:color w:val="000000"/>
                    </w:rPr>
                    <w:t>危废暂存间</w:t>
                  </w:r>
                </w:p>
              </w:tc>
              <w:tc>
                <w:tcPr>
                  <w:tcW w:w="537" w:type="pct"/>
                  <w:tcBorders>
                    <w:top w:val="single" w:color="auto" w:sz="4" w:space="0"/>
                    <w:right w:val="single" w:color="auto" w:sz="4" w:space="0"/>
                  </w:tcBorders>
                  <w:vAlign w:val="center"/>
                </w:tcPr>
                <w:p>
                  <w:pPr>
                    <w:pStyle w:val="37"/>
                    <w:rPr>
                      <w:color w:val="000000"/>
                      <w:kern w:val="2"/>
                      <w:szCs w:val="24"/>
                    </w:rPr>
                  </w:pPr>
                  <w:r>
                    <w:rPr>
                      <w:rFonts w:hint="eastAsia"/>
                      <w:color w:val="000000"/>
                    </w:rPr>
                    <w:t>危废暂存间</w:t>
                  </w:r>
                </w:p>
              </w:tc>
              <w:tc>
                <w:tcPr>
                  <w:tcW w:w="712" w:type="pct"/>
                  <w:tcBorders>
                    <w:left w:val="single" w:color="auto" w:sz="4" w:space="0"/>
                  </w:tcBorders>
                  <w:vAlign w:val="center"/>
                </w:tcPr>
                <w:p>
                  <w:pPr>
                    <w:pStyle w:val="37"/>
                    <w:rPr>
                      <w:color w:val="000000"/>
                      <w:kern w:val="2"/>
                      <w:szCs w:val="24"/>
                    </w:rPr>
                  </w:pPr>
                  <w:r>
                    <w:rPr>
                      <w:rFonts w:hint="eastAsia"/>
                      <w:color w:val="000000"/>
                    </w:rPr>
                    <w:t>废机油、机油</w:t>
                  </w:r>
                </w:p>
              </w:tc>
              <w:tc>
                <w:tcPr>
                  <w:tcW w:w="472" w:type="pct"/>
                  <w:vAlign w:val="center"/>
                </w:tcPr>
                <w:p>
                  <w:pPr>
                    <w:pStyle w:val="37"/>
                    <w:rPr>
                      <w:color w:val="000000"/>
                      <w:kern w:val="2"/>
                      <w:szCs w:val="24"/>
                    </w:rPr>
                  </w:pPr>
                  <w:r>
                    <w:rPr>
                      <w:color w:val="000000"/>
                      <w:kern w:val="2"/>
                      <w:szCs w:val="24"/>
                    </w:rPr>
                    <w:t>泄漏</w:t>
                  </w:r>
                  <w:r>
                    <w:rPr>
                      <w:rFonts w:hint="eastAsia"/>
                      <w:color w:val="000000"/>
                      <w:kern w:val="2"/>
                      <w:szCs w:val="24"/>
                    </w:rPr>
                    <w:t>、火灾</w:t>
                  </w:r>
                </w:p>
              </w:tc>
              <w:tc>
                <w:tcPr>
                  <w:tcW w:w="1179" w:type="pct"/>
                  <w:vAlign w:val="center"/>
                </w:tcPr>
                <w:p>
                  <w:pPr>
                    <w:pStyle w:val="37"/>
                    <w:rPr>
                      <w:color w:val="000000"/>
                      <w:kern w:val="2"/>
                      <w:szCs w:val="24"/>
                    </w:rPr>
                  </w:pPr>
                  <w:r>
                    <w:rPr>
                      <w:color w:val="000000"/>
                      <w:kern w:val="2"/>
                      <w:szCs w:val="24"/>
                    </w:rPr>
                    <w:t>主要是</w:t>
                  </w:r>
                  <w:r>
                    <w:rPr>
                      <w:rFonts w:hint="eastAsia"/>
                      <w:color w:val="000000"/>
                    </w:rPr>
                    <w:t>废机油、机油</w:t>
                  </w:r>
                  <w:r>
                    <w:rPr>
                      <w:rFonts w:hint="eastAsia"/>
                      <w:color w:val="000000"/>
                      <w:kern w:val="2"/>
                      <w:szCs w:val="24"/>
                    </w:rPr>
                    <w:t>等包装体</w:t>
                  </w:r>
                  <w:r>
                    <w:rPr>
                      <w:color w:val="000000"/>
                      <w:kern w:val="2"/>
                      <w:szCs w:val="24"/>
                    </w:rPr>
                    <w:t>破损泄漏</w:t>
                  </w:r>
                  <w:r>
                    <w:rPr>
                      <w:rFonts w:hint="eastAsia"/>
                      <w:color w:val="000000"/>
                      <w:kern w:val="2"/>
                      <w:szCs w:val="24"/>
                    </w:rPr>
                    <w:t>，影响地表水、大气环境质量</w:t>
                  </w:r>
                </w:p>
              </w:tc>
              <w:tc>
                <w:tcPr>
                  <w:tcW w:w="414" w:type="pct"/>
                  <w:vAlign w:val="center"/>
                </w:tcPr>
                <w:p>
                  <w:pPr>
                    <w:pStyle w:val="37"/>
                    <w:rPr>
                      <w:color w:val="000000"/>
                      <w:kern w:val="2"/>
                      <w:szCs w:val="24"/>
                    </w:rPr>
                  </w:pPr>
                  <w:r>
                    <w:rPr>
                      <w:rFonts w:hint="eastAsia"/>
                      <w:color w:val="000000"/>
                      <w:kern w:val="2"/>
                      <w:szCs w:val="24"/>
                    </w:rPr>
                    <w:t>/</w:t>
                  </w:r>
                </w:p>
              </w:tc>
              <w:tc>
                <w:tcPr>
                  <w:tcW w:w="629" w:type="pct"/>
                  <w:vAlign w:val="center"/>
                </w:tcPr>
                <w:p>
                  <w:pPr>
                    <w:pStyle w:val="37"/>
                    <w:rPr>
                      <w:color w:val="000000"/>
                      <w:kern w:val="2"/>
                      <w:szCs w:val="24"/>
                    </w:rPr>
                  </w:pPr>
                  <w:r>
                    <w:rPr>
                      <w:rFonts w:hint="eastAsia"/>
                      <w:color w:val="000000"/>
                      <w:kern w:val="2"/>
                      <w:szCs w:val="24"/>
                    </w:rPr>
                    <w:t>影响周边工作人员</w:t>
                  </w:r>
                </w:p>
              </w:tc>
              <w:tc>
                <w:tcPr>
                  <w:tcW w:w="283" w:type="pct"/>
                  <w:vAlign w:val="center"/>
                </w:tcPr>
                <w:p>
                  <w:pPr>
                    <w:pStyle w:val="37"/>
                    <w:rPr>
                      <w:color w:val="000000"/>
                      <w:kern w:val="2"/>
                      <w:szCs w:val="24"/>
                    </w:rPr>
                  </w:pPr>
                  <w:r>
                    <w:rPr>
                      <w:color w:val="000000"/>
                      <w:kern w:val="2"/>
                      <w:szCs w:val="24"/>
                    </w:rPr>
                    <w:t>/</w:t>
                  </w:r>
                </w:p>
              </w:tc>
            </w:tr>
          </w:tbl>
          <w:p>
            <w:pPr>
              <w:ind w:firstLine="480"/>
              <w:rPr>
                <w:color w:val="000000"/>
              </w:rPr>
            </w:pPr>
            <w:r>
              <w:rPr>
                <w:rFonts w:hint="eastAsia"/>
                <w:color w:val="000000"/>
              </w:rPr>
              <w:t>本次评价提出以下环境风险防范措施及应急要求：</w:t>
            </w:r>
          </w:p>
          <w:p>
            <w:pPr>
              <w:ind w:firstLine="480"/>
              <w:rPr>
                <w:color w:val="000000"/>
              </w:rPr>
            </w:pPr>
            <w:r>
              <w:rPr>
                <w:rFonts w:hint="eastAsia"/>
                <w:color w:val="000000"/>
              </w:rPr>
              <w:t>1、油类物质（废机油/机油等）风险防范措施及应急要求</w:t>
            </w:r>
          </w:p>
          <w:p>
            <w:pPr>
              <w:ind w:firstLine="480"/>
              <w:rPr>
                <w:color w:val="000000"/>
              </w:rPr>
            </w:pPr>
            <w:r>
              <w:rPr>
                <w:rFonts w:hint="eastAsia"/>
                <w:color w:val="000000"/>
              </w:rPr>
              <w:t>①操作人员必须经过特殊岗位、应急演练培训，了解消防、环保常识。</w:t>
            </w:r>
          </w:p>
          <w:p>
            <w:pPr>
              <w:ind w:firstLine="480"/>
              <w:rPr>
                <w:color w:val="000000"/>
              </w:rPr>
            </w:pPr>
            <w:r>
              <w:rPr>
                <w:rFonts w:hint="eastAsia"/>
                <w:color w:val="000000"/>
              </w:rPr>
              <w:t>②收集场所采取防雨、防渗、防漏措施。</w:t>
            </w:r>
          </w:p>
          <w:p>
            <w:pPr>
              <w:ind w:firstLine="480"/>
              <w:rPr>
                <w:color w:val="000000"/>
              </w:rPr>
            </w:pPr>
            <w:r>
              <w:rPr>
                <w:rFonts w:hint="eastAsia"/>
                <w:color w:val="000000"/>
              </w:rPr>
              <w:t>③存放至收集场所的废矿物油需进行登记，严格填写危险废物贮存台账。</w:t>
            </w:r>
          </w:p>
          <w:p>
            <w:pPr>
              <w:ind w:firstLine="480"/>
              <w:rPr>
                <w:color w:val="000000"/>
              </w:rPr>
            </w:pPr>
            <w:r>
              <w:rPr>
                <w:rFonts w:hint="eastAsia"/>
                <w:color w:val="000000"/>
              </w:rPr>
              <w:t>④存放量不得过多，需及时进行处置转移。</w:t>
            </w:r>
          </w:p>
          <w:p>
            <w:pPr>
              <w:ind w:firstLine="480"/>
              <w:rPr>
                <w:color w:val="000000"/>
              </w:rPr>
            </w:pPr>
            <w:r>
              <w:rPr>
                <w:color w:val="000000"/>
              </w:rPr>
              <w:t>本评价要求建设单位严格执行危废转移联单制度，加强管理，预防事故发生。</w:t>
            </w:r>
          </w:p>
          <w:p>
            <w:pPr>
              <w:ind w:firstLine="480"/>
              <w:rPr>
                <w:color w:val="000000"/>
              </w:rPr>
            </w:pPr>
            <w:r>
              <w:rPr>
                <w:rFonts w:hint="eastAsia"/>
                <w:color w:val="000000"/>
              </w:rPr>
              <w:t>2、危险废物泄漏风险防范措施及应急要求</w:t>
            </w:r>
          </w:p>
          <w:p>
            <w:pPr>
              <w:ind w:firstLine="480"/>
              <w:rPr>
                <w:rFonts w:cs="宋体"/>
                <w:color w:val="000000"/>
                <w:kern w:val="21"/>
              </w:rPr>
            </w:pPr>
            <w:r>
              <w:rPr>
                <w:rFonts w:hint="eastAsia"/>
                <w:color w:val="000000"/>
              </w:rPr>
              <w:t>项目</w:t>
            </w:r>
            <w:r>
              <w:rPr>
                <w:rFonts w:hint="eastAsia" w:cs="宋体"/>
                <w:color w:val="000000"/>
                <w:kern w:val="21"/>
              </w:rPr>
              <w:t>应针对危险废物的特性、数量，按照项目应针对危险废物的特性、数量，按照《危险废物贮存污染控制标准》（GBl8597-2023）要求，做好贮存风险事故防范工作。</w:t>
            </w:r>
          </w:p>
          <w:p>
            <w:pPr>
              <w:ind w:firstLine="480"/>
              <w:rPr>
                <w:rFonts w:cs="宋体"/>
                <w:color w:val="000000"/>
                <w:kern w:val="21"/>
              </w:rPr>
            </w:pPr>
            <w:r>
              <w:rPr>
                <w:rFonts w:hint="eastAsia" w:cs="宋体"/>
                <w:color w:val="000000"/>
                <w:kern w:val="21"/>
              </w:rPr>
              <w:t>①危险废物贮存场所必须有符合《环境保护图形标志-固体废物贮存（处置）场》（GB15562.2-1995）的专用标志；应建有堵截泄漏的裙角，地面与裙角要用坚固防渗的材料建造，建筑材料必须与危险废物相容。</w:t>
            </w:r>
          </w:p>
          <w:p>
            <w:pPr>
              <w:ind w:firstLine="480"/>
              <w:rPr>
                <w:rFonts w:cs="宋体"/>
                <w:color w:val="000000"/>
                <w:kern w:val="21"/>
              </w:rPr>
            </w:pPr>
            <w:r>
              <w:rPr>
                <w:rFonts w:hint="eastAsia" w:cs="宋体"/>
                <w:color w:val="000000"/>
                <w:kern w:val="21"/>
              </w:rPr>
              <w:t>②不相容的危险废物必须分开存放，并设有隔离间隔断。</w:t>
            </w:r>
          </w:p>
          <w:p>
            <w:pPr>
              <w:ind w:firstLine="480"/>
              <w:rPr>
                <w:rFonts w:cs="宋体"/>
                <w:color w:val="000000"/>
                <w:kern w:val="21"/>
              </w:rPr>
            </w:pPr>
            <w:r>
              <w:rPr>
                <w:rFonts w:hint="eastAsia" w:cs="宋体"/>
                <w:color w:val="000000"/>
                <w:kern w:val="21"/>
              </w:rPr>
              <w:t>③贮存危险废物的场所必须有专人24小时看管。</w:t>
            </w:r>
          </w:p>
          <w:p>
            <w:pPr>
              <w:ind w:firstLine="480"/>
              <w:rPr>
                <w:rFonts w:cs="宋体"/>
                <w:color w:val="000000"/>
                <w:kern w:val="21"/>
              </w:rPr>
            </w:pPr>
            <w:r>
              <w:rPr>
                <w:rFonts w:hint="eastAsia" w:cs="宋体"/>
                <w:color w:val="000000"/>
                <w:kern w:val="21"/>
              </w:rPr>
              <w:t>④仓库应严格按照《建筑设计防火规范》（GB50016-2006）进行设计，在总图的布置上应留有足够的防火距离，仓库与生产车间和交通线路的距离、仓库与其他建筑物之间的距离应符合规范要求。</w:t>
            </w:r>
          </w:p>
          <w:p>
            <w:pPr>
              <w:ind w:firstLine="480"/>
              <w:rPr>
                <w:rFonts w:cs="宋体"/>
                <w:color w:val="000000"/>
                <w:kern w:val="21"/>
              </w:rPr>
            </w:pPr>
            <w:r>
              <w:rPr>
                <w:rFonts w:hint="eastAsia" w:cs="宋体"/>
                <w:color w:val="000000"/>
                <w:kern w:val="21"/>
              </w:rPr>
              <w:t>⑤暂存区应阴凉、干燥、通风，避免阳光直射、暴晒，远离热源、电源、火源。按化学品不同类别、性质、危险程度、灭火方法等分区分类贮存，并附上明显标识，性质相抵的禁止同库贮存。</w:t>
            </w:r>
          </w:p>
          <w:p>
            <w:pPr>
              <w:ind w:firstLine="482"/>
              <w:rPr>
                <w:b/>
                <w:color w:val="000000"/>
              </w:rPr>
            </w:pPr>
            <w:r>
              <w:rPr>
                <w:rFonts w:hint="eastAsia"/>
                <w:b/>
                <w:color w:val="000000"/>
              </w:rPr>
              <w:t>（6）地下水、土壤</w:t>
            </w:r>
          </w:p>
          <w:p>
            <w:pPr>
              <w:pStyle w:val="95"/>
              <w:adjustRightInd w:val="0"/>
              <w:snapToGrid w:val="0"/>
              <w:ind w:firstLine="482"/>
              <w:rPr>
                <w:b/>
                <w:color w:val="000000"/>
              </w:rPr>
            </w:pPr>
            <w:r>
              <w:rPr>
                <w:rFonts w:hint="eastAsia"/>
                <w:b/>
                <w:color w:val="000000"/>
              </w:rPr>
              <w:t>1、</w:t>
            </w:r>
            <w:r>
              <w:rPr>
                <w:b/>
                <w:color w:val="000000"/>
              </w:rPr>
              <w:t>地下水</w:t>
            </w:r>
            <w:r>
              <w:rPr>
                <w:rFonts w:hint="eastAsia"/>
                <w:b/>
                <w:color w:val="000000"/>
              </w:rPr>
              <w:t>、土壤</w:t>
            </w:r>
            <w:r>
              <w:rPr>
                <w:b/>
                <w:color w:val="000000"/>
              </w:rPr>
              <w:t>污染源</w:t>
            </w:r>
          </w:p>
          <w:p>
            <w:pPr>
              <w:pStyle w:val="95"/>
              <w:adjustRightInd w:val="0"/>
              <w:snapToGrid w:val="0"/>
              <w:ind w:firstLine="480"/>
              <w:rPr>
                <w:color w:val="000000"/>
              </w:rPr>
            </w:pPr>
            <w:r>
              <w:rPr>
                <w:color w:val="000000"/>
              </w:rPr>
              <w:t>根据对项目生产过程及存储方式等进行分析，项目对地下水</w:t>
            </w:r>
            <w:r>
              <w:rPr>
                <w:rFonts w:hint="eastAsia"/>
                <w:color w:val="000000"/>
              </w:rPr>
              <w:t>及土壤环境</w:t>
            </w:r>
            <w:r>
              <w:rPr>
                <w:color w:val="000000"/>
              </w:rPr>
              <w:t>影响的污染源有：</w:t>
            </w:r>
            <w:r>
              <w:rPr>
                <w:rFonts w:hint="eastAsia"/>
                <w:color w:val="000000"/>
              </w:rPr>
              <w:t>废气处理设施、</w:t>
            </w:r>
            <w:r>
              <w:rPr>
                <w:color w:val="000000"/>
              </w:rPr>
              <w:t>固废堆场污染区的地面等，主要污染物为</w:t>
            </w:r>
            <w:r>
              <w:rPr>
                <w:rFonts w:hint="eastAsia"/>
                <w:color w:val="000000"/>
              </w:rPr>
              <w:t>废气</w:t>
            </w:r>
            <w:r>
              <w:rPr>
                <w:color w:val="000000"/>
              </w:rPr>
              <w:t>和固体废物（主要是危险废物）。</w:t>
            </w:r>
          </w:p>
          <w:p>
            <w:pPr>
              <w:pStyle w:val="95"/>
              <w:adjustRightInd w:val="0"/>
              <w:snapToGrid w:val="0"/>
              <w:ind w:firstLine="482"/>
              <w:rPr>
                <w:b/>
                <w:color w:val="000000"/>
              </w:rPr>
            </w:pPr>
            <w:r>
              <w:rPr>
                <w:rFonts w:hint="eastAsia"/>
                <w:b/>
                <w:color w:val="000000"/>
              </w:rPr>
              <w:t>2、</w:t>
            </w:r>
            <w:r>
              <w:rPr>
                <w:b/>
                <w:color w:val="000000"/>
              </w:rPr>
              <w:t>地下水</w:t>
            </w:r>
            <w:r>
              <w:rPr>
                <w:rFonts w:hint="eastAsia"/>
                <w:b/>
                <w:color w:val="000000"/>
              </w:rPr>
              <w:t>、土壤</w:t>
            </w:r>
            <w:r>
              <w:rPr>
                <w:b/>
                <w:color w:val="000000"/>
              </w:rPr>
              <w:t>污染途径</w:t>
            </w:r>
          </w:p>
          <w:p>
            <w:pPr>
              <w:pStyle w:val="95"/>
              <w:adjustRightInd w:val="0"/>
              <w:snapToGrid w:val="0"/>
              <w:ind w:firstLine="480"/>
              <w:rPr>
                <w:color w:val="000000"/>
              </w:rPr>
            </w:pPr>
            <w:r>
              <w:rPr>
                <w:color w:val="000000"/>
              </w:rPr>
              <w:t>项目对地下水</w:t>
            </w:r>
            <w:r>
              <w:rPr>
                <w:rFonts w:hint="eastAsia"/>
                <w:color w:val="000000"/>
              </w:rPr>
              <w:t>及土壤</w:t>
            </w:r>
            <w:r>
              <w:rPr>
                <w:color w:val="000000"/>
              </w:rPr>
              <w:t>产生污染的途径主要是渗透污染。渗透污染是导致地下水污染的普遍和主要方式，主要产生可能性来自：</w:t>
            </w:r>
          </w:p>
          <w:p>
            <w:pPr>
              <w:pStyle w:val="95"/>
              <w:adjustRightInd w:val="0"/>
              <w:snapToGrid w:val="0"/>
              <w:ind w:firstLine="480"/>
              <w:rPr>
                <w:color w:val="000000"/>
              </w:rPr>
            </w:pPr>
            <w:r>
              <w:rPr>
                <w:rFonts w:hint="eastAsia"/>
                <w:color w:val="000000"/>
              </w:rPr>
              <w:t>①项目产生的危险废物，在未采取防治措施的情况下，固体废物在雨水淋滤作用下，淋滤液下渗将引起的地下水及土壤污染。</w:t>
            </w:r>
          </w:p>
          <w:p>
            <w:pPr>
              <w:pStyle w:val="95"/>
              <w:adjustRightInd w:val="0"/>
              <w:snapToGrid w:val="0"/>
              <w:ind w:firstLine="480"/>
              <w:rPr>
                <w:color w:val="000000"/>
              </w:rPr>
            </w:pPr>
            <w:r>
              <w:rPr>
                <w:rFonts w:hint="eastAsia"/>
                <w:color w:val="000000"/>
              </w:rPr>
              <w:t>②项目危废暂存间未采取防渗防漏措施情况下，危险废物从构筑物下渗入含水层而污染地下水及土壤。</w:t>
            </w:r>
          </w:p>
          <w:p>
            <w:pPr>
              <w:pStyle w:val="95"/>
              <w:adjustRightInd w:val="0"/>
              <w:snapToGrid w:val="0"/>
              <w:ind w:firstLine="480"/>
              <w:rPr>
                <w:color w:val="000000"/>
              </w:rPr>
            </w:pPr>
            <w:r>
              <w:rPr>
                <w:rFonts w:hint="eastAsia"/>
                <w:color w:val="000000"/>
              </w:rPr>
              <w:t>③项目废气处理设施失效，导致废气污染物非正常排放，经过大气沉降落入地表水体及土壤。</w:t>
            </w:r>
          </w:p>
          <w:p>
            <w:pPr>
              <w:pStyle w:val="95"/>
              <w:adjustRightInd w:val="0"/>
              <w:snapToGrid w:val="0"/>
              <w:ind w:firstLine="482"/>
              <w:rPr>
                <w:b/>
                <w:color w:val="000000"/>
              </w:rPr>
            </w:pPr>
            <w:r>
              <w:rPr>
                <w:rFonts w:hint="eastAsia"/>
                <w:b/>
                <w:color w:val="000000"/>
              </w:rPr>
              <w:t>3、环境影响分析</w:t>
            </w:r>
          </w:p>
          <w:p>
            <w:pPr>
              <w:pStyle w:val="95"/>
              <w:adjustRightInd w:val="0"/>
              <w:snapToGrid w:val="0"/>
              <w:ind w:firstLine="480"/>
              <w:rPr>
                <w:color w:val="000000"/>
              </w:rPr>
            </w:pPr>
            <w:r>
              <w:rPr>
                <w:rFonts w:hint="eastAsia"/>
                <w:color w:val="000000"/>
              </w:rPr>
              <w:t>①正常情况下地下水环境影响分析</w:t>
            </w:r>
          </w:p>
          <w:p>
            <w:pPr>
              <w:pStyle w:val="95"/>
              <w:adjustRightInd w:val="0"/>
              <w:snapToGrid w:val="0"/>
              <w:ind w:firstLine="480"/>
              <w:rPr>
                <w:color w:val="000000"/>
              </w:rPr>
            </w:pPr>
            <w:r>
              <w:rPr>
                <w:rFonts w:hint="eastAsia"/>
                <w:color w:val="000000"/>
              </w:rPr>
              <w:t>项目通过采取本评价提出的环保措施后，对废气处理设施、危废暂存间进行严格的防渗处理后，废水下渗量很小，在正常情况下对地下水及土壤不会造成污染。</w:t>
            </w:r>
          </w:p>
          <w:p>
            <w:pPr>
              <w:pStyle w:val="95"/>
              <w:adjustRightInd w:val="0"/>
              <w:snapToGrid w:val="0"/>
              <w:ind w:firstLine="480"/>
              <w:rPr>
                <w:color w:val="000000"/>
              </w:rPr>
            </w:pPr>
            <w:r>
              <w:rPr>
                <w:rFonts w:hint="eastAsia"/>
                <w:color w:val="000000"/>
              </w:rPr>
              <w:t>②非正常情况下地下水环境影响分析</w:t>
            </w:r>
          </w:p>
          <w:p>
            <w:pPr>
              <w:pStyle w:val="95"/>
              <w:adjustRightInd w:val="0"/>
              <w:snapToGrid w:val="0"/>
              <w:ind w:firstLine="480"/>
              <w:rPr>
                <w:color w:val="000000"/>
              </w:rPr>
            </w:pPr>
            <w:r>
              <w:rPr>
                <w:rFonts w:hint="eastAsia"/>
                <w:color w:val="000000"/>
              </w:rPr>
              <w:t>根据场地水文地质条件，废气处理设施、危废暂存间若发生渗漏，废液将通过地表水入渗进入地下污染地下水及土壤。由于污染物的存在，非正常状况下，将不可避免的会对项目所在区域周围，特别是下游部分区域的地下水及土壤产生一定程度的污染。因此，建设单位应积极采取有效的防渗措施，定期监控，一旦发现废液渗漏后，采取有效的应急措施，避免泄漏持续发生。</w:t>
            </w:r>
          </w:p>
          <w:p>
            <w:pPr>
              <w:pStyle w:val="95"/>
              <w:adjustRightInd w:val="0"/>
              <w:snapToGrid w:val="0"/>
              <w:ind w:firstLine="482"/>
              <w:rPr>
                <w:b/>
                <w:color w:val="000000"/>
              </w:rPr>
            </w:pPr>
            <w:r>
              <w:rPr>
                <w:rFonts w:hint="eastAsia"/>
                <w:b/>
                <w:color w:val="000000"/>
              </w:rPr>
              <w:t>4、预防措施</w:t>
            </w:r>
          </w:p>
          <w:p>
            <w:pPr>
              <w:pStyle w:val="95"/>
              <w:adjustRightInd w:val="0"/>
              <w:snapToGrid w:val="0"/>
              <w:ind w:firstLine="480"/>
              <w:rPr>
                <w:color w:val="000000"/>
              </w:rPr>
            </w:pPr>
            <w:r>
              <w:rPr>
                <w:rFonts w:hint="eastAsia"/>
                <w:color w:val="000000"/>
              </w:rPr>
              <w:t>针对上述情况，企业采取以下措施，以减轻对地下水及土壤的污染。</w:t>
            </w:r>
          </w:p>
          <w:p>
            <w:pPr>
              <w:pStyle w:val="95"/>
              <w:adjustRightInd w:val="0"/>
              <w:snapToGrid w:val="0"/>
              <w:ind w:firstLine="480"/>
              <w:rPr>
                <w:color w:val="000000"/>
              </w:rPr>
            </w:pPr>
            <w:r>
              <w:rPr>
                <w:rFonts w:hint="eastAsia"/>
                <w:color w:val="000000"/>
              </w:rPr>
              <w:t>①源头控制措施</w:t>
            </w:r>
          </w:p>
          <w:p>
            <w:pPr>
              <w:pStyle w:val="95"/>
              <w:adjustRightInd w:val="0"/>
              <w:snapToGrid w:val="0"/>
              <w:ind w:firstLine="480"/>
              <w:rPr>
                <w:color w:val="000000"/>
              </w:rPr>
            </w:pPr>
            <w:r>
              <w:rPr>
                <w:rFonts w:hint="eastAsia"/>
                <w:color w:val="000000"/>
              </w:rPr>
              <w:t>项目各类废气均可达标排放，各类固态废物均能得以妥善处置，有效减少了污染物的排放量。</w:t>
            </w:r>
          </w:p>
          <w:p>
            <w:pPr>
              <w:pStyle w:val="95"/>
              <w:adjustRightInd w:val="0"/>
              <w:snapToGrid w:val="0"/>
              <w:ind w:firstLine="480"/>
              <w:rPr>
                <w:color w:val="000000"/>
              </w:rPr>
            </w:pPr>
            <w:r>
              <w:rPr>
                <w:rFonts w:hint="eastAsia"/>
                <w:color w:val="000000"/>
              </w:rPr>
              <w:t>②分区防治措施</w:t>
            </w:r>
          </w:p>
          <w:p>
            <w:pPr>
              <w:pStyle w:val="95"/>
              <w:adjustRightInd w:val="0"/>
              <w:snapToGrid w:val="0"/>
              <w:ind w:firstLine="480"/>
              <w:rPr>
                <w:color w:val="000000"/>
              </w:rPr>
            </w:pPr>
            <w:r>
              <w:rPr>
                <w:rFonts w:hint="eastAsia"/>
                <w:color w:val="000000"/>
              </w:rPr>
              <w:t>构筑物在工程设计时采用混凝土构造，并按照相应的标准设置了防渗层，防止污水下渗污染地下水及土壤。在正常生产情况下，企业做好防渗处理条件下，项目地面污染不会直接渗入土壤，也不会对地下水造成影响。</w:t>
            </w:r>
          </w:p>
          <w:p>
            <w:pPr>
              <w:pStyle w:val="12"/>
              <w:ind w:firstLine="480"/>
              <w:rPr>
                <w:color w:val="000000"/>
              </w:rPr>
            </w:pPr>
            <w:r>
              <w:rPr>
                <w:rFonts w:hint="eastAsia"/>
                <w:color w:val="000000"/>
              </w:rPr>
              <w:t>各类固体废物进行分类收集后存放于专门的储存场所内，对危险固废间采取防雨、防渗、防腐等措施，生产车间地面采用混凝土硬化；一般固废和危废均应暂存于固废暂存间和危废暂存间内，不设置露天堆场，并采取水泥硬化，危废暂存间地面采取防腐防渗措施，按《危险废物贮存污染控制标准》（GB18597-2023）进行设计，一般工业固体废物贮存过程应满足相应防渗漏、防雨淋、防扬尘等环境保护要求；</w:t>
            </w:r>
          </w:p>
          <w:p>
            <w:pPr>
              <w:ind w:firstLine="480"/>
              <w:rPr>
                <w:color w:val="000000"/>
              </w:rPr>
            </w:pPr>
            <w:r>
              <w:rPr>
                <w:rFonts w:hint="eastAsia"/>
                <w:color w:val="000000"/>
              </w:rPr>
              <w:t>③对项目所在区域划分为重点防渗区、一般防渗区、简单防渗区等，具体划分见下表：</w:t>
            </w:r>
          </w:p>
          <w:p>
            <w:pPr>
              <w:pStyle w:val="38"/>
              <w:rPr>
                <w:color w:val="000000"/>
                <w:spacing w:val="0"/>
                <w:szCs w:val="24"/>
              </w:rPr>
            </w:pPr>
            <w:r>
              <w:rPr>
                <w:rFonts w:hint="eastAsia"/>
                <w:color w:val="000000"/>
                <w:spacing w:val="0"/>
                <w:szCs w:val="24"/>
              </w:rPr>
              <w:t>表4-18  项目防渗分区划分表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2876"/>
              <w:gridCol w:w="1472"/>
              <w:gridCol w:w="5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pct"/>
                  <w:vAlign w:val="center"/>
                </w:tcPr>
                <w:p>
                  <w:pPr>
                    <w:pStyle w:val="36"/>
                    <w:adjustRightInd w:val="0"/>
                    <w:snapToGrid w:val="0"/>
                    <w:rPr>
                      <w:b/>
                      <w:bCs/>
                      <w:color w:val="000000"/>
                      <w:sz w:val="18"/>
                      <w:szCs w:val="18"/>
                    </w:rPr>
                  </w:pPr>
                  <w:r>
                    <w:rPr>
                      <w:b/>
                      <w:bCs/>
                      <w:color w:val="000000"/>
                      <w:sz w:val="18"/>
                      <w:szCs w:val="18"/>
                    </w:rPr>
                    <w:t>工序或区域名称</w:t>
                  </w:r>
                </w:p>
              </w:tc>
              <w:tc>
                <w:tcPr>
                  <w:tcW w:w="1196" w:type="pct"/>
                  <w:vAlign w:val="center"/>
                </w:tcPr>
                <w:p>
                  <w:pPr>
                    <w:pStyle w:val="36"/>
                    <w:adjustRightInd w:val="0"/>
                    <w:snapToGrid w:val="0"/>
                    <w:rPr>
                      <w:b/>
                      <w:bCs/>
                      <w:color w:val="000000"/>
                      <w:sz w:val="18"/>
                      <w:szCs w:val="18"/>
                    </w:rPr>
                  </w:pPr>
                  <w:r>
                    <w:rPr>
                      <w:b/>
                      <w:bCs/>
                      <w:color w:val="000000"/>
                      <w:sz w:val="18"/>
                      <w:szCs w:val="18"/>
                    </w:rPr>
                    <w:t>防渗区域</w:t>
                  </w:r>
                </w:p>
              </w:tc>
              <w:tc>
                <w:tcPr>
                  <w:tcW w:w="612" w:type="pct"/>
                  <w:vAlign w:val="center"/>
                </w:tcPr>
                <w:p>
                  <w:pPr>
                    <w:pStyle w:val="36"/>
                    <w:adjustRightInd w:val="0"/>
                    <w:snapToGrid w:val="0"/>
                    <w:rPr>
                      <w:b/>
                      <w:bCs/>
                      <w:color w:val="000000"/>
                      <w:sz w:val="18"/>
                      <w:szCs w:val="18"/>
                    </w:rPr>
                  </w:pPr>
                  <w:r>
                    <w:rPr>
                      <w:b/>
                      <w:bCs/>
                      <w:color w:val="000000"/>
                      <w:sz w:val="18"/>
                      <w:szCs w:val="18"/>
                    </w:rPr>
                    <w:t>防渗等级</w:t>
                  </w:r>
                </w:p>
              </w:tc>
              <w:tc>
                <w:tcPr>
                  <w:tcW w:w="2188" w:type="pct"/>
                  <w:vAlign w:val="center"/>
                </w:tcPr>
                <w:p>
                  <w:pPr>
                    <w:pStyle w:val="37"/>
                    <w:rPr>
                      <w:b/>
                      <w:bCs/>
                      <w:color w:val="000000"/>
                      <w:kern w:val="2"/>
                      <w:szCs w:val="18"/>
                    </w:rPr>
                  </w:pPr>
                  <w:r>
                    <w:rPr>
                      <w:rFonts w:hint="eastAsia"/>
                      <w:b/>
                      <w:bCs/>
                      <w:color w:val="000000"/>
                      <w:kern w:val="2"/>
                      <w:szCs w:val="18"/>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pct"/>
                  <w:vAlign w:val="center"/>
                </w:tcPr>
                <w:p>
                  <w:pPr>
                    <w:pStyle w:val="37"/>
                    <w:rPr>
                      <w:color w:val="000000"/>
                      <w:kern w:val="2"/>
                      <w:szCs w:val="18"/>
                    </w:rPr>
                  </w:pPr>
                  <w:r>
                    <w:rPr>
                      <w:rFonts w:hint="eastAsia"/>
                      <w:color w:val="000000"/>
                      <w:kern w:val="2"/>
                      <w:szCs w:val="18"/>
                    </w:rPr>
                    <w:t>危废暂存库</w:t>
                  </w:r>
                </w:p>
              </w:tc>
              <w:tc>
                <w:tcPr>
                  <w:tcW w:w="1196" w:type="pct"/>
                  <w:vAlign w:val="center"/>
                </w:tcPr>
                <w:p>
                  <w:pPr>
                    <w:pStyle w:val="37"/>
                    <w:rPr>
                      <w:color w:val="000000"/>
                      <w:kern w:val="2"/>
                      <w:szCs w:val="18"/>
                    </w:rPr>
                  </w:pPr>
                  <w:r>
                    <w:rPr>
                      <w:rFonts w:hint="eastAsia"/>
                      <w:color w:val="000000"/>
                      <w:kern w:val="2"/>
                      <w:szCs w:val="18"/>
                    </w:rPr>
                    <w:t>危废暂存库地面</w:t>
                  </w:r>
                </w:p>
              </w:tc>
              <w:tc>
                <w:tcPr>
                  <w:tcW w:w="612" w:type="pct"/>
                  <w:vAlign w:val="center"/>
                </w:tcPr>
                <w:p>
                  <w:pPr>
                    <w:pStyle w:val="37"/>
                    <w:rPr>
                      <w:color w:val="000000"/>
                      <w:kern w:val="2"/>
                      <w:szCs w:val="18"/>
                    </w:rPr>
                  </w:pPr>
                  <w:r>
                    <w:rPr>
                      <w:rFonts w:hint="eastAsia"/>
                      <w:color w:val="000000"/>
                      <w:kern w:val="2"/>
                      <w:szCs w:val="18"/>
                    </w:rPr>
                    <w:t>重点防渗区</w:t>
                  </w:r>
                </w:p>
              </w:tc>
              <w:tc>
                <w:tcPr>
                  <w:tcW w:w="2188" w:type="pct"/>
                  <w:vAlign w:val="center"/>
                </w:tcPr>
                <w:p>
                  <w:pPr>
                    <w:pStyle w:val="37"/>
                    <w:rPr>
                      <w:color w:val="000000"/>
                      <w:szCs w:val="18"/>
                    </w:rPr>
                  </w:pPr>
                  <w:r>
                    <w:rPr>
                      <w:rFonts w:hint="eastAsia"/>
                      <w:color w:val="000000"/>
                      <w:szCs w:val="18"/>
                    </w:rPr>
                    <w:t>至少1m厚黏土层（渗透系数不大于10</w:t>
                  </w:r>
                  <w:r>
                    <w:rPr>
                      <w:rFonts w:hint="eastAsia"/>
                      <w:color w:val="000000"/>
                      <w:szCs w:val="18"/>
                      <w:vertAlign w:val="superscript"/>
                    </w:rPr>
                    <w:t>-7</w:t>
                  </w:r>
                  <w:r>
                    <w:rPr>
                      <w:rFonts w:hint="eastAsia"/>
                      <w:color w:val="000000"/>
                      <w:szCs w:val="18"/>
                    </w:rPr>
                    <w:t>cm/s），或至少2mm厚高密度聚乙烯膜等人工防渗材料（渗透系数不大于10</w:t>
                  </w:r>
                  <w:r>
                    <w:rPr>
                      <w:rFonts w:hint="eastAsia"/>
                      <w:color w:val="000000"/>
                      <w:szCs w:val="18"/>
                      <w:vertAlign w:val="superscript"/>
                    </w:rPr>
                    <w:t>-10</w:t>
                  </w:r>
                  <w:r>
                    <w:rPr>
                      <w:rFonts w:hint="eastAsia"/>
                      <w:color w:val="000000"/>
                      <w:szCs w:val="18"/>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pct"/>
                  <w:vMerge w:val="restart"/>
                  <w:vAlign w:val="center"/>
                </w:tcPr>
                <w:p>
                  <w:pPr>
                    <w:pStyle w:val="37"/>
                    <w:rPr>
                      <w:color w:val="000000"/>
                      <w:kern w:val="2"/>
                      <w:szCs w:val="18"/>
                    </w:rPr>
                  </w:pPr>
                  <w:r>
                    <w:rPr>
                      <w:rFonts w:hint="eastAsia"/>
                      <w:color w:val="000000"/>
                      <w:kern w:val="2"/>
                      <w:szCs w:val="18"/>
                    </w:rPr>
                    <w:t>生产车间、一般固废间</w:t>
                  </w:r>
                </w:p>
              </w:tc>
              <w:tc>
                <w:tcPr>
                  <w:tcW w:w="1196" w:type="pct"/>
                  <w:vAlign w:val="center"/>
                </w:tcPr>
                <w:p>
                  <w:pPr>
                    <w:pStyle w:val="37"/>
                    <w:rPr>
                      <w:color w:val="000000"/>
                      <w:kern w:val="2"/>
                      <w:szCs w:val="18"/>
                    </w:rPr>
                  </w:pPr>
                  <w:r>
                    <w:rPr>
                      <w:rFonts w:hint="eastAsia"/>
                      <w:color w:val="000000"/>
                      <w:kern w:val="2"/>
                      <w:szCs w:val="18"/>
                    </w:rPr>
                    <w:t>生产车间地面</w:t>
                  </w:r>
                </w:p>
              </w:tc>
              <w:tc>
                <w:tcPr>
                  <w:tcW w:w="612" w:type="pct"/>
                  <w:vMerge w:val="restart"/>
                  <w:vAlign w:val="center"/>
                </w:tcPr>
                <w:p>
                  <w:pPr>
                    <w:pStyle w:val="37"/>
                    <w:rPr>
                      <w:color w:val="000000"/>
                      <w:kern w:val="2"/>
                      <w:szCs w:val="18"/>
                    </w:rPr>
                  </w:pPr>
                  <w:r>
                    <w:rPr>
                      <w:rFonts w:hint="eastAsia"/>
                      <w:color w:val="000000"/>
                      <w:kern w:val="2"/>
                      <w:szCs w:val="18"/>
                    </w:rPr>
                    <w:t>一般防渗区</w:t>
                  </w:r>
                </w:p>
              </w:tc>
              <w:tc>
                <w:tcPr>
                  <w:tcW w:w="2188" w:type="pct"/>
                  <w:vMerge w:val="restart"/>
                  <w:vAlign w:val="center"/>
                </w:tcPr>
                <w:p>
                  <w:pPr>
                    <w:pStyle w:val="37"/>
                    <w:rPr>
                      <w:color w:val="000000"/>
                      <w:kern w:val="2"/>
                      <w:szCs w:val="18"/>
                    </w:rPr>
                  </w:pPr>
                  <w:r>
                    <w:rPr>
                      <w:color w:val="000000"/>
                      <w:szCs w:val="18"/>
                    </w:rPr>
                    <w:t>至少1.5米厚粘土层（渗透系数≤10</w:t>
                  </w:r>
                  <w:r>
                    <w:rPr>
                      <w:color w:val="000000"/>
                      <w:szCs w:val="18"/>
                      <w:vertAlign w:val="superscript"/>
                    </w:rPr>
                    <w:t>-7</w:t>
                  </w:r>
                  <w:r>
                    <w:rPr>
                      <w:color w:val="000000"/>
                      <w:szCs w:val="18"/>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pct"/>
                  <w:vMerge w:val="continue"/>
                  <w:vAlign w:val="center"/>
                </w:tcPr>
                <w:p>
                  <w:pPr>
                    <w:pStyle w:val="37"/>
                    <w:rPr>
                      <w:color w:val="000000"/>
                      <w:kern w:val="2"/>
                      <w:szCs w:val="18"/>
                    </w:rPr>
                  </w:pPr>
                </w:p>
              </w:tc>
              <w:tc>
                <w:tcPr>
                  <w:tcW w:w="1196" w:type="pct"/>
                  <w:vAlign w:val="center"/>
                </w:tcPr>
                <w:p>
                  <w:pPr>
                    <w:pStyle w:val="37"/>
                    <w:rPr>
                      <w:color w:val="000000"/>
                      <w:kern w:val="2"/>
                      <w:szCs w:val="18"/>
                    </w:rPr>
                  </w:pPr>
                  <w:r>
                    <w:rPr>
                      <w:rFonts w:hint="eastAsia"/>
                      <w:color w:val="000000"/>
                      <w:kern w:val="2"/>
                      <w:szCs w:val="18"/>
                    </w:rPr>
                    <w:t>一般固废间地面</w:t>
                  </w:r>
                </w:p>
              </w:tc>
              <w:tc>
                <w:tcPr>
                  <w:tcW w:w="612" w:type="pct"/>
                  <w:vMerge w:val="continue"/>
                  <w:vAlign w:val="center"/>
                </w:tcPr>
                <w:p>
                  <w:pPr>
                    <w:pStyle w:val="37"/>
                    <w:rPr>
                      <w:color w:val="000000"/>
                      <w:kern w:val="2"/>
                      <w:szCs w:val="18"/>
                    </w:rPr>
                  </w:pPr>
                </w:p>
              </w:tc>
              <w:tc>
                <w:tcPr>
                  <w:tcW w:w="2188" w:type="pct"/>
                  <w:vMerge w:val="continue"/>
                  <w:vAlign w:val="center"/>
                </w:tcPr>
                <w:p>
                  <w:pPr>
                    <w:pStyle w:val="37"/>
                    <w:rPr>
                      <w:color w:val="000000"/>
                      <w:kern w:val="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pct"/>
                  <w:vAlign w:val="center"/>
                </w:tcPr>
                <w:p>
                  <w:pPr>
                    <w:pStyle w:val="37"/>
                    <w:rPr>
                      <w:color w:val="000000"/>
                      <w:kern w:val="2"/>
                      <w:szCs w:val="18"/>
                    </w:rPr>
                  </w:pPr>
                  <w:r>
                    <w:rPr>
                      <w:rFonts w:hint="eastAsia"/>
                      <w:color w:val="000000"/>
                      <w:kern w:val="2"/>
                      <w:szCs w:val="18"/>
                    </w:rPr>
                    <w:t>其他区域</w:t>
                  </w:r>
                </w:p>
              </w:tc>
              <w:tc>
                <w:tcPr>
                  <w:tcW w:w="1196" w:type="pct"/>
                  <w:vAlign w:val="center"/>
                </w:tcPr>
                <w:p>
                  <w:pPr>
                    <w:pStyle w:val="37"/>
                    <w:rPr>
                      <w:color w:val="000000"/>
                      <w:kern w:val="2"/>
                      <w:szCs w:val="18"/>
                    </w:rPr>
                  </w:pPr>
                  <w:r>
                    <w:rPr>
                      <w:rFonts w:hint="eastAsia"/>
                      <w:color w:val="000000"/>
                      <w:kern w:val="2"/>
                      <w:szCs w:val="18"/>
                    </w:rPr>
                    <w:t>其他地面</w:t>
                  </w:r>
                </w:p>
              </w:tc>
              <w:tc>
                <w:tcPr>
                  <w:tcW w:w="612" w:type="pct"/>
                  <w:vAlign w:val="center"/>
                </w:tcPr>
                <w:p>
                  <w:pPr>
                    <w:pStyle w:val="37"/>
                    <w:rPr>
                      <w:color w:val="000000"/>
                      <w:kern w:val="2"/>
                      <w:szCs w:val="18"/>
                    </w:rPr>
                  </w:pPr>
                  <w:r>
                    <w:rPr>
                      <w:rFonts w:hint="eastAsia"/>
                      <w:color w:val="000000"/>
                      <w:kern w:val="2"/>
                      <w:szCs w:val="18"/>
                    </w:rPr>
                    <w:t>简单防渗区</w:t>
                  </w:r>
                </w:p>
              </w:tc>
              <w:tc>
                <w:tcPr>
                  <w:tcW w:w="2188" w:type="pct"/>
                  <w:vAlign w:val="center"/>
                </w:tcPr>
                <w:p>
                  <w:pPr>
                    <w:pStyle w:val="37"/>
                    <w:rPr>
                      <w:color w:val="000000"/>
                      <w:kern w:val="2"/>
                      <w:szCs w:val="18"/>
                    </w:rPr>
                  </w:pPr>
                  <w:r>
                    <w:rPr>
                      <w:rFonts w:hint="eastAsia"/>
                      <w:color w:val="000000"/>
                      <w:kern w:val="2"/>
                      <w:szCs w:val="18"/>
                    </w:rPr>
                    <w:t>一般地面硬化</w:t>
                  </w:r>
                </w:p>
              </w:tc>
            </w:tr>
          </w:tbl>
          <w:p>
            <w:pPr>
              <w:ind w:firstLine="480"/>
              <w:rPr>
                <w:color w:val="000000"/>
              </w:rPr>
            </w:pPr>
            <w:r>
              <w:rPr>
                <w:rFonts w:hint="eastAsia"/>
                <w:color w:val="000000"/>
              </w:rPr>
              <w:t>采取上述相应措施后，可有效防止控制地下水和土壤污染，因此项目生产时较少与地下水发生直接水力联系，可有效防止地下水污染事故，不会对地下水造成影响，对地面采用水泥硬化和严格防渗，有效阻断对土壤的污染。因此项目的建设对当地的地下水和土壤的影响是可接受的。</w:t>
            </w:r>
          </w:p>
          <w:p>
            <w:pPr>
              <w:ind w:firstLine="482"/>
              <w:rPr>
                <w:b/>
                <w:bCs/>
                <w:color w:val="000000"/>
              </w:rPr>
            </w:pPr>
            <w:r>
              <w:rPr>
                <w:rFonts w:hint="eastAsia"/>
                <w:b/>
                <w:bCs/>
                <w:color w:val="000000"/>
              </w:rPr>
              <w:t>（7）环保投资及三同时验收清单</w:t>
            </w:r>
          </w:p>
          <w:p>
            <w:pPr>
              <w:ind w:firstLine="480"/>
              <w:rPr>
                <w:color w:val="000000"/>
              </w:rPr>
            </w:pPr>
            <w:r>
              <w:rPr>
                <w:rFonts w:hint="eastAsia"/>
                <w:color w:val="000000"/>
              </w:rPr>
              <w:t>扩建项目总投资2100万元，环保投资20万元，占总投资0.95%，具体见下表。</w:t>
            </w:r>
          </w:p>
          <w:p>
            <w:pPr>
              <w:pStyle w:val="38"/>
              <w:rPr>
                <w:rFonts w:hint="eastAsia"/>
                <w:color w:val="000000"/>
              </w:rPr>
            </w:pPr>
          </w:p>
          <w:p>
            <w:pPr>
              <w:pStyle w:val="38"/>
              <w:rPr>
                <w:color w:val="000000"/>
              </w:rPr>
            </w:pPr>
            <w:r>
              <w:rPr>
                <w:rFonts w:hint="eastAsia"/>
                <w:color w:val="000000"/>
              </w:rPr>
              <w:t>表4-19  扩建项目竣工环保验收清单及环保投资一览表单位：万元</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6"/>
              <w:gridCol w:w="1159"/>
              <w:gridCol w:w="1546"/>
              <w:gridCol w:w="2216"/>
              <w:gridCol w:w="1844"/>
              <w:gridCol w:w="4081"/>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Align w:val="center"/>
                </w:tcPr>
                <w:p>
                  <w:pPr>
                    <w:pStyle w:val="37"/>
                    <w:rPr>
                      <w:b/>
                      <w:bCs/>
                      <w:color w:val="000000"/>
                    </w:rPr>
                  </w:pPr>
                  <w:r>
                    <w:rPr>
                      <w:rFonts w:hint="eastAsia"/>
                      <w:b/>
                      <w:bCs/>
                      <w:color w:val="000000"/>
                    </w:rPr>
                    <w:t>类别</w:t>
                  </w:r>
                </w:p>
              </w:tc>
              <w:tc>
                <w:tcPr>
                  <w:tcW w:w="482" w:type="pct"/>
                  <w:vAlign w:val="center"/>
                </w:tcPr>
                <w:p>
                  <w:pPr>
                    <w:pStyle w:val="37"/>
                    <w:rPr>
                      <w:b/>
                      <w:bCs/>
                      <w:color w:val="000000"/>
                    </w:rPr>
                  </w:pPr>
                  <w:r>
                    <w:rPr>
                      <w:rFonts w:hint="eastAsia"/>
                      <w:b/>
                      <w:bCs/>
                      <w:color w:val="000000"/>
                    </w:rPr>
                    <w:t>污染源</w:t>
                  </w:r>
                </w:p>
              </w:tc>
              <w:tc>
                <w:tcPr>
                  <w:tcW w:w="1565" w:type="pct"/>
                  <w:gridSpan w:val="2"/>
                  <w:vAlign w:val="center"/>
                </w:tcPr>
                <w:p>
                  <w:pPr>
                    <w:pStyle w:val="37"/>
                    <w:rPr>
                      <w:b/>
                      <w:bCs/>
                      <w:color w:val="000000"/>
                    </w:rPr>
                  </w:pPr>
                  <w:r>
                    <w:rPr>
                      <w:rFonts w:hint="eastAsia"/>
                      <w:b/>
                      <w:bCs/>
                      <w:color w:val="000000"/>
                    </w:rPr>
                    <w:t>污染物</w:t>
                  </w:r>
                </w:p>
              </w:tc>
              <w:tc>
                <w:tcPr>
                  <w:tcW w:w="767" w:type="pct"/>
                  <w:vAlign w:val="center"/>
                </w:tcPr>
                <w:p>
                  <w:pPr>
                    <w:pStyle w:val="37"/>
                    <w:rPr>
                      <w:b/>
                      <w:bCs/>
                      <w:color w:val="000000"/>
                    </w:rPr>
                  </w:pPr>
                  <w:r>
                    <w:rPr>
                      <w:rFonts w:hint="eastAsia"/>
                      <w:b/>
                      <w:bCs/>
                      <w:color w:val="000000"/>
                    </w:rPr>
                    <w:t>治理措施</w:t>
                  </w:r>
                </w:p>
              </w:tc>
              <w:tc>
                <w:tcPr>
                  <w:tcW w:w="1697" w:type="pct"/>
                  <w:vAlign w:val="center"/>
                </w:tcPr>
                <w:p>
                  <w:pPr>
                    <w:pStyle w:val="37"/>
                    <w:rPr>
                      <w:b/>
                      <w:bCs/>
                      <w:color w:val="000000"/>
                    </w:rPr>
                  </w:pPr>
                  <w:r>
                    <w:rPr>
                      <w:rFonts w:hint="eastAsia"/>
                      <w:b/>
                      <w:bCs/>
                      <w:color w:val="000000"/>
                    </w:rPr>
                    <w:t>处理效果、执行标准或要求</w:t>
                  </w:r>
                </w:p>
              </w:tc>
              <w:tc>
                <w:tcPr>
                  <w:tcW w:w="277" w:type="pct"/>
                  <w:vAlign w:val="center"/>
                </w:tcPr>
                <w:p>
                  <w:pPr>
                    <w:pStyle w:val="37"/>
                    <w:rPr>
                      <w:b/>
                      <w:bCs/>
                      <w:color w:val="000000"/>
                    </w:rPr>
                  </w:pPr>
                  <w:r>
                    <w:rPr>
                      <w:rFonts w:hint="eastAsia"/>
                      <w:b/>
                      <w:bCs/>
                      <w:color w:val="000000"/>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Merge w:val="restart"/>
                  <w:vAlign w:val="center"/>
                </w:tcPr>
                <w:p>
                  <w:pPr>
                    <w:pStyle w:val="37"/>
                    <w:rPr>
                      <w:color w:val="000000"/>
                    </w:rPr>
                  </w:pPr>
                  <w:r>
                    <w:rPr>
                      <w:rFonts w:hint="eastAsia"/>
                      <w:color w:val="000000"/>
                    </w:rPr>
                    <w:t>废气</w:t>
                  </w:r>
                </w:p>
              </w:tc>
              <w:tc>
                <w:tcPr>
                  <w:tcW w:w="482" w:type="pct"/>
                  <w:vMerge w:val="restart"/>
                  <w:vAlign w:val="center"/>
                </w:tcPr>
                <w:p>
                  <w:pPr>
                    <w:pStyle w:val="37"/>
                    <w:rPr>
                      <w:color w:val="000000"/>
                    </w:rPr>
                  </w:pPr>
                  <w:r>
                    <w:rPr>
                      <w:rFonts w:hint="eastAsia"/>
                      <w:color w:val="000000"/>
                    </w:rPr>
                    <w:t>有组织</w:t>
                  </w:r>
                </w:p>
              </w:tc>
              <w:tc>
                <w:tcPr>
                  <w:tcW w:w="643" w:type="pct"/>
                  <w:vAlign w:val="center"/>
                </w:tcPr>
                <w:p>
                  <w:pPr>
                    <w:pStyle w:val="37"/>
                    <w:rPr>
                      <w:color w:val="000000"/>
                    </w:rPr>
                  </w:pPr>
                  <w:r>
                    <w:rPr>
                      <w:rFonts w:hint="eastAsia"/>
                      <w:color w:val="000000"/>
                    </w:rPr>
                    <w:t>前副车架焊接废气</w:t>
                  </w:r>
                </w:p>
              </w:tc>
              <w:tc>
                <w:tcPr>
                  <w:tcW w:w="921" w:type="pct"/>
                  <w:vAlign w:val="center"/>
                </w:tcPr>
                <w:p>
                  <w:pPr>
                    <w:pStyle w:val="37"/>
                    <w:rPr>
                      <w:color w:val="000000"/>
                    </w:rPr>
                  </w:pPr>
                  <w:r>
                    <w:rPr>
                      <w:rFonts w:hint="eastAsia"/>
                      <w:color w:val="000000"/>
                    </w:rPr>
                    <w:t>颗粒物、锡及其化合物</w:t>
                  </w:r>
                </w:p>
              </w:tc>
              <w:tc>
                <w:tcPr>
                  <w:tcW w:w="767" w:type="pct"/>
                  <w:vAlign w:val="center"/>
                </w:tcPr>
                <w:p>
                  <w:pPr>
                    <w:pStyle w:val="37"/>
                    <w:rPr>
                      <w:color w:val="000000"/>
                    </w:rPr>
                  </w:pPr>
                  <w:r>
                    <w:rPr>
                      <w:rFonts w:hint="eastAsia"/>
                      <w:color w:val="000000"/>
                    </w:rPr>
                    <w:t>布袋除尘+1根15m排气筒（DA001）</w:t>
                  </w:r>
                </w:p>
              </w:tc>
              <w:tc>
                <w:tcPr>
                  <w:tcW w:w="1697" w:type="pct"/>
                  <w:vMerge w:val="restart"/>
                  <w:vAlign w:val="center"/>
                </w:tcPr>
                <w:p>
                  <w:pPr>
                    <w:pStyle w:val="37"/>
                    <w:rPr>
                      <w:color w:val="000000"/>
                    </w:rPr>
                  </w:pPr>
                  <w:r>
                    <w:rPr>
                      <w:rFonts w:hint="eastAsia"/>
                      <w:color w:val="000000"/>
                    </w:rPr>
                    <w:t>《大气污染物综合排放标准》（GB16297-1996）表2中二级标准</w:t>
                  </w:r>
                </w:p>
              </w:tc>
              <w:tc>
                <w:tcPr>
                  <w:tcW w:w="277" w:type="pct"/>
                  <w:vMerge w:val="restart"/>
                  <w:vAlign w:val="center"/>
                </w:tcPr>
                <w:p>
                  <w:pPr>
                    <w:pStyle w:val="37"/>
                    <w:rPr>
                      <w:color w:val="000000"/>
                    </w:rPr>
                  </w:pPr>
                  <w:r>
                    <w:rPr>
                      <w:rFonts w:hint="eastAsia"/>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Merge w:val="continue"/>
                  <w:vAlign w:val="center"/>
                </w:tcPr>
                <w:p>
                  <w:pPr>
                    <w:pStyle w:val="37"/>
                    <w:rPr>
                      <w:color w:val="000000"/>
                    </w:rPr>
                  </w:pPr>
                </w:p>
              </w:tc>
              <w:tc>
                <w:tcPr>
                  <w:tcW w:w="482" w:type="pct"/>
                  <w:vMerge w:val="continue"/>
                  <w:vAlign w:val="center"/>
                </w:tcPr>
                <w:p>
                  <w:pPr>
                    <w:pStyle w:val="37"/>
                    <w:rPr>
                      <w:color w:val="000000"/>
                    </w:rPr>
                  </w:pPr>
                </w:p>
              </w:tc>
              <w:tc>
                <w:tcPr>
                  <w:tcW w:w="643" w:type="pct"/>
                  <w:vAlign w:val="center"/>
                </w:tcPr>
                <w:p>
                  <w:pPr>
                    <w:pStyle w:val="37"/>
                    <w:rPr>
                      <w:color w:val="000000"/>
                    </w:rPr>
                  </w:pPr>
                  <w:r>
                    <w:rPr>
                      <w:rFonts w:hint="eastAsia"/>
                      <w:color w:val="000000"/>
                    </w:rPr>
                    <w:t>后副车架焊接废气</w:t>
                  </w:r>
                </w:p>
              </w:tc>
              <w:tc>
                <w:tcPr>
                  <w:tcW w:w="921" w:type="pct"/>
                  <w:vAlign w:val="center"/>
                </w:tcPr>
                <w:p>
                  <w:pPr>
                    <w:pStyle w:val="37"/>
                    <w:rPr>
                      <w:color w:val="000000"/>
                    </w:rPr>
                  </w:pPr>
                  <w:r>
                    <w:rPr>
                      <w:rFonts w:hint="eastAsia"/>
                      <w:color w:val="000000"/>
                    </w:rPr>
                    <w:t>颗粒物、锡及其化合物</w:t>
                  </w:r>
                </w:p>
              </w:tc>
              <w:tc>
                <w:tcPr>
                  <w:tcW w:w="767" w:type="pct"/>
                  <w:vAlign w:val="center"/>
                </w:tcPr>
                <w:p>
                  <w:pPr>
                    <w:pStyle w:val="37"/>
                    <w:rPr>
                      <w:color w:val="000000"/>
                    </w:rPr>
                  </w:pPr>
                  <w:r>
                    <w:rPr>
                      <w:rFonts w:hint="eastAsia"/>
                      <w:color w:val="000000"/>
                    </w:rPr>
                    <w:t>布袋除尘+1根15m排气筒（DA002）</w:t>
                  </w:r>
                </w:p>
              </w:tc>
              <w:tc>
                <w:tcPr>
                  <w:tcW w:w="1697" w:type="pct"/>
                  <w:vMerge w:val="continue"/>
                  <w:vAlign w:val="center"/>
                </w:tcPr>
                <w:p>
                  <w:pPr>
                    <w:pStyle w:val="37"/>
                    <w:rPr>
                      <w:color w:val="000000"/>
                    </w:rPr>
                  </w:pPr>
                </w:p>
              </w:tc>
              <w:tc>
                <w:tcPr>
                  <w:tcW w:w="277"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Merge w:val="continue"/>
                  <w:vAlign w:val="center"/>
                </w:tcPr>
                <w:p>
                  <w:pPr>
                    <w:pStyle w:val="37"/>
                    <w:rPr>
                      <w:color w:val="000000"/>
                    </w:rPr>
                  </w:pPr>
                </w:p>
              </w:tc>
              <w:tc>
                <w:tcPr>
                  <w:tcW w:w="482" w:type="pct"/>
                  <w:vAlign w:val="center"/>
                </w:tcPr>
                <w:p>
                  <w:pPr>
                    <w:pStyle w:val="37"/>
                    <w:rPr>
                      <w:color w:val="000000"/>
                    </w:rPr>
                  </w:pPr>
                  <w:r>
                    <w:rPr>
                      <w:rFonts w:hint="eastAsia"/>
                      <w:color w:val="000000"/>
                    </w:rPr>
                    <w:t>无组织</w:t>
                  </w:r>
                </w:p>
              </w:tc>
              <w:tc>
                <w:tcPr>
                  <w:tcW w:w="643" w:type="pct"/>
                  <w:vAlign w:val="center"/>
                </w:tcPr>
                <w:p>
                  <w:pPr>
                    <w:pStyle w:val="37"/>
                    <w:rPr>
                      <w:color w:val="000000"/>
                    </w:rPr>
                  </w:pPr>
                  <w:r>
                    <w:rPr>
                      <w:rFonts w:hint="eastAsia"/>
                      <w:color w:val="000000"/>
                    </w:rPr>
                    <w:t>焊接废气</w:t>
                  </w:r>
                </w:p>
              </w:tc>
              <w:tc>
                <w:tcPr>
                  <w:tcW w:w="921" w:type="pct"/>
                  <w:vAlign w:val="center"/>
                </w:tcPr>
                <w:p>
                  <w:pPr>
                    <w:pStyle w:val="37"/>
                    <w:rPr>
                      <w:color w:val="000000"/>
                    </w:rPr>
                  </w:pPr>
                  <w:r>
                    <w:rPr>
                      <w:rFonts w:hint="eastAsia"/>
                      <w:color w:val="000000"/>
                    </w:rPr>
                    <w:t>颗粒物、锡及其化合物</w:t>
                  </w:r>
                </w:p>
              </w:tc>
              <w:tc>
                <w:tcPr>
                  <w:tcW w:w="767" w:type="pct"/>
                  <w:vAlign w:val="center"/>
                </w:tcPr>
                <w:p>
                  <w:pPr>
                    <w:pStyle w:val="37"/>
                    <w:rPr>
                      <w:color w:val="000000"/>
                    </w:rPr>
                  </w:pPr>
                  <w:r>
                    <w:rPr>
                      <w:rFonts w:hint="eastAsia"/>
                      <w:color w:val="000000"/>
                    </w:rPr>
                    <w:t>加强厂房新风系统</w:t>
                  </w:r>
                </w:p>
              </w:tc>
              <w:tc>
                <w:tcPr>
                  <w:tcW w:w="1697" w:type="pct"/>
                  <w:vAlign w:val="center"/>
                </w:tcPr>
                <w:p>
                  <w:pPr>
                    <w:pStyle w:val="37"/>
                    <w:rPr>
                      <w:color w:val="000000"/>
                    </w:rPr>
                  </w:pPr>
                  <w:r>
                    <w:rPr>
                      <w:rFonts w:hint="eastAsia"/>
                      <w:color w:val="000000"/>
                    </w:rPr>
                    <w:t>《大气污染物综合排放标准》（GB16297-1996）表2中二级标准</w:t>
                  </w:r>
                </w:p>
              </w:tc>
              <w:tc>
                <w:tcPr>
                  <w:tcW w:w="277"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Align w:val="center"/>
                </w:tcPr>
                <w:p>
                  <w:pPr>
                    <w:pStyle w:val="37"/>
                    <w:rPr>
                      <w:color w:val="000000"/>
                    </w:rPr>
                  </w:pPr>
                  <w:r>
                    <w:rPr>
                      <w:rFonts w:hint="eastAsia"/>
                      <w:color w:val="000000"/>
                    </w:rPr>
                    <w:t>噪声</w:t>
                  </w:r>
                </w:p>
              </w:tc>
              <w:tc>
                <w:tcPr>
                  <w:tcW w:w="482" w:type="pct"/>
                  <w:vAlign w:val="center"/>
                </w:tcPr>
                <w:p>
                  <w:pPr>
                    <w:pStyle w:val="37"/>
                    <w:rPr>
                      <w:color w:val="000000"/>
                    </w:rPr>
                  </w:pPr>
                  <w:r>
                    <w:rPr>
                      <w:rFonts w:hint="eastAsia"/>
                      <w:color w:val="000000"/>
                    </w:rPr>
                    <w:t>设备噪声</w:t>
                  </w:r>
                </w:p>
              </w:tc>
              <w:tc>
                <w:tcPr>
                  <w:tcW w:w="1565" w:type="pct"/>
                  <w:gridSpan w:val="2"/>
                  <w:vAlign w:val="center"/>
                </w:tcPr>
                <w:p>
                  <w:pPr>
                    <w:pStyle w:val="37"/>
                    <w:rPr>
                      <w:color w:val="000000"/>
                    </w:rPr>
                  </w:pPr>
                  <w:r>
                    <w:rPr>
                      <w:rFonts w:hint="eastAsia"/>
                      <w:color w:val="000000"/>
                    </w:rPr>
                    <w:t>厂房隔声、距离衰减等</w:t>
                  </w:r>
                </w:p>
              </w:tc>
              <w:tc>
                <w:tcPr>
                  <w:tcW w:w="767" w:type="pct"/>
                  <w:vAlign w:val="center"/>
                </w:tcPr>
                <w:p>
                  <w:pPr>
                    <w:pStyle w:val="37"/>
                    <w:rPr>
                      <w:color w:val="000000"/>
                    </w:rPr>
                  </w:pPr>
                  <w:r>
                    <w:rPr>
                      <w:rFonts w:hint="eastAsia"/>
                      <w:color w:val="000000"/>
                    </w:rPr>
                    <w:t>距离衰减、墙壁阻隔</w:t>
                  </w:r>
                </w:p>
              </w:tc>
              <w:tc>
                <w:tcPr>
                  <w:tcW w:w="1697" w:type="pct"/>
                  <w:vAlign w:val="center"/>
                </w:tcPr>
                <w:p>
                  <w:pPr>
                    <w:pStyle w:val="37"/>
                    <w:rPr>
                      <w:color w:val="000000"/>
                    </w:rPr>
                  </w:pPr>
                  <w:r>
                    <w:rPr>
                      <w:rFonts w:hint="eastAsia"/>
                      <w:color w:val="000000"/>
                    </w:rPr>
                    <w:t>厂界噪声满足《工业企业厂界环境噪声排放标准》（GB12348-2008）中3类标准</w:t>
                  </w:r>
                </w:p>
              </w:tc>
              <w:tc>
                <w:tcPr>
                  <w:tcW w:w="277" w:type="pct"/>
                  <w:vAlign w:val="center"/>
                </w:tcPr>
                <w:p>
                  <w:pPr>
                    <w:pStyle w:val="37"/>
                    <w:rPr>
                      <w:color w:val="000000"/>
                    </w:rPr>
                  </w:pPr>
                  <w:r>
                    <w:rPr>
                      <w:rFonts w:hint="eastAsia"/>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Merge w:val="restart"/>
                  <w:vAlign w:val="center"/>
                </w:tcPr>
                <w:p>
                  <w:pPr>
                    <w:pStyle w:val="37"/>
                    <w:rPr>
                      <w:color w:val="000000"/>
                    </w:rPr>
                  </w:pPr>
                  <w:r>
                    <w:rPr>
                      <w:rFonts w:hint="eastAsia"/>
                      <w:color w:val="000000"/>
                    </w:rPr>
                    <w:t>固废</w:t>
                  </w:r>
                </w:p>
              </w:tc>
              <w:tc>
                <w:tcPr>
                  <w:tcW w:w="482" w:type="pct"/>
                  <w:vMerge w:val="restart"/>
                  <w:vAlign w:val="center"/>
                </w:tcPr>
                <w:p>
                  <w:pPr>
                    <w:pStyle w:val="37"/>
                    <w:rPr>
                      <w:color w:val="000000"/>
                    </w:rPr>
                  </w:pPr>
                  <w:r>
                    <w:rPr>
                      <w:rFonts w:hint="eastAsia"/>
                      <w:color w:val="000000"/>
                    </w:rPr>
                    <w:t>生产、储存</w:t>
                  </w:r>
                </w:p>
              </w:tc>
              <w:tc>
                <w:tcPr>
                  <w:tcW w:w="1565" w:type="pct"/>
                  <w:gridSpan w:val="2"/>
                  <w:tcMar>
                    <w:left w:w="0" w:type="dxa"/>
                    <w:right w:w="0" w:type="dxa"/>
                  </w:tcMar>
                  <w:vAlign w:val="center"/>
                </w:tcPr>
                <w:p>
                  <w:pPr>
                    <w:pStyle w:val="37"/>
                    <w:rPr>
                      <w:color w:val="000000"/>
                    </w:rPr>
                  </w:pPr>
                  <w:r>
                    <w:rPr>
                      <w:rFonts w:hint="eastAsia"/>
                      <w:color w:val="000000"/>
                    </w:rPr>
                    <w:t>不合格品</w:t>
                  </w:r>
                </w:p>
              </w:tc>
              <w:tc>
                <w:tcPr>
                  <w:tcW w:w="767" w:type="pct"/>
                  <w:vAlign w:val="center"/>
                </w:tcPr>
                <w:p>
                  <w:pPr>
                    <w:pStyle w:val="37"/>
                    <w:rPr>
                      <w:color w:val="000000"/>
                    </w:rPr>
                  </w:pPr>
                  <w:r>
                    <w:rPr>
                      <w:rFonts w:hint="eastAsia"/>
                      <w:color w:val="000000"/>
                    </w:rPr>
                    <w:t>返回现有厂区已建生产进行维修</w:t>
                  </w:r>
                </w:p>
              </w:tc>
              <w:tc>
                <w:tcPr>
                  <w:tcW w:w="1697" w:type="pct"/>
                  <w:vMerge w:val="restart"/>
                  <w:vAlign w:val="center"/>
                </w:tcPr>
                <w:p>
                  <w:pPr>
                    <w:pStyle w:val="37"/>
                    <w:rPr>
                      <w:color w:val="000000"/>
                    </w:rPr>
                  </w:pPr>
                  <w:r>
                    <w:rPr>
                      <w:rFonts w:hint="eastAsia"/>
                      <w:color w:val="000000"/>
                    </w:rPr>
                    <w:t>减量化、资源化、无害化</w:t>
                  </w:r>
                </w:p>
              </w:tc>
              <w:tc>
                <w:tcPr>
                  <w:tcW w:w="277" w:type="pct"/>
                  <w:vMerge w:val="restart"/>
                  <w:vAlign w:val="center"/>
                </w:tcPr>
                <w:p>
                  <w:pPr>
                    <w:pStyle w:val="37"/>
                    <w:rPr>
                      <w:color w:val="000000"/>
                    </w:rPr>
                  </w:pPr>
                  <w:r>
                    <w:rPr>
                      <w:rFonts w:hint="eastAsia"/>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Merge w:val="continue"/>
                  <w:vAlign w:val="center"/>
                </w:tcPr>
                <w:p>
                  <w:pPr>
                    <w:pStyle w:val="37"/>
                    <w:rPr>
                      <w:color w:val="000000"/>
                    </w:rPr>
                  </w:pPr>
                </w:p>
              </w:tc>
              <w:tc>
                <w:tcPr>
                  <w:tcW w:w="482" w:type="pct"/>
                  <w:vMerge w:val="continue"/>
                  <w:vAlign w:val="center"/>
                </w:tcPr>
                <w:p>
                  <w:pPr>
                    <w:pStyle w:val="37"/>
                    <w:rPr>
                      <w:color w:val="000000"/>
                    </w:rPr>
                  </w:pPr>
                </w:p>
              </w:tc>
              <w:tc>
                <w:tcPr>
                  <w:tcW w:w="1565" w:type="pct"/>
                  <w:gridSpan w:val="2"/>
                  <w:tcMar>
                    <w:left w:w="0" w:type="dxa"/>
                    <w:right w:w="0" w:type="dxa"/>
                  </w:tcMar>
                  <w:vAlign w:val="center"/>
                </w:tcPr>
                <w:p>
                  <w:pPr>
                    <w:pStyle w:val="37"/>
                    <w:rPr>
                      <w:color w:val="000000"/>
                    </w:rPr>
                  </w:pPr>
                  <w:r>
                    <w:rPr>
                      <w:rFonts w:hint="eastAsia"/>
                      <w:color w:val="000000"/>
                    </w:rPr>
                    <w:t>金属碎屑、废包装材料、布袋收集尘</w:t>
                  </w:r>
                </w:p>
              </w:tc>
              <w:tc>
                <w:tcPr>
                  <w:tcW w:w="767" w:type="pct"/>
                  <w:vAlign w:val="center"/>
                </w:tcPr>
                <w:p>
                  <w:pPr>
                    <w:pStyle w:val="37"/>
                    <w:rPr>
                      <w:color w:val="000000"/>
                    </w:rPr>
                  </w:pPr>
                  <w:r>
                    <w:rPr>
                      <w:rFonts w:hint="eastAsia"/>
                      <w:color w:val="000000"/>
                    </w:rPr>
                    <w:t>外售综合利用</w:t>
                  </w:r>
                </w:p>
              </w:tc>
              <w:tc>
                <w:tcPr>
                  <w:tcW w:w="1697" w:type="pct"/>
                  <w:vMerge w:val="continue"/>
                  <w:vAlign w:val="center"/>
                </w:tcPr>
                <w:p>
                  <w:pPr>
                    <w:pStyle w:val="37"/>
                    <w:rPr>
                      <w:color w:val="000000"/>
                    </w:rPr>
                  </w:pPr>
                </w:p>
              </w:tc>
              <w:tc>
                <w:tcPr>
                  <w:tcW w:w="277"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Merge w:val="continue"/>
                  <w:vAlign w:val="center"/>
                </w:tcPr>
                <w:p>
                  <w:pPr>
                    <w:pStyle w:val="37"/>
                    <w:rPr>
                      <w:color w:val="000000"/>
                    </w:rPr>
                  </w:pPr>
                </w:p>
              </w:tc>
              <w:tc>
                <w:tcPr>
                  <w:tcW w:w="482" w:type="pct"/>
                  <w:vMerge w:val="continue"/>
                  <w:vAlign w:val="center"/>
                </w:tcPr>
                <w:p>
                  <w:pPr>
                    <w:pStyle w:val="37"/>
                    <w:rPr>
                      <w:color w:val="000000"/>
                    </w:rPr>
                  </w:pPr>
                </w:p>
              </w:tc>
              <w:tc>
                <w:tcPr>
                  <w:tcW w:w="1565" w:type="pct"/>
                  <w:gridSpan w:val="2"/>
                  <w:tcMar>
                    <w:left w:w="0" w:type="dxa"/>
                    <w:right w:w="0" w:type="dxa"/>
                  </w:tcMar>
                  <w:vAlign w:val="center"/>
                </w:tcPr>
                <w:p>
                  <w:pPr>
                    <w:pStyle w:val="37"/>
                    <w:rPr>
                      <w:color w:val="000000"/>
                    </w:rPr>
                  </w:pPr>
                  <w:r>
                    <w:rPr>
                      <w:rFonts w:hint="eastAsia"/>
                      <w:color w:val="000000"/>
                    </w:rPr>
                    <w:t>废布袋</w:t>
                  </w:r>
                </w:p>
              </w:tc>
              <w:tc>
                <w:tcPr>
                  <w:tcW w:w="767" w:type="pct"/>
                  <w:vAlign w:val="center"/>
                </w:tcPr>
                <w:p>
                  <w:pPr>
                    <w:pStyle w:val="37"/>
                    <w:rPr>
                      <w:color w:val="000000"/>
                    </w:rPr>
                  </w:pPr>
                  <w:r>
                    <w:rPr>
                      <w:rFonts w:hint="eastAsia"/>
                      <w:color w:val="000000"/>
                    </w:rPr>
                    <w:t>厂商回收处理</w:t>
                  </w:r>
                </w:p>
              </w:tc>
              <w:tc>
                <w:tcPr>
                  <w:tcW w:w="1697" w:type="pct"/>
                  <w:vMerge w:val="continue"/>
                  <w:vAlign w:val="center"/>
                </w:tcPr>
                <w:p>
                  <w:pPr>
                    <w:pStyle w:val="37"/>
                    <w:rPr>
                      <w:color w:val="000000"/>
                    </w:rPr>
                  </w:pPr>
                </w:p>
              </w:tc>
              <w:tc>
                <w:tcPr>
                  <w:tcW w:w="277"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Merge w:val="continue"/>
                  <w:vAlign w:val="center"/>
                </w:tcPr>
                <w:p>
                  <w:pPr>
                    <w:pStyle w:val="37"/>
                    <w:rPr>
                      <w:color w:val="000000"/>
                    </w:rPr>
                  </w:pPr>
                </w:p>
              </w:tc>
              <w:tc>
                <w:tcPr>
                  <w:tcW w:w="482" w:type="pct"/>
                  <w:vMerge w:val="continue"/>
                  <w:vAlign w:val="center"/>
                </w:tcPr>
                <w:p>
                  <w:pPr>
                    <w:pStyle w:val="37"/>
                    <w:rPr>
                      <w:color w:val="000000"/>
                    </w:rPr>
                  </w:pPr>
                </w:p>
              </w:tc>
              <w:tc>
                <w:tcPr>
                  <w:tcW w:w="1565" w:type="pct"/>
                  <w:gridSpan w:val="2"/>
                  <w:tcMar>
                    <w:left w:w="0" w:type="dxa"/>
                    <w:right w:w="0" w:type="dxa"/>
                  </w:tcMar>
                  <w:vAlign w:val="center"/>
                </w:tcPr>
                <w:p>
                  <w:pPr>
                    <w:pStyle w:val="37"/>
                    <w:rPr>
                      <w:color w:val="000000"/>
                    </w:rPr>
                  </w:pPr>
                  <w:r>
                    <w:rPr>
                      <w:rFonts w:hint="eastAsia"/>
                      <w:color w:val="000000"/>
                    </w:rPr>
                    <w:t>地面清扫尘</w:t>
                  </w:r>
                </w:p>
              </w:tc>
              <w:tc>
                <w:tcPr>
                  <w:tcW w:w="767" w:type="pct"/>
                  <w:vAlign w:val="center"/>
                </w:tcPr>
                <w:p>
                  <w:pPr>
                    <w:pStyle w:val="37"/>
                    <w:rPr>
                      <w:color w:val="000000"/>
                    </w:rPr>
                  </w:pPr>
                  <w:r>
                    <w:rPr>
                      <w:rFonts w:hint="eastAsia"/>
                      <w:color w:val="000000"/>
                    </w:rPr>
                    <w:t>交由环卫部门处理</w:t>
                  </w:r>
                </w:p>
              </w:tc>
              <w:tc>
                <w:tcPr>
                  <w:tcW w:w="1697" w:type="pct"/>
                  <w:vMerge w:val="continue"/>
                  <w:vAlign w:val="center"/>
                </w:tcPr>
                <w:p>
                  <w:pPr>
                    <w:pStyle w:val="37"/>
                    <w:rPr>
                      <w:color w:val="000000"/>
                    </w:rPr>
                  </w:pPr>
                </w:p>
              </w:tc>
              <w:tc>
                <w:tcPr>
                  <w:tcW w:w="277"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0" w:type="pct"/>
                  <w:vMerge w:val="continue"/>
                  <w:vAlign w:val="center"/>
                </w:tcPr>
                <w:p>
                  <w:pPr>
                    <w:pStyle w:val="37"/>
                    <w:rPr>
                      <w:color w:val="000000"/>
                    </w:rPr>
                  </w:pPr>
                </w:p>
              </w:tc>
              <w:tc>
                <w:tcPr>
                  <w:tcW w:w="482" w:type="pct"/>
                  <w:vMerge w:val="continue"/>
                  <w:vAlign w:val="center"/>
                </w:tcPr>
                <w:p>
                  <w:pPr>
                    <w:pStyle w:val="37"/>
                    <w:rPr>
                      <w:color w:val="000000"/>
                    </w:rPr>
                  </w:pPr>
                </w:p>
              </w:tc>
              <w:tc>
                <w:tcPr>
                  <w:tcW w:w="1565" w:type="pct"/>
                  <w:gridSpan w:val="2"/>
                  <w:tcMar>
                    <w:left w:w="0" w:type="dxa"/>
                    <w:right w:w="0" w:type="dxa"/>
                  </w:tcMar>
                  <w:vAlign w:val="center"/>
                </w:tcPr>
                <w:p>
                  <w:pPr>
                    <w:pStyle w:val="37"/>
                    <w:rPr>
                      <w:color w:val="000000"/>
                    </w:rPr>
                  </w:pPr>
                  <w:r>
                    <w:rPr>
                      <w:rFonts w:hint="eastAsia"/>
                      <w:color w:val="000000"/>
                      <w:szCs w:val="18"/>
                    </w:rPr>
                    <w:t>废劳保品、废机油及废机油瓶</w:t>
                  </w:r>
                </w:p>
              </w:tc>
              <w:tc>
                <w:tcPr>
                  <w:tcW w:w="767" w:type="pct"/>
                  <w:vAlign w:val="center"/>
                </w:tcPr>
                <w:p>
                  <w:pPr>
                    <w:pStyle w:val="37"/>
                    <w:rPr>
                      <w:color w:val="000000"/>
                      <w:kern w:val="2"/>
                      <w:szCs w:val="24"/>
                    </w:rPr>
                  </w:pPr>
                  <w:r>
                    <w:rPr>
                      <w:rFonts w:hint="eastAsia"/>
                      <w:color w:val="000000"/>
                      <w:kern w:val="2"/>
                      <w:szCs w:val="24"/>
                    </w:rPr>
                    <w:t>交由有危废资质的单位处理</w:t>
                  </w:r>
                </w:p>
              </w:tc>
              <w:tc>
                <w:tcPr>
                  <w:tcW w:w="1697" w:type="pct"/>
                  <w:vMerge w:val="continue"/>
                  <w:vAlign w:val="center"/>
                </w:tcPr>
                <w:p>
                  <w:pPr>
                    <w:pStyle w:val="37"/>
                    <w:rPr>
                      <w:color w:val="000000"/>
                    </w:rPr>
                  </w:pPr>
                </w:p>
              </w:tc>
              <w:tc>
                <w:tcPr>
                  <w:tcW w:w="277" w:type="pct"/>
                  <w:vMerge w:val="continue"/>
                  <w:vAlign w:val="center"/>
                </w:tcPr>
                <w:p>
                  <w:pPr>
                    <w:pStyle w:val="37"/>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22" w:type="pct"/>
                  <w:gridSpan w:val="6"/>
                  <w:vAlign w:val="center"/>
                </w:tcPr>
                <w:p>
                  <w:pPr>
                    <w:pStyle w:val="37"/>
                    <w:rPr>
                      <w:color w:val="000000"/>
                    </w:rPr>
                  </w:pPr>
                  <w:r>
                    <w:rPr>
                      <w:rFonts w:hint="eastAsia"/>
                      <w:color w:val="000000"/>
                    </w:rPr>
                    <w:t>合计</w:t>
                  </w:r>
                </w:p>
              </w:tc>
              <w:tc>
                <w:tcPr>
                  <w:tcW w:w="277" w:type="pct"/>
                  <w:vAlign w:val="center"/>
                </w:tcPr>
                <w:p>
                  <w:pPr>
                    <w:pStyle w:val="37"/>
                    <w:rPr>
                      <w:color w:val="000000"/>
                    </w:rPr>
                  </w:pPr>
                  <w:r>
                    <w:rPr>
                      <w:rFonts w:hint="eastAsia"/>
                      <w:color w:val="000000"/>
                    </w:rPr>
                    <w:t>20</w:t>
                  </w:r>
                </w:p>
              </w:tc>
            </w:tr>
          </w:tbl>
          <w:p>
            <w:pPr>
              <w:ind w:firstLine="480"/>
              <w:rPr>
                <w:color w:val="000000"/>
              </w:rPr>
            </w:pPr>
          </w:p>
        </w:tc>
      </w:tr>
    </w:tbl>
    <w:p>
      <w:pPr>
        <w:adjustRightInd w:val="0"/>
        <w:snapToGrid w:val="0"/>
        <w:ind w:firstLine="562"/>
        <w:rPr>
          <w:b/>
          <w:color w:val="000000"/>
          <w:kern w:val="0"/>
          <w:sz w:val="28"/>
          <w:szCs w:val="28"/>
        </w:rPr>
        <w:sectPr>
          <w:pgSz w:w="16840" w:h="11907" w:orient="landscape"/>
          <w:pgMar w:top="1531" w:right="1701" w:bottom="1531" w:left="2126" w:header="851" w:footer="851" w:gutter="0"/>
          <w:cols w:space="720" w:num="1"/>
          <w:docGrid w:linePitch="312" w:charSpace="0"/>
        </w:sectPr>
      </w:pPr>
    </w:p>
    <w:p>
      <w:pPr>
        <w:pStyle w:val="24"/>
        <w:snapToGrid w:val="0"/>
        <w:spacing w:before="0" w:beforeAutospacing="0" w:afterLines="100" w:afterAutospacing="0"/>
        <w:ind w:firstLine="0" w:firstLineChars="0"/>
        <w:jc w:val="center"/>
        <w:outlineLvl w:val="0"/>
        <w:rPr>
          <w:rFonts w:ascii="Times New Roman" w:hAnsi="Times New Roman"/>
          <w:b/>
          <w:bCs/>
          <w:snapToGrid w:val="0"/>
          <w:color w:val="000000"/>
          <w:sz w:val="30"/>
          <w:szCs w:val="30"/>
        </w:rPr>
      </w:pPr>
      <w:r>
        <w:rPr>
          <w:rFonts w:ascii="Times New Roman" w:hAnsi="Times New Roman"/>
          <w:b/>
          <w:bCs/>
          <w:snapToGrid w:val="0"/>
          <w:color w:val="000000"/>
          <w:sz w:val="30"/>
          <w:szCs w:val="30"/>
        </w:rPr>
        <w:t>五、</w:t>
      </w:r>
      <w:bookmarkStart w:id="0" w:name="_Hlk54167917"/>
      <w:r>
        <w:rPr>
          <w:rFonts w:ascii="Times New Roman" w:hAnsi="Times New Roman"/>
          <w:b/>
          <w:bCs/>
          <w:snapToGrid w:val="0"/>
          <w:color w:val="000000"/>
          <w:sz w:val="30"/>
          <w:szCs w:val="30"/>
        </w:rPr>
        <w:t>环境保护措施监督检查清单</w:t>
      </w:r>
      <w:bookmarkEnd w:id="0"/>
    </w:p>
    <w:tbl>
      <w:tblPr>
        <w:tblStyle w:val="27"/>
        <w:tblW w:w="48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58"/>
        <w:gridCol w:w="1152"/>
        <w:gridCol w:w="1844"/>
        <w:gridCol w:w="1558"/>
        <w:gridCol w:w="2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tcPr>
          <w:p>
            <w:pPr>
              <w:pStyle w:val="41"/>
              <w:snapToGrid w:val="0"/>
              <w:spacing w:line="240" w:lineRule="auto"/>
              <w:jc w:val="right"/>
              <w:rPr>
                <w:b/>
                <w:bCs/>
                <w:color w:val="000000"/>
                <w:sz w:val="21"/>
                <w:szCs w:val="21"/>
              </w:rPr>
            </w:pPr>
            <w:r>
              <w:rPr>
                <w:b/>
                <w:bCs/>
                <w:color w:val="000000"/>
                <w:sz w:val="21"/>
                <w:szCs w:val="21"/>
              </w:rPr>
              <w:t>内容</w:t>
            </w:r>
          </w:p>
          <w:p>
            <w:pPr>
              <w:pStyle w:val="41"/>
              <w:snapToGrid w:val="0"/>
              <w:spacing w:line="240" w:lineRule="auto"/>
              <w:jc w:val="right"/>
              <w:rPr>
                <w:b/>
                <w:bCs/>
                <w:color w:val="000000"/>
                <w:sz w:val="21"/>
                <w:szCs w:val="21"/>
              </w:rPr>
            </w:pPr>
          </w:p>
          <w:p>
            <w:pPr>
              <w:pStyle w:val="41"/>
              <w:snapToGrid w:val="0"/>
              <w:spacing w:line="240" w:lineRule="auto"/>
              <w:jc w:val="left"/>
              <w:rPr>
                <w:b/>
                <w:bCs/>
                <w:color w:val="000000"/>
                <w:sz w:val="21"/>
                <w:szCs w:val="21"/>
              </w:rPr>
            </w:pPr>
            <w:r>
              <w:rPr>
                <w:b/>
                <w:bCs/>
                <w:color w:val="000000"/>
                <w:sz w:val="21"/>
                <w:szCs w:val="21"/>
              </w:rPr>
              <w:t>要素</w:t>
            </w:r>
          </w:p>
        </w:tc>
        <w:tc>
          <w:tcPr>
            <w:tcW w:w="907" w:type="pct"/>
            <w:gridSpan w:val="2"/>
            <w:vAlign w:val="center"/>
          </w:tcPr>
          <w:p>
            <w:pPr>
              <w:pStyle w:val="41"/>
              <w:snapToGrid w:val="0"/>
              <w:spacing w:line="240" w:lineRule="auto"/>
              <w:rPr>
                <w:b/>
                <w:bCs/>
                <w:color w:val="000000"/>
                <w:sz w:val="21"/>
                <w:szCs w:val="21"/>
              </w:rPr>
            </w:pPr>
            <w:r>
              <w:rPr>
                <w:b/>
                <w:bCs/>
                <w:color w:val="000000"/>
                <w:sz w:val="21"/>
                <w:szCs w:val="21"/>
              </w:rPr>
              <w:t>排放口（编号、名称）/污染源</w:t>
            </w:r>
          </w:p>
        </w:tc>
        <w:tc>
          <w:tcPr>
            <w:tcW w:w="1039" w:type="pct"/>
            <w:vAlign w:val="center"/>
          </w:tcPr>
          <w:p>
            <w:pPr>
              <w:pStyle w:val="41"/>
              <w:snapToGrid w:val="0"/>
              <w:spacing w:line="240" w:lineRule="auto"/>
              <w:rPr>
                <w:b/>
                <w:bCs/>
                <w:color w:val="000000"/>
                <w:sz w:val="21"/>
                <w:szCs w:val="21"/>
              </w:rPr>
            </w:pPr>
            <w:r>
              <w:rPr>
                <w:b/>
                <w:bCs/>
                <w:color w:val="000000"/>
                <w:sz w:val="21"/>
                <w:szCs w:val="21"/>
              </w:rPr>
              <w:t>污染物项目</w:t>
            </w:r>
          </w:p>
        </w:tc>
        <w:tc>
          <w:tcPr>
            <w:tcW w:w="878" w:type="pct"/>
            <w:vAlign w:val="center"/>
          </w:tcPr>
          <w:p>
            <w:pPr>
              <w:pStyle w:val="41"/>
              <w:snapToGrid w:val="0"/>
              <w:spacing w:line="240" w:lineRule="auto"/>
              <w:rPr>
                <w:b/>
                <w:bCs/>
                <w:color w:val="000000"/>
                <w:sz w:val="21"/>
                <w:szCs w:val="21"/>
              </w:rPr>
            </w:pPr>
            <w:r>
              <w:rPr>
                <w:b/>
                <w:bCs/>
                <w:color w:val="000000"/>
                <w:sz w:val="21"/>
                <w:szCs w:val="21"/>
              </w:rPr>
              <w:t>环境保护措施</w:t>
            </w:r>
          </w:p>
        </w:tc>
        <w:tc>
          <w:tcPr>
            <w:tcW w:w="1637" w:type="pct"/>
            <w:vAlign w:val="center"/>
          </w:tcPr>
          <w:p>
            <w:pPr>
              <w:pStyle w:val="41"/>
              <w:snapToGrid w:val="0"/>
              <w:spacing w:line="240" w:lineRule="auto"/>
              <w:rPr>
                <w:b/>
                <w:bCs/>
                <w:color w:val="000000"/>
                <w:sz w:val="21"/>
                <w:szCs w:val="21"/>
              </w:rPr>
            </w:pPr>
            <w:r>
              <w:rPr>
                <w:b/>
                <w:bCs/>
                <w:color w:val="000000"/>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restart"/>
            <w:vAlign w:val="center"/>
          </w:tcPr>
          <w:p>
            <w:pPr>
              <w:pStyle w:val="41"/>
              <w:snapToGrid w:val="0"/>
              <w:spacing w:line="240" w:lineRule="auto"/>
              <w:rPr>
                <w:b/>
                <w:bCs/>
                <w:color w:val="000000"/>
                <w:sz w:val="21"/>
                <w:szCs w:val="21"/>
              </w:rPr>
            </w:pPr>
            <w:r>
              <w:rPr>
                <w:rFonts w:hint="eastAsia"/>
                <w:b/>
                <w:bCs/>
                <w:color w:val="000000"/>
                <w:sz w:val="21"/>
                <w:szCs w:val="21"/>
              </w:rPr>
              <w:t>大气环境</w:t>
            </w:r>
          </w:p>
        </w:tc>
        <w:tc>
          <w:tcPr>
            <w:tcW w:w="258" w:type="pct"/>
            <w:vMerge w:val="restart"/>
            <w:vAlign w:val="center"/>
          </w:tcPr>
          <w:p>
            <w:pPr>
              <w:pStyle w:val="37"/>
              <w:rPr>
                <w:color w:val="000000"/>
                <w:sz w:val="21"/>
                <w:szCs w:val="21"/>
              </w:rPr>
            </w:pPr>
            <w:r>
              <w:rPr>
                <w:rFonts w:hint="eastAsia"/>
                <w:color w:val="000000"/>
                <w:sz w:val="21"/>
                <w:szCs w:val="21"/>
              </w:rPr>
              <w:t>有组织</w:t>
            </w:r>
          </w:p>
        </w:tc>
        <w:tc>
          <w:tcPr>
            <w:tcW w:w="649" w:type="pct"/>
            <w:vAlign w:val="center"/>
          </w:tcPr>
          <w:p>
            <w:pPr>
              <w:pStyle w:val="37"/>
              <w:rPr>
                <w:color w:val="000000"/>
                <w:sz w:val="21"/>
                <w:szCs w:val="21"/>
              </w:rPr>
            </w:pPr>
            <w:r>
              <w:rPr>
                <w:rFonts w:hint="eastAsia"/>
                <w:color w:val="000000"/>
                <w:sz w:val="21"/>
                <w:szCs w:val="21"/>
              </w:rPr>
              <w:t>前副车架焊接废气</w:t>
            </w:r>
          </w:p>
        </w:tc>
        <w:tc>
          <w:tcPr>
            <w:tcW w:w="1039" w:type="pct"/>
            <w:vAlign w:val="center"/>
          </w:tcPr>
          <w:p>
            <w:pPr>
              <w:pStyle w:val="37"/>
              <w:rPr>
                <w:color w:val="000000"/>
                <w:sz w:val="21"/>
                <w:szCs w:val="21"/>
              </w:rPr>
            </w:pPr>
            <w:r>
              <w:rPr>
                <w:rFonts w:hint="eastAsia"/>
                <w:color w:val="000000"/>
                <w:sz w:val="21"/>
                <w:szCs w:val="21"/>
              </w:rPr>
              <w:t>颗粒物、锡及其化合物</w:t>
            </w:r>
          </w:p>
        </w:tc>
        <w:tc>
          <w:tcPr>
            <w:tcW w:w="878" w:type="pct"/>
            <w:vAlign w:val="center"/>
          </w:tcPr>
          <w:p>
            <w:pPr>
              <w:pStyle w:val="37"/>
              <w:rPr>
                <w:color w:val="000000"/>
                <w:sz w:val="21"/>
                <w:szCs w:val="21"/>
              </w:rPr>
            </w:pPr>
            <w:r>
              <w:rPr>
                <w:rFonts w:hint="eastAsia"/>
                <w:color w:val="000000"/>
                <w:sz w:val="21"/>
                <w:szCs w:val="21"/>
              </w:rPr>
              <w:t>布袋除尘+1根15m排气筒（DA001）</w:t>
            </w:r>
          </w:p>
        </w:tc>
        <w:tc>
          <w:tcPr>
            <w:tcW w:w="1637" w:type="pct"/>
            <w:vMerge w:val="restart"/>
            <w:vAlign w:val="center"/>
          </w:tcPr>
          <w:p>
            <w:pPr>
              <w:pStyle w:val="37"/>
              <w:rPr>
                <w:sz w:val="21"/>
                <w:szCs w:val="21"/>
              </w:rPr>
            </w:pPr>
            <w:r>
              <w:rPr>
                <w:rFonts w:hint="eastAsia"/>
                <w:sz w:val="21"/>
                <w:szCs w:val="21"/>
              </w:rPr>
              <w:t>《大气污染物综合排放标准》（GB16297-1996）表2中二级标准（排放速率标准值严格50%执行）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vAlign w:val="center"/>
          </w:tcPr>
          <w:p>
            <w:pPr>
              <w:pStyle w:val="41"/>
              <w:snapToGrid w:val="0"/>
              <w:spacing w:line="240" w:lineRule="auto"/>
              <w:rPr>
                <w:b/>
                <w:bCs/>
                <w:color w:val="000000"/>
                <w:sz w:val="21"/>
                <w:szCs w:val="21"/>
              </w:rPr>
            </w:pPr>
          </w:p>
        </w:tc>
        <w:tc>
          <w:tcPr>
            <w:tcW w:w="258" w:type="pct"/>
            <w:vMerge w:val="continue"/>
            <w:vAlign w:val="center"/>
          </w:tcPr>
          <w:p>
            <w:pPr>
              <w:pStyle w:val="37"/>
              <w:rPr>
                <w:color w:val="000000"/>
                <w:sz w:val="21"/>
                <w:szCs w:val="21"/>
              </w:rPr>
            </w:pPr>
          </w:p>
        </w:tc>
        <w:tc>
          <w:tcPr>
            <w:tcW w:w="649" w:type="pct"/>
            <w:vAlign w:val="center"/>
          </w:tcPr>
          <w:p>
            <w:pPr>
              <w:pStyle w:val="37"/>
              <w:rPr>
                <w:color w:val="000000"/>
                <w:sz w:val="21"/>
                <w:szCs w:val="21"/>
              </w:rPr>
            </w:pPr>
            <w:r>
              <w:rPr>
                <w:rFonts w:hint="eastAsia"/>
                <w:color w:val="000000"/>
                <w:sz w:val="21"/>
                <w:szCs w:val="21"/>
              </w:rPr>
              <w:t>后副车架焊接废气</w:t>
            </w:r>
          </w:p>
        </w:tc>
        <w:tc>
          <w:tcPr>
            <w:tcW w:w="1039" w:type="pct"/>
            <w:vAlign w:val="center"/>
          </w:tcPr>
          <w:p>
            <w:pPr>
              <w:pStyle w:val="37"/>
              <w:rPr>
                <w:color w:val="000000"/>
                <w:sz w:val="21"/>
                <w:szCs w:val="21"/>
              </w:rPr>
            </w:pPr>
            <w:r>
              <w:rPr>
                <w:rFonts w:hint="eastAsia"/>
                <w:color w:val="000000"/>
                <w:sz w:val="21"/>
                <w:szCs w:val="21"/>
              </w:rPr>
              <w:t>颗粒物、锡及其化合物</w:t>
            </w:r>
          </w:p>
        </w:tc>
        <w:tc>
          <w:tcPr>
            <w:tcW w:w="878" w:type="pct"/>
            <w:vAlign w:val="center"/>
          </w:tcPr>
          <w:p>
            <w:pPr>
              <w:pStyle w:val="37"/>
              <w:rPr>
                <w:color w:val="000000"/>
                <w:sz w:val="21"/>
                <w:szCs w:val="21"/>
              </w:rPr>
            </w:pPr>
            <w:r>
              <w:rPr>
                <w:rFonts w:hint="eastAsia"/>
                <w:color w:val="000000"/>
                <w:sz w:val="21"/>
                <w:szCs w:val="21"/>
              </w:rPr>
              <w:t>布袋除尘+1根15m排气筒（DA002）</w:t>
            </w:r>
          </w:p>
        </w:tc>
        <w:tc>
          <w:tcPr>
            <w:tcW w:w="1637" w:type="pct"/>
            <w:vMerge w:val="continue"/>
            <w:vAlign w:val="center"/>
          </w:tcPr>
          <w:p>
            <w:pPr>
              <w:pStyle w:val="37"/>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vAlign w:val="center"/>
          </w:tcPr>
          <w:p>
            <w:pPr>
              <w:pStyle w:val="41"/>
              <w:snapToGrid w:val="0"/>
              <w:spacing w:line="240" w:lineRule="auto"/>
              <w:rPr>
                <w:b/>
                <w:bCs/>
                <w:color w:val="000000"/>
                <w:sz w:val="21"/>
                <w:szCs w:val="21"/>
              </w:rPr>
            </w:pPr>
          </w:p>
        </w:tc>
        <w:tc>
          <w:tcPr>
            <w:tcW w:w="907" w:type="pct"/>
            <w:gridSpan w:val="2"/>
            <w:vAlign w:val="center"/>
          </w:tcPr>
          <w:p>
            <w:pPr>
              <w:pStyle w:val="37"/>
              <w:rPr>
                <w:color w:val="000000"/>
                <w:sz w:val="21"/>
                <w:szCs w:val="21"/>
              </w:rPr>
            </w:pPr>
            <w:r>
              <w:rPr>
                <w:rFonts w:hint="eastAsia"/>
                <w:color w:val="000000"/>
                <w:sz w:val="21"/>
                <w:szCs w:val="21"/>
              </w:rPr>
              <w:t>厂界无组织</w:t>
            </w:r>
          </w:p>
        </w:tc>
        <w:tc>
          <w:tcPr>
            <w:tcW w:w="1039" w:type="pct"/>
            <w:vAlign w:val="center"/>
          </w:tcPr>
          <w:p>
            <w:pPr>
              <w:pStyle w:val="37"/>
              <w:rPr>
                <w:color w:val="000000"/>
                <w:sz w:val="21"/>
                <w:szCs w:val="21"/>
              </w:rPr>
            </w:pPr>
            <w:r>
              <w:rPr>
                <w:rFonts w:hint="eastAsia"/>
                <w:color w:val="000000"/>
                <w:sz w:val="21"/>
                <w:szCs w:val="21"/>
              </w:rPr>
              <w:t>颗粒物、锡及其化合物</w:t>
            </w:r>
          </w:p>
        </w:tc>
        <w:tc>
          <w:tcPr>
            <w:tcW w:w="878" w:type="pct"/>
            <w:vAlign w:val="center"/>
          </w:tcPr>
          <w:p>
            <w:pPr>
              <w:pStyle w:val="37"/>
              <w:rPr>
                <w:color w:val="000000"/>
                <w:sz w:val="21"/>
                <w:szCs w:val="21"/>
              </w:rPr>
            </w:pPr>
            <w:r>
              <w:rPr>
                <w:rFonts w:hint="eastAsia"/>
                <w:color w:val="000000"/>
                <w:sz w:val="21"/>
                <w:szCs w:val="21"/>
              </w:rPr>
              <w:t>加强厂房新风系统</w:t>
            </w:r>
          </w:p>
        </w:tc>
        <w:tc>
          <w:tcPr>
            <w:tcW w:w="1637" w:type="pct"/>
            <w:vAlign w:val="center"/>
          </w:tcPr>
          <w:p>
            <w:pPr>
              <w:pStyle w:val="37"/>
              <w:rPr>
                <w:sz w:val="21"/>
                <w:szCs w:val="21"/>
              </w:rPr>
            </w:pPr>
            <w:r>
              <w:rPr>
                <w:rFonts w:hint="eastAsia"/>
                <w:sz w:val="21"/>
                <w:szCs w:val="21"/>
              </w:rPr>
              <w:t>《大气污染物综合排放标准》（GB16297-1996）表2中二级标准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37" w:type="pct"/>
            <w:vAlign w:val="center"/>
          </w:tcPr>
          <w:p>
            <w:pPr>
              <w:pStyle w:val="41"/>
              <w:snapToGrid w:val="0"/>
              <w:spacing w:line="240" w:lineRule="auto"/>
              <w:rPr>
                <w:b/>
                <w:bCs/>
                <w:color w:val="000000"/>
                <w:sz w:val="21"/>
                <w:szCs w:val="21"/>
              </w:rPr>
            </w:pPr>
            <w:r>
              <w:rPr>
                <w:rFonts w:hint="eastAsia"/>
                <w:b/>
                <w:bCs/>
                <w:color w:val="000000"/>
                <w:sz w:val="21"/>
                <w:szCs w:val="21"/>
              </w:rPr>
              <w:t>水环境</w:t>
            </w:r>
          </w:p>
        </w:tc>
        <w:tc>
          <w:tcPr>
            <w:tcW w:w="907" w:type="pct"/>
            <w:gridSpan w:val="2"/>
            <w:vAlign w:val="center"/>
          </w:tcPr>
          <w:p>
            <w:pPr>
              <w:pStyle w:val="41"/>
              <w:snapToGrid w:val="0"/>
              <w:spacing w:line="240" w:lineRule="auto"/>
              <w:rPr>
                <w:color w:val="000000"/>
                <w:sz w:val="21"/>
                <w:szCs w:val="21"/>
              </w:rPr>
            </w:pPr>
            <w:r>
              <w:rPr>
                <w:rFonts w:hint="eastAsia"/>
                <w:color w:val="000000"/>
                <w:sz w:val="21"/>
                <w:szCs w:val="21"/>
              </w:rPr>
              <w:t>/</w:t>
            </w:r>
          </w:p>
        </w:tc>
        <w:tc>
          <w:tcPr>
            <w:tcW w:w="1039" w:type="pct"/>
            <w:vAlign w:val="center"/>
          </w:tcPr>
          <w:p>
            <w:pPr>
              <w:pStyle w:val="37"/>
              <w:rPr>
                <w:color w:val="000000"/>
                <w:sz w:val="21"/>
                <w:szCs w:val="21"/>
              </w:rPr>
            </w:pPr>
            <w:r>
              <w:rPr>
                <w:rFonts w:hint="eastAsia"/>
                <w:color w:val="000000"/>
                <w:sz w:val="21"/>
                <w:szCs w:val="21"/>
              </w:rPr>
              <w:t>/</w:t>
            </w:r>
          </w:p>
        </w:tc>
        <w:tc>
          <w:tcPr>
            <w:tcW w:w="878" w:type="pct"/>
            <w:vAlign w:val="center"/>
          </w:tcPr>
          <w:p>
            <w:pPr>
              <w:pStyle w:val="37"/>
              <w:rPr>
                <w:color w:val="000000"/>
                <w:sz w:val="21"/>
                <w:szCs w:val="21"/>
              </w:rPr>
            </w:pPr>
            <w:r>
              <w:rPr>
                <w:rFonts w:hint="eastAsia"/>
                <w:color w:val="000000"/>
                <w:sz w:val="21"/>
                <w:szCs w:val="21"/>
              </w:rPr>
              <w:t>/</w:t>
            </w:r>
          </w:p>
        </w:tc>
        <w:tc>
          <w:tcPr>
            <w:tcW w:w="1637" w:type="pct"/>
            <w:vAlign w:val="center"/>
          </w:tcPr>
          <w:p>
            <w:pPr>
              <w:pStyle w:val="37"/>
              <w:rPr>
                <w:color w:val="000000"/>
                <w:sz w:val="21"/>
                <w:szCs w:val="21"/>
              </w:rPr>
            </w:pPr>
            <w:r>
              <w:rPr>
                <w:rFonts w:hint="eastAsia"/>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7" w:type="pct"/>
            <w:vAlign w:val="center"/>
          </w:tcPr>
          <w:p>
            <w:pPr>
              <w:pStyle w:val="41"/>
              <w:snapToGrid w:val="0"/>
              <w:spacing w:line="240" w:lineRule="auto"/>
              <w:rPr>
                <w:b/>
                <w:bCs/>
                <w:color w:val="000000"/>
                <w:sz w:val="21"/>
                <w:szCs w:val="21"/>
              </w:rPr>
            </w:pPr>
            <w:r>
              <w:rPr>
                <w:b/>
                <w:bCs/>
                <w:color w:val="000000"/>
                <w:sz w:val="21"/>
                <w:szCs w:val="21"/>
              </w:rPr>
              <w:t>声环境</w:t>
            </w:r>
          </w:p>
        </w:tc>
        <w:tc>
          <w:tcPr>
            <w:tcW w:w="907" w:type="pct"/>
            <w:gridSpan w:val="2"/>
            <w:vAlign w:val="center"/>
          </w:tcPr>
          <w:p>
            <w:pPr>
              <w:pStyle w:val="41"/>
              <w:snapToGrid w:val="0"/>
              <w:spacing w:line="240" w:lineRule="auto"/>
              <w:rPr>
                <w:color w:val="000000"/>
                <w:sz w:val="21"/>
                <w:szCs w:val="21"/>
              </w:rPr>
            </w:pPr>
            <w:r>
              <w:rPr>
                <w:rFonts w:hint="eastAsia"/>
                <w:color w:val="000000"/>
                <w:sz w:val="21"/>
                <w:szCs w:val="21"/>
              </w:rPr>
              <w:t>生产过程</w:t>
            </w:r>
          </w:p>
        </w:tc>
        <w:tc>
          <w:tcPr>
            <w:tcW w:w="1039" w:type="pct"/>
            <w:vAlign w:val="center"/>
          </w:tcPr>
          <w:p>
            <w:pPr>
              <w:pStyle w:val="41"/>
              <w:snapToGrid w:val="0"/>
              <w:spacing w:line="240" w:lineRule="auto"/>
              <w:rPr>
                <w:color w:val="000000"/>
                <w:sz w:val="21"/>
                <w:szCs w:val="21"/>
              </w:rPr>
            </w:pPr>
            <w:r>
              <w:rPr>
                <w:rFonts w:hint="eastAsia"/>
                <w:color w:val="000000"/>
                <w:sz w:val="21"/>
                <w:szCs w:val="21"/>
              </w:rPr>
              <w:t>机械噪声</w:t>
            </w:r>
          </w:p>
        </w:tc>
        <w:tc>
          <w:tcPr>
            <w:tcW w:w="878" w:type="pct"/>
            <w:vAlign w:val="center"/>
          </w:tcPr>
          <w:p>
            <w:pPr>
              <w:pStyle w:val="41"/>
              <w:snapToGrid w:val="0"/>
              <w:spacing w:line="240" w:lineRule="auto"/>
              <w:rPr>
                <w:color w:val="000000"/>
                <w:sz w:val="21"/>
                <w:szCs w:val="21"/>
              </w:rPr>
            </w:pPr>
            <w:r>
              <w:rPr>
                <w:rFonts w:hint="eastAsia"/>
                <w:color w:val="000000"/>
                <w:sz w:val="21"/>
                <w:szCs w:val="21"/>
              </w:rPr>
              <w:t>距离衰减、墙壁阻隔等</w:t>
            </w:r>
          </w:p>
        </w:tc>
        <w:tc>
          <w:tcPr>
            <w:tcW w:w="1637" w:type="pct"/>
            <w:vAlign w:val="center"/>
          </w:tcPr>
          <w:p>
            <w:pPr>
              <w:pStyle w:val="41"/>
              <w:snapToGrid w:val="0"/>
              <w:spacing w:line="240" w:lineRule="auto"/>
              <w:rPr>
                <w:color w:val="000000"/>
                <w:sz w:val="21"/>
                <w:szCs w:val="21"/>
              </w:rPr>
            </w:pPr>
            <w:r>
              <w:rPr>
                <w:rFonts w:hint="eastAsia"/>
                <w:color w:val="000000"/>
                <w:sz w:val="21"/>
                <w:szCs w:val="21"/>
              </w:rPr>
              <w:t>《工业企业厂界环境噪声排放标准》（GB12348-2008）中3类标准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37" w:type="pct"/>
            <w:vMerge w:val="restart"/>
            <w:vAlign w:val="center"/>
          </w:tcPr>
          <w:p>
            <w:pPr>
              <w:pStyle w:val="41"/>
              <w:snapToGrid w:val="0"/>
              <w:spacing w:line="240" w:lineRule="auto"/>
              <w:rPr>
                <w:b/>
                <w:bCs/>
                <w:color w:val="000000"/>
                <w:sz w:val="21"/>
                <w:szCs w:val="21"/>
              </w:rPr>
            </w:pPr>
            <w:r>
              <w:rPr>
                <w:b/>
                <w:bCs/>
                <w:color w:val="000000"/>
                <w:sz w:val="21"/>
                <w:szCs w:val="21"/>
              </w:rPr>
              <w:t>固体废物</w:t>
            </w:r>
          </w:p>
        </w:tc>
        <w:tc>
          <w:tcPr>
            <w:tcW w:w="907" w:type="pct"/>
            <w:gridSpan w:val="2"/>
            <w:vMerge w:val="restart"/>
            <w:vAlign w:val="center"/>
          </w:tcPr>
          <w:p>
            <w:pPr>
              <w:pStyle w:val="41"/>
              <w:snapToGrid w:val="0"/>
              <w:spacing w:line="240" w:lineRule="auto"/>
              <w:rPr>
                <w:color w:val="000000"/>
                <w:sz w:val="21"/>
                <w:szCs w:val="21"/>
              </w:rPr>
            </w:pPr>
            <w:r>
              <w:rPr>
                <w:rFonts w:hint="eastAsia"/>
                <w:color w:val="000000"/>
                <w:sz w:val="21"/>
                <w:szCs w:val="21"/>
              </w:rPr>
              <w:t>一般固废间（</w:t>
            </w:r>
            <w:r>
              <w:rPr>
                <w:rFonts w:hint="eastAsia"/>
                <w:color w:val="000000"/>
                <w:sz w:val="21"/>
                <w:szCs w:val="21"/>
                <w:lang w:val="en-US" w:eastAsia="zh-CN"/>
              </w:rPr>
              <w:t>12</w:t>
            </w:r>
            <w:r>
              <w:rPr>
                <w:rFonts w:hint="eastAsia"/>
                <w:color w:val="000000"/>
                <w:sz w:val="21"/>
                <w:szCs w:val="21"/>
              </w:rPr>
              <w:t>0m</w:t>
            </w:r>
            <w:r>
              <w:rPr>
                <w:rFonts w:hint="eastAsia"/>
                <w:color w:val="000000"/>
                <w:sz w:val="21"/>
                <w:szCs w:val="21"/>
                <w:vertAlign w:val="superscript"/>
              </w:rPr>
              <w:t>2</w:t>
            </w:r>
            <w:r>
              <w:rPr>
                <w:rFonts w:hint="eastAsia"/>
                <w:color w:val="000000"/>
                <w:sz w:val="21"/>
                <w:szCs w:val="21"/>
              </w:rPr>
              <w:t>）</w:t>
            </w:r>
          </w:p>
        </w:tc>
        <w:tc>
          <w:tcPr>
            <w:tcW w:w="1039" w:type="pct"/>
            <w:vAlign w:val="center"/>
          </w:tcPr>
          <w:p>
            <w:pPr>
              <w:pStyle w:val="37"/>
              <w:rPr>
                <w:color w:val="000000"/>
              </w:rPr>
            </w:pPr>
            <w:r>
              <w:rPr>
                <w:rFonts w:hint="eastAsia"/>
                <w:color w:val="000000"/>
              </w:rPr>
              <w:t>不合格品</w:t>
            </w:r>
          </w:p>
        </w:tc>
        <w:tc>
          <w:tcPr>
            <w:tcW w:w="878" w:type="pct"/>
            <w:vAlign w:val="center"/>
          </w:tcPr>
          <w:p>
            <w:pPr>
              <w:pStyle w:val="37"/>
              <w:rPr>
                <w:color w:val="000000"/>
              </w:rPr>
            </w:pPr>
            <w:r>
              <w:rPr>
                <w:rFonts w:hint="eastAsia"/>
                <w:color w:val="000000"/>
              </w:rPr>
              <w:t>返回现有厂区已建生产进行维修</w:t>
            </w:r>
          </w:p>
        </w:tc>
        <w:tc>
          <w:tcPr>
            <w:tcW w:w="1637" w:type="pct"/>
            <w:vMerge w:val="restart"/>
            <w:vAlign w:val="center"/>
          </w:tcPr>
          <w:p>
            <w:pPr>
              <w:pStyle w:val="41"/>
              <w:snapToGrid w:val="0"/>
              <w:spacing w:line="240" w:lineRule="auto"/>
              <w:rPr>
                <w:color w:val="000000"/>
                <w:sz w:val="21"/>
                <w:szCs w:val="21"/>
              </w:rPr>
            </w:pPr>
            <w:r>
              <w:rPr>
                <w:rFonts w:hint="eastAsia"/>
                <w:color w:val="000000"/>
                <w:sz w:val="21"/>
                <w:szCs w:val="21"/>
              </w:rPr>
              <w:t>资源化、无害化、减量化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37" w:type="pct"/>
            <w:vMerge w:val="continue"/>
            <w:vAlign w:val="center"/>
          </w:tcPr>
          <w:p>
            <w:pPr>
              <w:pStyle w:val="41"/>
              <w:snapToGrid w:val="0"/>
              <w:spacing w:line="240" w:lineRule="auto"/>
              <w:rPr>
                <w:b/>
                <w:bCs/>
                <w:color w:val="000000"/>
                <w:sz w:val="21"/>
                <w:szCs w:val="21"/>
              </w:rPr>
            </w:pPr>
          </w:p>
        </w:tc>
        <w:tc>
          <w:tcPr>
            <w:tcW w:w="907" w:type="pct"/>
            <w:gridSpan w:val="2"/>
            <w:vMerge w:val="continue"/>
            <w:vAlign w:val="center"/>
          </w:tcPr>
          <w:p>
            <w:pPr>
              <w:pStyle w:val="41"/>
              <w:snapToGrid w:val="0"/>
              <w:spacing w:line="240" w:lineRule="auto"/>
              <w:rPr>
                <w:color w:val="000000"/>
                <w:sz w:val="21"/>
                <w:szCs w:val="21"/>
              </w:rPr>
            </w:pPr>
          </w:p>
        </w:tc>
        <w:tc>
          <w:tcPr>
            <w:tcW w:w="1039" w:type="pct"/>
            <w:vAlign w:val="center"/>
          </w:tcPr>
          <w:p>
            <w:pPr>
              <w:pStyle w:val="37"/>
              <w:rPr>
                <w:color w:val="000000"/>
              </w:rPr>
            </w:pPr>
            <w:r>
              <w:rPr>
                <w:rFonts w:hint="eastAsia"/>
                <w:color w:val="000000"/>
              </w:rPr>
              <w:t>金属碎屑、废包装材料、布袋收集尘</w:t>
            </w:r>
          </w:p>
        </w:tc>
        <w:tc>
          <w:tcPr>
            <w:tcW w:w="878" w:type="pct"/>
            <w:vAlign w:val="center"/>
          </w:tcPr>
          <w:p>
            <w:pPr>
              <w:pStyle w:val="37"/>
              <w:rPr>
                <w:color w:val="000000"/>
              </w:rPr>
            </w:pPr>
            <w:r>
              <w:rPr>
                <w:rFonts w:hint="eastAsia"/>
                <w:color w:val="000000"/>
              </w:rPr>
              <w:t>外售综合利用</w:t>
            </w:r>
          </w:p>
        </w:tc>
        <w:tc>
          <w:tcPr>
            <w:tcW w:w="1637" w:type="pct"/>
            <w:vMerge w:val="continue"/>
            <w:vAlign w:val="center"/>
          </w:tcPr>
          <w:p>
            <w:pPr>
              <w:pStyle w:val="41"/>
              <w:snapToGrid w:val="0"/>
              <w:spacing w:line="240" w:lineRule="auto"/>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37" w:type="pct"/>
            <w:vMerge w:val="continue"/>
            <w:vAlign w:val="center"/>
          </w:tcPr>
          <w:p>
            <w:pPr>
              <w:pStyle w:val="41"/>
              <w:snapToGrid w:val="0"/>
              <w:spacing w:line="240" w:lineRule="auto"/>
              <w:rPr>
                <w:b/>
                <w:bCs/>
                <w:color w:val="000000"/>
                <w:sz w:val="21"/>
                <w:szCs w:val="21"/>
              </w:rPr>
            </w:pPr>
          </w:p>
        </w:tc>
        <w:tc>
          <w:tcPr>
            <w:tcW w:w="907" w:type="pct"/>
            <w:gridSpan w:val="2"/>
            <w:vMerge w:val="continue"/>
            <w:vAlign w:val="center"/>
          </w:tcPr>
          <w:p>
            <w:pPr>
              <w:pStyle w:val="41"/>
              <w:snapToGrid w:val="0"/>
              <w:spacing w:line="240" w:lineRule="auto"/>
              <w:rPr>
                <w:color w:val="000000"/>
                <w:sz w:val="21"/>
                <w:szCs w:val="21"/>
              </w:rPr>
            </w:pPr>
          </w:p>
        </w:tc>
        <w:tc>
          <w:tcPr>
            <w:tcW w:w="1039" w:type="pct"/>
            <w:vAlign w:val="center"/>
          </w:tcPr>
          <w:p>
            <w:pPr>
              <w:pStyle w:val="37"/>
              <w:rPr>
                <w:color w:val="000000"/>
              </w:rPr>
            </w:pPr>
            <w:r>
              <w:rPr>
                <w:rFonts w:hint="eastAsia"/>
                <w:color w:val="000000"/>
              </w:rPr>
              <w:t>废布袋</w:t>
            </w:r>
          </w:p>
        </w:tc>
        <w:tc>
          <w:tcPr>
            <w:tcW w:w="878" w:type="pct"/>
            <w:vAlign w:val="center"/>
          </w:tcPr>
          <w:p>
            <w:pPr>
              <w:pStyle w:val="37"/>
              <w:rPr>
                <w:color w:val="000000"/>
              </w:rPr>
            </w:pPr>
            <w:r>
              <w:rPr>
                <w:rFonts w:hint="eastAsia"/>
                <w:color w:val="000000"/>
              </w:rPr>
              <w:t>厂商回收处理</w:t>
            </w:r>
          </w:p>
        </w:tc>
        <w:tc>
          <w:tcPr>
            <w:tcW w:w="1637" w:type="pct"/>
            <w:vMerge w:val="continue"/>
            <w:vAlign w:val="center"/>
          </w:tcPr>
          <w:p>
            <w:pPr>
              <w:pStyle w:val="41"/>
              <w:snapToGrid w:val="0"/>
              <w:spacing w:line="240" w:lineRule="auto"/>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37" w:type="pct"/>
            <w:vMerge w:val="continue"/>
            <w:vAlign w:val="center"/>
          </w:tcPr>
          <w:p>
            <w:pPr>
              <w:pStyle w:val="41"/>
              <w:snapToGrid w:val="0"/>
              <w:spacing w:line="240" w:lineRule="auto"/>
              <w:rPr>
                <w:b/>
                <w:bCs/>
                <w:color w:val="000000"/>
                <w:sz w:val="21"/>
                <w:szCs w:val="21"/>
              </w:rPr>
            </w:pPr>
          </w:p>
        </w:tc>
        <w:tc>
          <w:tcPr>
            <w:tcW w:w="907" w:type="pct"/>
            <w:gridSpan w:val="2"/>
            <w:vMerge w:val="continue"/>
            <w:vAlign w:val="center"/>
          </w:tcPr>
          <w:p>
            <w:pPr>
              <w:pStyle w:val="41"/>
              <w:snapToGrid w:val="0"/>
              <w:spacing w:line="240" w:lineRule="auto"/>
              <w:rPr>
                <w:color w:val="000000"/>
                <w:sz w:val="21"/>
                <w:szCs w:val="21"/>
              </w:rPr>
            </w:pPr>
          </w:p>
        </w:tc>
        <w:tc>
          <w:tcPr>
            <w:tcW w:w="1039" w:type="pct"/>
            <w:vAlign w:val="center"/>
          </w:tcPr>
          <w:p>
            <w:pPr>
              <w:pStyle w:val="37"/>
              <w:rPr>
                <w:color w:val="000000"/>
              </w:rPr>
            </w:pPr>
            <w:r>
              <w:rPr>
                <w:rFonts w:hint="eastAsia"/>
                <w:color w:val="000000"/>
              </w:rPr>
              <w:t>地面清扫尘</w:t>
            </w:r>
          </w:p>
        </w:tc>
        <w:tc>
          <w:tcPr>
            <w:tcW w:w="878" w:type="pct"/>
            <w:vAlign w:val="center"/>
          </w:tcPr>
          <w:p>
            <w:pPr>
              <w:pStyle w:val="37"/>
              <w:rPr>
                <w:color w:val="000000"/>
              </w:rPr>
            </w:pPr>
            <w:r>
              <w:rPr>
                <w:rFonts w:hint="eastAsia"/>
                <w:color w:val="000000"/>
              </w:rPr>
              <w:t>交由环卫部门处理</w:t>
            </w:r>
          </w:p>
        </w:tc>
        <w:tc>
          <w:tcPr>
            <w:tcW w:w="1637" w:type="pct"/>
            <w:vMerge w:val="continue"/>
            <w:vAlign w:val="center"/>
          </w:tcPr>
          <w:p>
            <w:pPr>
              <w:pStyle w:val="41"/>
              <w:snapToGrid w:val="0"/>
              <w:spacing w:line="240" w:lineRule="auto"/>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37" w:type="pct"/>
            <w:vMerge w:val="continue"/>
            <w:vAlign w:val="center"/>
          </w:tcPr>
          <w:p>
            <w:pPr>
              <w:pStyle w:val="41"/>
              <w:snapToGrid w:val="0"/>
              <w:spacing w:line="240" w:lineRule="auto"/>
              <w:rPr>
                <w:color w:val="000000"/>
                <w:sz w:val="21"/>
                <w:szCs w:val="21"/>
              </w:rPr>
            </w:pPr>
          </w:p>
        </w:tc>
        <w:tc>
          <w:tcPr>
            <w:tcW w:w="907" w:type="pct"/>
            <w:gridSpan w:val="2"/>
            <w:vAlign w:val="center"/>
          </w:tcPr>
          <w:p>
            <w:pPr>
              <w:pStyle w:val="41"/>
              <w:snapToGrid w:val="0"/>
              <w:spacing w:line="240" w:lineRule="auto"/>
              <w:rPr>
                <w:color w:val="000000"/>
                <w:sz w:val="21"/>
                <w:szCs w:val="21"/>
              </w:rPr>
            </w:pPr>
            <w:r>
              <w:rPr>
                <w:rFonts w:hint="eastAsia"/>
                <w:color w:val="000000"/>
                <w:sz w:val="21"/>
                <w:szCs w:val="21"/>
              </w:rPr>
              <w:t>危废暂存间（3</w:t>
            </w:r>
            <w:r>
              <w:rPr>
                <w:rFonts w:hint="eastAsia"/>
                <w:color w:val="000000"/>
                <w:sz w:val="21"/>
                <w:szCs w:val="21"/>
                <w:lang w:val="en-US" w:eastAsia="zh-CN"/>
              </w:rPr>
              <w:t>2</w:t>
            </w:r>
            <w:r>
              <w:rPr>
                <w:rFonts w:hint="eastAsia"/>
                <w:color w:val="000000"/>
                <w:sz w:val="21"/>
                <w:szCs w:val="21"/>
              </w:rPr>
              <w:t>0m</w:t>
            </w:r>
            <w:r>
              <w:rPr>
                <w:rFonts w:hint="eastAsia"/>
                <w:color w:val="000000"/>
                <w:sz w:val="21"/>
                <w:szCs w:val="21"/>
                <w:vertAlign w:val="superscript"/>
              </w:rPr>
              <w:t>2</w:t>
            </w:r>
            <w:r>
              <w:rPr>
                <w:rFonts w:hint="eastAsia"/>
                <w:color w:val="000000"/>
                <w:sz w:val="21"/>
                <w:szCs w:val="21"/>
              </w:rPr>
              <w:t>）</w:t>
            </w:r>
          </w:p>
        </w:tc>
        <w:tc>
          <w:tcPr>
            <w:tcW w:w="1039" w:type="pct"/>
            <w:vAlign w:val="center"/>
          </w:tcPr>
          <w:p>
            <w:pPr>
              <w:pStyle w:val="41"/>
              <w:snapToGrid w:val="0"/>
              <w:spacing w:line="240" w:lineRule="auto"/>
              <w:rPr>
                <w:color w:val="000000"/>
                <w:sz w:val="21"/>
                <w:szCs w:val="21"/>
              </w:rPr>
            </w:pPr>
            <w:r>
              <w:rPr>
                <w:rFonts w:hint="eastAsia"/>
                <w:color w:val="000000"/>
                <w:sz w:val="21"/>
                <w:szCs w:val="21"/>
              </w:rPr>
              <w:t>废劳保品、废机油及废机油瓶</w:t>
            </w:r>
          </w:p>
        </w:tc>
        <w:tc>
          <w:tcPr>
            <w:tcW w:w="878" w:type="pct"/>
            <w:vAlign w:val="center"/>
          </w:tcPr>
          <w:p>
            <w:pPr>
              <w:pStyle w:val="41"/>
              <w:snapToGrid w:val="0"/>
              <w:spacing w:line="240" w:lineRule="auto"/>
              <w:rPr>
                <w:color w:val="000000"/>
                <w:sz w:val="21"/>
                <w:szCs w:val="21"/>
              </w:rPr>
            </w:pPr>
            <w:r>
              <w:rPr>
                <w:rFonts w:hint="eastAsia"/>
                <w:color w:val="000000"/>
                <w:sz w:val="21"/>
                <w:szCs w:val="21"/>
              </w:rPr>
              <w:t>交由有危废资质单位处理</w:t>
            </w:r>
          </w:p>
        </w:tc>
        <w:tc>
          <w:tcPr>
            <w:tcW w:w="1637" w:type="pct"/>
            <w:vMerge w:val="continue"/>
            <w:vAlign w:val="center"/>
          </w:tcPr>
          <w:p>
            <w:pPr>
              <w:pStyle w:val="41"/>
              <w:snapToGrid w:val="0"/>
              <w:spacing w:line="240" w:lineRule="auto"/>
              <w:rPr>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2" w:hRule="atLeast"/>
          <w:jc w:val="center"/>
        </w:trPr>
        <w:tc>
          <w:tcPr>
            <w:tcW w:w="537" w:type="pct"/>
            <w:vAlign w:val="center"/>
          </w:tcPr>
          <w:p>
            <w:pPr>
              <w:pStyle w:val="41"/>
              <w:snapToGrid w:val="0"/>
              <w:spacing w:line="240" w:lineRule="auto"/>
              <w:rPr>
                <w:b/>
                <w:bCs/>
                <w:color w:val="000000"/>
                <w:sz w:val="21"/>
                <w:szCs w:val="21"/>
              </w:rPr>
            </w:pPr>
            <w:r>
              <w:rPr>
                <w:b/>
                <w:bCs/>
                <w:color w:val="000000"/>
                <w:sz w:val="21"/>
                <w:szCs w:val="21"/>
              </w:rPr>
              <w:t>土壤及地下水</w:t>
            </w:r>
          </w:p>
          <w:p>
            <w:pPr>
              <w:pStyle w:val="41"/>
              <w:snapToGrid w:val="0"/>
              <w:spacing w:line="240" w:lineRule="auto"/>
              <w:rPr>
                <w:b/>
                <w:bCs/>
                <w:color w:val="000000"/>
                <w:sz w:val="21"/>
                <w:szCs w:val="21"/>
              </w:rPr>
            </w:pPr>
            <w:r>
              <w:rPr>
                <w:b/>
                <w:bCs/>
                <w:color w:val="000000"/>
                <w:sz w:val="21"/>
                <w:szCs w:val="21"/>
              </w:rPr>
              <w:t>污染防治措施</w:t>
            </w:r>
          </w:p>
        </w:tc>
        <w:tc>
          <w:tcPr>
            <w:tcW w:w="4462" w:type="pct"/>
            <w:gridSpan w:val="5"/>
            <w:vAlign w:val="center"/>
          </w:tcPr>
          <w:p>
            <w:pPr>
              <w:ind w:firstLine="420"/>
              <w:rPr>
                <w:rFonts w:ascii="宋体" w:hAnsi="宋体"/>
                <w:color w:val="000000"/>
                <w:sz w:val="21"/>
                <w:szCs w:val="21"/>
              </w:rPr>
            </w:pPr>
            <w:r>
              <w:rPr>
                <w:rFonts w:hint="eastAsia" w:ascii="宋体" w:hAnsi="宋体"/>
                <w:color w:val="000000"/>
                <w:sz w:val="21"/>
                <w:szCs w:val="21"/>
              </w:rPr>
              <w:t>1、完善污、雨水的收集设施，废水通过专用管道收集排放，在废水收集设施的设计施工中严格执行高标准防渗措施，防止废水泄漏；</w:t>
            </w:r>
          </w:p>
          <w:p>
            <w:pPr>
              <w:ind w:firstLine="420"/>
              <w:rPr>
                <w:rFonts w:ascii="宋体" w:hAnsi="宋体"/>
                <w:color w:val="000000"/>
                <w:sz w:val="21"/>
                <w:szCs w:val="21"/>
              </w:rPr>
            </w:pPr>
            <w:r>
              <w:rPr>
                <w:rFonts w:hint="eastAsia" w:ascii="宋体" w:hAnsi="宋体"/>
                <w:color w:val="000000"/>
                <w:sz w:val="21"/>
                <w:szCs w:val="21"/>
              </w:rPr>
              <w:t>2、加强日常环境管理，管网维护、日常巡查、对易腐蚀的管网及附属设施等采取防腐蚀措施，严格控制设备和管道的跑、冒、滴、漏现象；</w:t>
            </w:r>
          </w:p>
          <w:p>
            <w:pPr>
              <w:ind w:firstLine="420"/>
              <w:rPr>
                <w:rFonts w:ascii="宋体" w:hAnsi="宋体"/>
                <w:color w:val="000000"/>
                <w:sz w:val="21"/>
                <w:szCs w:val="21"/>
              </w:rPr>
            </w:pPr>
            <w:r>
              <w:rPr>
                <w:rFonts w:hint="eastAsia" w:ascii="宋体" w:hAnsi="宋体"/>
                <w:color w:val="000000"/>
                <w:sz w:val="21"/>
                <w:szCs w:val="21"/>
              </w:rPr>
              <w:t>3、各类固体废物进行分类收集后存放于专门的储存场所内，对危险固废间采取防雨、防渗、防腐等措施，生产车间地面采用混凝土硬化；一般固废和危废均应暂存于一般固废暂存间和危废暂存间内，不设置露天堆场，并采取水泥硬化，危废暂存间地面采取防腐防渗措施，按《危险废物贮存污染控制标准》（GB18597-2023）要求建设，一般工业固体废物贮存过程应满足相应防渗漏、防雨淋、防扬尘等环境保护要求。</w:t>
            </w:r>
          </w:p>
          <w:p>
            <w:pPr>
              <w:ind w:firstLine="420"/>
              <w:rPr>
                <w:rFonts w:ascii="宋体" w:hAnsi="宋体"/>
                <w:color w:val="000000"/>
                <w:sz w:val="21"/>
                <w:szCs w:val="21"/>
              </w:rPr>
            </w:pPr>
            <w:r>
              <w:rPr>
                <w:rFonts w:hint="eastAsia" w:ascii="宋体" w:hAnsi="宋体"/>
                <w:color w:val="000000"/>
                <w:sz w:val="21"/>
                <w:szCs w:val="21"/>
              </w:rPr>
              <w:t>4、厂区内严格落实各项防渗、防雨、防晒等措施；</w:t>
            </w:r>
          </w:p>
          <w:p>
            <w:pPr>
              <w:ind w:firstLine="420"/>
              <w:rPr>
                <w:rFonts w:ascii="宋体" w:hAnsi="宋体"/>
                <w:color w:val="000000"/>
                <w:szCs w:val="21"/>
              </w:rPr>
            </w:pPr>
            <w:r>
              <w:rPr>
                <w:rFonts w:hint="eastAsia" w:ascii="宋体" w:hAnsi="宋体"/>
                <w:color w:val="000000"/>
                <w:sz w:val="21"/>
                <w:szCs w:val="21"/>
              </w:rPr>
              <w:t>5、对项目所在区域划分为重点防渗区（危废暂存库）、一般防渗区（生产车间、一般固废间）、简单防渗（其他地面）等。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5" w:hRule="atLeast"/>
          <w:jc w:val="center"/>
        </w:trPr>
        <w:tc>
          <w:tcPr>
            <w:tcW w:w="537" w:type="pct"/>
            <w:vAlign w:val="center"/>
          </w:tcPr>
          <w:p>
            <w:pPr>
              <w:pStyle w:val="41"/>
              <w:snapToGrid w:val="0"/>
              <w:spacing w:line="240" w:lineRule="auto"/>
              <w:rPr>
                <w:b/>
                <w:bCs/>
                <w:color w:val="000000"/>
                <w:sz w:val="21"/>
                <w:szCs w:val="21"/>
              </w:rPr>
            </w:pPr>
            <w:r>
              <w:rPr>
                <w:b/>
                <w:bCs/>
                <w:color w:val="000000"/>
                <w:sz w:val="21"/>
                <w:szCs w:val="21"/>
              </w:rPr>
              <w:t>生态保护措施</w:t>
            </w:r>
          </w:p>
        </w:tc>
        <w:tc>
          <w:tcPr>
            <w:tcW w:w="4462" w:type="pct"/>
            <w:gridSpan w:val="5"/>
          </w:tcPr>
          <w:p>
            <w:pPr>
              <w:ind w:firstLine="420"/>
              <w:rPr>
                <w:rFonts w:ascii="宋体" w:hAnsi="宋体"/>
                <w:color w:val="000000"/>
                <w:sz w:val="21"/>
                <w:szCs w:val="21"/>
              </w:rPr>
            </w:pPr>
            <w:r>
              <w:rPr>
                <w:rFonts w:hint="eastAsia" w:ascii="宋体" w:hAnsi="宋体"/>
                <w:color w:val="000000"/>
                <w:sz w:val="21"/>
                <w:szCs w:val="21"/>
              </w:rPr>
              <w:t>做好厂区绿化工作，以吸收有害气体和颗粒物，达到净化大气环境、滞尘降噪的效果；做好外排水的达标排放工作，以减少对纳污河段水质的影响；妥善处置固体废物，杜绝二次污染。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00" w:hRule="atLeast"/>
          <w:jc w:val="center"/>
        </w:trPr>
        <w:tc>
          <w:tcPr>
            <w:tcW w:w="537" w:type="pct"/>
            <w:vAlign w:val="center"/>
          </w:tcPr>
          <w:p>
            <w:pPr>
              <w:pStyle w:val="41"/>
              <w:snapToGrid w:val="0"/>
              <w:spacing w:line="240" w:lineRule="auto"/>
              <w:rPr>
                <w:b/>
                <w:bCs/>
                <w:color w:val="000000"/>
                <w:sz w:val="21"/>
                <w:szCs w:val="21"/>
              </w:rPr>
            </w:pPr>
            <w:r>
              <w:rPr>
                <w:b/>
                <w:bCs/>
                <w:color w:val="000000"/>
                <w:sz w:val="21"/>
                <w:szCs w:val="21"/>
              </w:rPr>
              <w:t>环境风险防范措施</w:t>
            </w:r>
          </w:p>
        </w:tc>
        <w:tc>
          <w:tcPr>
            <w:tcW w:w="4462" w:type="pct"/>
            <w:gridSpan w:val="5"/>
          </w:tcPr>
          <w:p>
            <w:pPr>
              <w:ind w:firstLine="420"/>
              <w:rPr>
                <w:rFonts w:ascii="宋体" w:hAnsi="宋体"/>
                <w:color w:val="000000"/>
                <w:sz w:val="21"/>
                <w:szCs w:val="21"/>
              </w:rPr>
            </w:pPr>
            <w:r>
              <w:rPr>
                <w:rFonts w:hint="eastAsia" w:ascii="宋体" w:hAnsi="宋体"/>
                <w:color w:val="000000"/>
                <w:sz w:val="21"/>
                <w:szCs w:val="21"/>
              </w:rPr>
              <w:t>1、严格执行危废转移联单制度，加强管理，预防事故发生；</w:t>
            </w:r>
          </w:p>
          <w:p>
            <w:pPr>
              <w:ind w:firstLine="420"/>
              <w:rPr>
                <w:rFonts w:ascii="宋体" w:hAnsi="宋体"/>
                <w:color w:val="000000"/>
                <w:sz w:val="21"/>
                <w:szCs w:val="21"/>
              </w:rPr>
            </w:pPr>
            <w:r>
              <w:rPr>
                <w:rFonts w:hint="eastAsia" w:ascii="宋体" w:hAnsi="宋体"/>
                <w:color w:val="000000"/>
                <w:sz w:val="21"/>
                <w:szCs w:val="21"/>
              </w:rPr>
              <w:t>2、事故废水环境风险防范应明确“单元—厂区—园区/区域”的环境风险防控体系要求；</w:t>
            </w:r>
          </w:p>
          <w:p>
            <w:pPr>
              <w:ind w:firstLine="420"/>
              <w:rPr>
                <w:rFonts w:ascii="宋体" w:hAnsi="宋体"/>
                <w:color w:val="000000"/>
                <w:sz w:val="21"/>
                <w:szCs w:val="21"/>
              </w:rPr>
            </w:pPr>
            <w:r>
              <w:rPr>
                <w:rFonts w:hint="eastAsia" w:ascii="宋体" w:hAnsi="宋体"/>
                <w:color w:val="000000"/>
                <w:sz w:val="21"/>
                <w:szCs w:val="21"/>
              </w:rPr>
              <w:t>3、平时加强废气处理设施的维护保养，及时发现处理设备的隐患，并及时进行维修，确保废气处理系统正常运行，若遇到非正常排放无法及时处理时，必须停产检修，避免非正常排放对环境造成不利影响；</w:t>
            </w:r>
          </w:p>
          <w:p>
            <w:pPr>
              <w:ind w:firstLine="420"/>
              <w:rPr>
                <w:rFonts w:ascii="宋体" w:hAnsi="宋体"/>
                <w:color w:val="000000"/>
                <w:sz w:val="21"/>
                <w:szCs w:val="21"/>
              </w:rPr>
            </w:pPr>
            <w:r>
              <w:rPr>
                <w:rFonts w:hint="eastAsia" w:ascii="宋体" w:hAnsi="宋体"/>
                <w:color w:val="000000"/>
                <w:sz w:val="21"/>
                <w:szCs w:val="21"/>
              </w:rPr>
              <w:t>4、在厂区内醒目处应设置大型风标，便于情况紧急时指示撤离方向，平时需制定抢险预案；</w:t>
            </w:r>
          </w:p>
          <w:p>
            <w:pPr>
              <w:ind w:firstLine="420"/>
              <w:rPr>
                <w:rFonts w:ascii="宋体" w:hAnsi="宋体"/>
                <w:color w:val="000000"/>
                <w:sz w:val="21"/>
                <w:szCs w:val="21"/>
              </w:rPr>
            </w:pPr>
            <w:r>
              <w:rPr>
                <w:rFonts w:hint="eastAsia" w:ascii="宋体" w:hAnsi="宋体"/>
                <w:color w:val="000000"/>
                <w:sz w:val="21"/>
                <w:szCs w:val="21"/>
              </w:rPr>
              <w:t>5、按照“源头控制、分区防控、污染监控、应急响应”相结合的原则，从污染物的产生、入渗、扩散、应急响应全方位进行防控。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54" w:hRule="atLeast"/>
          <w:jc w:val="center"/>
        </w:trPr>
        <w:tc>
          <w:tcPr>
            <w:tcW w:w="537" w:type="pct"/>
            <w:vAlign w:val="center"/>
          </w:tcPr>
          <w:p>
            <w:pPr>
              <w:pStyle w:val="41"/>
              <w:snapToGrid w:val="0"/>
              <w:spacing w:line="240" w:lineRule="auto"/>
              <w:rPr>
                <w:b/>
                <w:bCs/>
                <w:color w:val="000000"/>
                <w:sz w:val="21"/>
                <w:szCs w:val="21"/>
              </w:rPr>
            </w:pPr>
            <w:r>
              <w:rPr>
                <w:b/>
                <w:bCs/>
                <w:color w:val="000000"/>
                <w:sz w:val="21"/>
                <w:szCs w:val="21"/>
              </w:rPr>
              <w:t>其他环境管理要求</w:t>
            </w:r>
          </w:p>
        </w:tc>
        <w:tc>
          <w:tcPr>
            <w:tcW w:w="4462" w:type="pct"/>
            <w:gridSpan w:val="5"/>
          </w:tcPr>
          <w:p>
            <w:pPr>
              <w:ind w:firstLine="420"/>
              <w:rPr>
                <w:rFonts w:ascii="宋体" w:hAnsi="宋体"/>
                <w:color w:val="000000"/>
                <w:sz w:val="21"/>
                <w:szCs w:val="21"/>
              </w:rPr>
            </w:pPr>
            <w:r>
              <w:rPr>
                <w:rFonts w:hint="eastAsia" w:ascii="宋体" w:hAnsi="宋体"/>
                <w:color w:val="000000"/>
                <w:sz w:val="21"/>
                <w:szCs w:val="21"/>
              </w:rPr>
              <w:t>1、配置环境风险应急物资，加强员工安全培训强度，安排专人负责环保设施正常运行，定期检修环保设施。</w:t>
            </w:r>
          </w:p>
          <w:p>
            <w:pPr>
              <w:ind w:firstLine="420"/>
              <w:rPr>
                <w:rFonts w:ascii="宋体" w:hAnsi="宋体"/>
                <w:color w:val="000000"/>
                <w:sz w:val="21"/>
                <w:szCs w:val="21"/>
              </w:rPr>
            </w:pPr>
            <w:r>
              <w:rPr>
                <w:rFonts w:hint="eastAsia" w:ascii="宋体" w:hAnsi="宋体"/>
                <w:color w:val="000000"/>
                <w:sz w:val="21"/>
                <w:szCs w:val="21"/>
              </w:rPr>
              <w:t>2、管理机构</w:t>
            </w:r>
          </w:p>
          <w:p>
            <w:pPr>
              <w:ind w:firstLine="420"/>
              <w:rPr>
                <w:rFonts w:ascii="宋体" w:hAnsi="宋体"/>
                <w:color w:val="000000"/>
                <w:sz w:val="21"/>
                <w:szCs w:val="21"/>
              </w:rPr>
            </w:pPr>
            <w:r>
              <w:rPr>
                <w:rFonts w:hint="eastAsia" w:ascii="宋体" w:hAnsi="宋体"/>
                <w:color w:val="000000"/>
                <w:sz w:val="21"/>
                <w:szCs w:val="21"/>
              </w:rPr>
              <w:t>实验室设置的环保科负责项目运行期的环境管理工作，与当地环保部门及其授权监测部门保持密切联系，直接监管企业污染物的排放情况，并对其逐步实施总量控制；对超标排放及污染事故、纠纷进行处理。</w:t>
            </w:r>
          </w:p>
          <w:p>
            <w:pPr>
              <w:ind w:firstLine="420"/>
              <w:rPr>
                <w:rFonts w:ascii="宋体" w:hAnsi="宋体"/>
                <w:color w:val="000000"/>
                <w:sz w:val="21"/>
                <w:szCs w:val="21"/>
              </w:rPr>
            </w:pPr>
            <w:r>
              <w:rPr>
                <w:rFonts w:hint="eastAsia" w:ascii="宋体" w:hAnsi="宋体"/>
                <w:color w:val="000000"/>
                <w:sz w:val="21"/>
                <w:szCs w:val="21"/>
              </w:rPr>
              <w:t>3、运行期环境职责</w:t>
            </w:r>
          </w:p>
          <w:p>
            <w:pPr>
              <w:ind w:firstLine="420"/>
              <w:rPr>
                <w:rFonts w:ascii="宋体" w:hAnsi="宋体"/>
                <w:color w:val="000000"/>
                <w:sz w:val="21"/>
                <w:szCs w:val="21"/>
              </w:rPr>
            </w:pPr>
            <w:r>
              <w:rPr>
                <w:rFonts w:hint="eastAsia" w:ascii="宋体" w:hAnsi="宋体"/>
                <w:color w:val="000000"/>
                <w:sz w:val="21"/>
                <w:szCs w:val="21"/>
              </w:rPr>
              <w:t>由分管环境的专人负责环保指标的落实，将环保指标逐级分解到车间、班组和个人，负责环保设备的运转和维护，确保其正常运转和达标排放，充分发挥其作用；配合监测部门进行日常环境监测，记录并及时上报污染源及环保措施运行动态。</w:t>
            </w:r>
          </w:p>
          <w:p>
            <w:pPr>
              <w:ind w:firstLine="420"/>
              <w:rPr>
                <w:rFonts w:ascii="宋体" w:hAnsi="宋体"/>
                <w:color w:val="000000"/>
                <w:sz w:val="21"/>
                <w:szCs w:val="21"/>
              </w:rPr>
            </w:pPr>
            <w:r>
              <w:rPr>
                <w:rFonts w:hint="eastAsia" w:ascii="宋体" w:hAnsi="宋体"/>
                <w:color w:val="000000"/>
                <w:sz w:val="21"/>
                <w:szCs w:val="21"/>
              </w:rPr>
              <w:t>4、环境监测</w:t>
            </w:r>
          </w:p>
          <w:p>
            <w:pPr>
              <w:ind w:firstLine="420"/>
              <w:rPr>
                <w:rFonts w:ascii="宋体" w:hAnsi="宋体"/>
                <w:color w:val="000000"/>
                <w:sz w:val="21"/>
                <w:szCs w:val="21"/>
              </w:rPr>
            </w:pPr>
            <w:r>
              <w:rPr>
                <w:rFonts w:hint="eastAsia" w:ascii="宋体" w:hAnsi="宋体"/>
                <w:color w:val="000000"/>
                <w:sz w:val="21"/>
                <w:szCs w:val="21"/>
              </w:rPr>
              <w:t>环境监测是企业环境管理必不可少的一部分，也是环境管理规范化的重要手段，其对企业主要污染物进行监测分析、资料整理、编制报表、建立技术档案，为上级环保部门进行环境规划、管理及执法提供依据。</w:t>
            </w:r>
          </w:p>
          <w:p>
            <w:pPr>
              <w:ind w:firstLine="420"/>
              <w:rPr>
                <w:rFonts w:ascii="宋体" w:hAnsi="宋体"/>
                <w:color w:val="000000"/>
                <w:sz w:val="21"/>
                <w:szCs w:val="21"/>
              </w:rPr>
            </w:pPr>
            <w:r>
              <w:rPr>
                <w:rFonts w:hint="eastAsia" w:ascii="宋体" w:hAnsi="宋体"/>
                <w:color w:val="000000"/>
                <w:sz w:val="21"/>
                <w:szCs w:val="21"/>
              </w:rPr>
              <w:t>5、排污许可申报要求</w:t>
            </w:r>
          </w:p>
          <w:p>
            <w:pPr>
              <w:ind w:firstLine="420"/>
              <w:rPr>
                <w:rFonts w:ascii="宋体" w:hAnsi="宋体"/>
                <w:color w:val="000000"/>
                <w:sz w:val="21"/>
                <w:szCs w:val="21"/>
              </w:rPr>
            </w:pPr>
            <w:r>
              <w:rPr>
                <w:rFonts w:hint="eastAsia" w:ascii="宋体" w:hAnsi="宋体"/>
                <w:color w:val="000000"/>
                <w:sz w:val="21"/>
                <w:szCs w:val="21"/>
              </w:rPr>
              <w:t>根据《国务院办公厅关于印发控制污染物排放许可制实施方案的通知》（国办发[</w:t>
            </w:r>
            <w:r>
              <w:rPr>
                <w:rFonts w:ascii="宋体" w:hAnsi="宋体"/>
                <w:color w:val="000000"/>
                <w:sz w:val="21"/>
                <w:szCs w:val="21"/>
              </w:rPr>
              <w:t>2016</w:t>
            </w:r>
            <w:r>
              <w:rPr>
                <w:rFonts w:hint="eastAsia" w:ascii="宋体" w:hAnsi="宋体"/>
                <w:color w:val="000000"/>
                <w:sz w:val="21"/>
                <w:szCs w:val="21"/>
              </w:rPr>
              <w:t>]</w:t>
            </w:r>
            <w:r>
              <w:rPr>
                <w:rFonts w:ascii="宋体" w:hAnsi="宋体"/>
                <w:color w:val="000000"/>
                <w:sz w:val="21"/>
                <w:szCs w:val="21"/>
              </w:rPr>
              <w:t>81</w:t>
            </w:r>
            <w:r>
              <w:rPr>
                <w:rFonts w:hint="eastAsia" w:ascii="宋体" w:hAnsi="宋体"/>
                <w:color w:val="000000"/>
                <w:sz w:val="21"/>
                <w:szCs w:val="21"/>
              </w:rPr>
              <w:t>号）和《排污许可管理办法（试行）》（环境保护部令第</w:t>
            </w:r>
            <w:r>
              <w:rPr>
                <w:rFonts w:ascii="宋体" w:hAnsi="宋体"/>
                <w:color w:val="000000"/>
                <w:sz w:val="21"/>
                <w:szCs w:val="21"/>
              </w:rPr>
              <w:t>48</w:t>
            </w:r>
            <w:r>
              <w:rPr>
                <w:rFonts w:hint="eastAsia" w:ascii="宋体" w:hAnsi="宋体"/>
                <w:color w:val="000000"/>
                <w:sz w:val="21"/>
                <w:szCs w:val="21"/>
              </w:rPr>
              <w:t>号），排污单位应当依法持有排污许可证，并按照排污许可证的规定排放污染物。应当取得排污许可证而未取得的，不得排放污染物。</w:t>
            </w:r>
          </w:p>
          <w:p>
            <w:pPr>
              <w:ind w:firstLine="420"/>
              <w:rPr>
                <w:rFonts w:ascii="宋体" w:hAnsi="宋体"/>
                <w:color w:val="000000"/>
                <w:sz w:val="21"/>
                <w:szCs w:val="21"/>
              </w:rPr>
            </w:pPr>
            <w:r>
              <w:rPr>
                <w:rFonts w:hint="eastAsia" w:ascii="宋体" w:hAnsi="宋体"/>
                <w:color w:val="000000"/>
                <w:sz w:val="21"/>
                <w:szCs w:val="21"/>
              </w:rPr>
              <w:t>6、企业排污口规范化整治</w:t>
            </w:r>
          </w:p>
          <w:p>
            <w:pPr>
              <w:ind w:firstLine="420"/>
              <w:rPr>
                <w:color w:val="000000"/>
                <w:sz w:val="21"/>
                <w:szCs w:val="21"/>
              </w:rPr>
            </w:pPr>
            <w:r>
              <w:rPr>
                <w:rFonts w:hint="eastAsia" w:ascii="宋体" w:hAnsi="宋体"/>
                <w:color w:val="000000"/>
                <w:sz w:val="21"/>
                <w:szCs w:val="21"/>
              </w:rPr>
              <w:t>建设单位在投产时，各类排污口必须规范化建设和管理，而且规范化工作应与污染治理同步实施，并列入污染物治理设施的验收内容。</w:t>
            </w:r>
          </w:p>
        </w:tc>
      </w:tr>
    </w:tbl>
    <w:p>
      <w:pPr>
        <w:pStyle w:val="24"/>
        <w:snapToGrid w:val="0"/>
        <w:spacing w:before="0" w:beforeAutospacing="0" w:afterLines="100" w:afterAutospacing="0"/>
        <w:ind w:firstLine="480"/>
        <w:jc w:val="center"/>
        <w:outlineLvl w:val="0"/>
        <w:rPr>
          <w:rFonts w:ascii="Times New Roman" w:hAnsi="Times New Roman"/>
          <w:b/>
          <w:bCs/>
          <w:snapToGrid w:val="0"/>
          <w:color w:val="000000"/>
          <w:sz w:val="30"/>
          <w:szCs w:val="30"/>
        </w:rPr>
      </w:pPr>
      <w:r>
        <w:rPr>
          <w:rFonts w:ascii="Times New Roman" w:hAnsi="Times New Roman"/>
          <w:snapToGrid w:val="0"/>
          <w:color w:val="000000"/>
        </w:rPr>
        <w:br w:type="page"/>
      </w:r>
      <w:r>
        <w:rPr>
          <w:rFonts w:ascii="Times New Roman" w:hAnsi="Times New Roman"/>
          <w:b/>
          <w:bCs/>
          <w:snapToGrid w:val="0"/>
          <w:color w:val="000000"/>
          <w:sz w:val="30"/>
          <w:szCs w:val="30"/>
        </w:rPr>
        <w:t>六、结论</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napToGrid w:val="0"/>
              <w:ind w:firstLine="482"/>
              <w:rPr>
                <w:b/>
                <w:color w:val="000000"/>
              </w:rPr>
            </w:pPr>
            <w:r>
              <w:rPr>
                <w:rFonts w:hint="eastAsia"/>
                <w:b/>
                <w:color w:val="000000"/>
              </w:rPr>
              <w:t>（1）</w:t>
            </w:r>
            <w:r>
              <w:rPr>
                <w:b/>
                <w:color w:val="000000"/>
              </w:rPr>
              <w:t>总结论</w:t>
            </w:r>
          </w:p>
          <w:p>
            <w:pPr>
              <w:snapToGrid w:val="0"/>
              <w:ind w:firstLine="480"/>
              <w:rPr>
                <w:bCs/>
                <w:color w:val="000000"/>
              </w:rPr>
            </w:pPr>
            <w:r>
              <w:rPr>
                <w:bCs/>
                <w:color w:val="000000"/>
              </w:rPr>
              <w:t>综上所述，建设单位只要切实</w:t>
            </w:r>
            <w:r>
              <w:rPr>
                <w:rFonts w:hint="eastAsia"/>
                <w:bCs/>
                <w:color w:val="000000"/>
              </w:rPr>
              <w:t>有效地落实</w:t>
            </w:r>
            <w:r>
              <w:rPr>
                <w:bCs/>
                <w:color w:val="000000"/>
              </w:rPr>
              <w:t>好本环评提出的</w:t>
            </w:r>
            <w:r>
              <w:rPr>
                <w:rFonts w:hint="eastAsia"/>
                <w:bCs/>
                <w:color w:val="000000"/>
              </w:rPr>
              <w:t>污染治理</w:t>
            </w:r>
            <w:r>
              <w:rPr>
                <w:bCs/>
                <w:color w:val="000000"/>
              </w:rPr>
              <w:t>措施，严格管理，从环保角度分析，该项目就地建设可行。</w:t>
            </w:r>
          </w:p>
          <w:p>
            <w:pPr>
              <w:snapToGrid w:val="0"/>
              <w:ind w:firstLine="482"/>
              <w:rPr>
                <w:b/>
                <w:color w:val="000000"/>
              </w:rPr>
            </w:pPr>
            <w:r>
              <w:rPr>
                <w:rFonts w:hint="eastAsia"/>
                <w:b/>
                <w:color w:val="000000"/>
              </w:rPr>
              <w:t>（2）</w:t>
            </w:r>
            <w:r>
              <w:rPr>
                <w:b/>
                <w:color w:val="000000"/>
              </w:rPr>
              <w:t>建议</w:t>
            </w:r>
          </w:p>
          <w:p>
            <w:pPr>
              <w:snapToGrid w:val="0"/>
              <w:ind w:firstLine="480"/>
              <w:rPr>
                <w:bCs/>
                <w:color w:val="000000"/>
              </w:rPr>
            </w:pPr>
            <w:r>
              <w:rPr>
                <w:bCs/>
                <w:color w:val="000000"/>
              </w:rPr>
              <w:t>1、保证营运期各项污染防治措施彻底落实到位。</w:t>
            </w:r>
          </w:p>
          <w:p>
            <w:pPr>
              <w:snapToGrid w:val="0"/>
              <w:ind w:firstLine="480"/>
              <w:rPr>
                <w:bCs/>
                <w:color w:val="000000"/>
              </w:rPr>
            </w:pPr>
            <w:r>
              <w:rPr>
                <w:bCs/>
                <w:color w:val="000000"/>
              </w:rPr>
              <w:t>2、加强与相关生态环境部门配合和联系。</w:t>
            </w:r>
          </w:p>
          <w:p>
            <w:pPr>
              <w:snapToGrid w:val="0"/>
              <w:ind w:firstLine="482"/>
              <w:rPr>
                <w:b/>
                <w:color w:val="000000"/>
              </w:rPr>
            </w:pPr>
            <w:r>
              <w:rPr>
                <w:rFonts w:hint="eastAsia"/>
                <w:b/>
                <w:color w:val="000000"/>
              </w:rPr>
              <w:t>（3）</w:t>
            </w:r>
            <w:r>
              <w:rPr>
                <w:b/>
                <w:color w:val="000000"/>
              </w:rPr>
              <w:t>需要说明的问题</w:t>
            </w:r>
          </w:p>
          <w:p>
            <w:pPr>
              <w:ind w:firstLine="480"/>
              <w:rPr>
                <w:color w:val="000000"/>
              </w:rPr>
            </w:pPr>
            <w:r>
              <w:rPr>
                <w:color w:val="000000"/>
              </w:rPr>
              <w:t>1、建设项目的基础资料由建设单位提供，并对其准确性负责。建设单位若未来如需增加本评价所涉及之外的污染源或对其工艺等进行调整，则应按要求向有关环保部门进行重新申报，并按污染控制目标采取相应的污染治理措施。</w:t>
            </w:r>
          </w:p>
          <w:p>
            <w:pPr>
              <w:ind w:firstLine="480"/>
              <w:rPr>
                <w:color w:val="000000"/>
              </w:rPr>
            </w:pPr>
            <w:r>
              <w:rPr>
                <w:color w:val="000000"/>
              </w:rPr>
              <w:t>2、在项目建设同时，应确保环保设施的建设，落实污染治理方案和建设资金，做到</w:t>
            </w:r>
            <w:r>
              <w:rPr>
                <w:rFonts w:hint="eastAsia"/>
                <w:color w:val="000000"/>
              </w:rPr>
              <w:t>“</w:t>
            </w:r>
            <w:r>
              <w:rPr>
                <w:color w:val="000000"/>
              </w:rPr>
              <w:t>专款专用</w:t>
            </w:r>
            <w:r>
              <w:rPr>
                <w:rFonts w:hint="eastAsia"/>
                <w:color w:val="000000"/>
              </w:rPr>
              <w:t>”</w:t>
            </w:r>
            <w:r>
              <w:rPr>
                <w:color w:val="000000"/>
              </w:rPr>
              <w:t>，切实做到环保设施和主体工程</w:t>
            </w:r>
            <w:r>
              <w:rPr>
                <w:rFonts w:hint="eastAsia"/>
                <w:color w:val="000000"/>
              </w:rPr>
              <w:t>“</w:t>
            </w:r>
            <w:r>
              <w:rPr>
                <w:color w:val="000000"/>
              </w:rPr>
              <w:t>同时设计、同时施工、同时投产</w:t>
            </w:r>
            <w:r>
              <w:rPr>
                <w:rFonts w:hint="eastAsia"/>
                <w:color w:val="000000"/>
              </w:rPr>
              <w:t>”</w:t>
            </w:r>
            <w:r>
              <w:rPr>
                <w:color w:val="000000"/>
              </w:rPr>
              <w:t>。</w:t>
            </w:r>
          </w:p>
        </w:tc>
      </w:tr>
    </w:tbl>
    <w:p>
      <w:pPr>
        <w:ind w:firstLine="480"/>
        <w:rPr>
          <w:color w:val="000000"/>
        </w:rPr>
        <w:sectPr>
          <w:pgSz w:w="11906" w:h="16838"/>
          <w:pgMar w:top="1701" w:right="1531" w:bottom="1701" w:left="1531" w:header="851" w:footer="851" w:gutter="0"/>
          <w:cols w:space="720" w:num="1"/>
          <w:docGrid w:linePitch="312" w:charSpace="0"/>
        </w:sectPr>
      </w:pPr>
    </w:p>
    <w:p>
      <w:pPr>
        <w:pStyle w:val="38"/>
        <w:rPr>
          <w:color w:val="000000"/>
        </w:rPr>
      </w:pPr>
      <w:r>
        <w:rPr>
          <w:color w:val="000000"/>
        </w:rPr>
        <w:t>建设项目污染物排放量汇总表</w:t>
      </w:r>
      <w:r>
        <w:rPr>
          <w:rFonts w:hint="eastAsia"/>
          <w:color w:val="000000"/>
        </w:rPr>
        <w:t>（t/a）</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2883"/>
        <w:gridCol w:w="1094"/>
        <w:gridCol w:w="1240"/>
        <w:gridCol w:w="1456"/>
        <w:gridCol w:w="1483"/>
        <w:gridCol w:w="1326"/>
        <w:gridCol w:w="1718"/>
        <w:gridCol w:w="11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15" w:type="pct"/>
            <w:tcBorders>
              <w:tl2br w:val="single" w:color="auto" w:sz="4" w:space="0"/>
            </w:tcBorders>
            <w:tcMar>
              <w:left w:w="28" w:type="dxa"/>
              <w:right w:w="28" w:type="dxa"/>
            </w:tcMar>
            <w:vAlign w:val="center"/>
          </w:tcPr>
          <w:p>
            <w:pPr>
              <w:pStyle w:val="37"/>
              <w:jc w:val="right"/>
              <w:rPr>
                <w:b/>
                <w:color w:val="000000"/>
                <w:kern w:val="2"/>
                <w:szCs w:val="24"/>
              </w:rPr>
            </w:pPr>
            <w:r>
              <w:rPr>
                <w:b/>
                <w:color w:val="000000"/>
                <w:kern w:val="2"/>
                <w:szCs w:val="24"/>
              </w:rPr>
              <w:t>项目</w:t>
            </w:r>
          </w:p>
          <w:p>
            <w:pPr>
              <w:pStyle w:val="37"/>
              <w:jc w:val="left"/>
              <w:rPr>
                <w:b/>
                <w:color w:val="000000"/>
                <w:kern w:val="2"/>
                <w:szCs w:val="24"/>
              </w:rPr>
            </w:pPr>
            <w:r>
              <w:rPr>
                <w:b/>
                <w:color w:val="000000"/>
                <w:kern w:val="2"/>
                <w:szCs w:val="24"/>
              </w:rPr>
              <w:t>分类</w:t>
            </w:r>
          </w:p>
        </w:tc>
        <w:tc>
          <w:tcPr>
            <w:tcW w:w="1068" w:type="pct"/>
            <w:tcMar>
              <w:left w:w="28" w:type="dxa"/>
              <w:right w:w="28" w:type="dxa"/>
            </w:tcMar>
            <w:vAlign w:val="center"/>
          </w:tcPr>
          <w:p>
            <w:pPr>
              <w:pStyle w:val="37"/>
              <w:rPr>
                <w:b/>
                <w:color w:val="000000"/>
                <w:kern w:val="2"/>
                <w:szCs w:val="24"/>
              </w:rPr>
            </w:pPr>
            <w:r>
              <w:rPr>
                <w:b/>
                <w:color w:val="000000"/>
                <w:kern w:val="2"/>
                <w:szCs w:val="24"/>
              </w:rPr>
              <w:t>污染物名称</w:t>
            </w:r>
          </w:p>
        </w:tc>
        <w:tc>
          <w:tcPr>
            <w:tcW w:w="405" w:type="pct"/>
            <w:tcMar>
              <w:left w:w="28" w:type="dxa"/>
              <w:right w:w="28" w:type="dxa"/>
            </w:tcMar>
            <w:vAlign w:val="center"/>
          </w:tcPr>
          <w:p>
            <w:pPr>
              <w:pStyle w:val="37"/>
              <w:rPr>
                <w:b/>
                <w:color w:val="000000"/>
                <w:kern w:val="2"/>
                <w:szCs w:val="24"/>
              </w:rPr>
            </w:pPr>
            <w:r>
              <w:rPr>
                <w:b/>
                <w:color w:val="000000"/>
                <w:kern w:val="2"/>
                <w:szCs w:val="24"/>
              </w:rPr>
              <w:t>现有工程排放量（固体废物产生量）</w:t>
            </w:r>
            <w:r>
              <w:rPr>
                <w:b/>
                <w:color w:val="000000"/>
                <w:kern w:val="2"/>
                <w:szCs w:val="24"/>
              </w:rPr>
              <w:fldChar w:fldCharType="begin"/>
            </w:r>
            <w:r>
              <w:rPr>
                <w:b/>
                <w:color w:val="000000"/>
                <w:kern w:val="2"/>
                <w:szCs w:val="24"/>
              </w:rPr>
              <w:instrText xml:space="preserve"> = 1 \* GB3 \* MERGEFORMAT </w:instrText>
            </w:r>
            <w:r>
              <w:rPr>
                <w:b/>
                <w:color w:val="000000"/>
                <w:kern w:val="2"/>
                <w:szCs w:val="24"/>
              </w:rPr>
              <w:fldChar w:fldCharType="separate"/>
            </w:r>
            <w:r>
              <w:rPr>
                <w:b/>
                <w:color w:val="000000"/>
                <w:kern w:val="2"/>
                <w:szCs w:val="24"/>
              </w:rPr>
              <w:t>①</w:t>
            </w:r>
            <w:r>
              <w:rPr>
                <w:b/>
                <w:color w:val="000000"/>
                <w:kern w:val="2"/>
                <w:szCs w:val="24"/>
              </w:rPr>
              <w:fldChar w:fldCharType="end"/>
            </w:r>
          </w:p>
        </w:tc>
        <w:tc>
          <w:tcPr>
            <w:tcW w:w="459" w:type="pct"/>
            <w:tcMar>
              <w:left w:w="28" w:type="dxa"/>
              <w:right w:w="28" w:type="dxa"/>
            </w:tcMar>
            <w:vAlign w:val="center"/>
          </w:tcPr>
          <w:p>
            <w:pPr>
              <w:pStyle w:val="37"/>
              <w:rPr>
                <w:b/>
                <w:color w:val="000000"/>
                <w:kern w:val="2"/>
                <w:szCs w:val="24"/>
              </w:rPr>
            </w:pPr>
            <w:r>
              <w:rPr>
                <w:b/>
                <w:color w:val="000000"/>
                <w:kern w:val="2"/>
                <w:szCs w:val="24"/>
              </w:rPr>
              <w:t>现有工程许可排放量</w:t>
            </w:r>
            <w:r>
              <w:rPr>
                <w:b/>
                <w:color w:val="000000"/>
                <w:kern w:val="2"/>
                <w:szCs w:val="24"/>
              </w:rPr>
              <w:fldChar w:fldCharType="begin"/>
            </w:r>
            <w:r>
              <w:rPr>
                <w:b/>
                <w:color w:val="000000"/>
                <w:kern w:val="2"/>
                <w:szCs w:val="24"/>
              </w:rPr>
              <w:instrText xml:space="preserve"> = 2 \* GB3 \* MERGEFORMAT </w:instrText>
            </w:r>
            <w:r>
              <w:rPr>
                <w:b/>
                <w:color w:val="000000"/>
                <w:kern w:val="2"/>
                <w:szCs w:val="24"/>
              </w:rPr>
              <w:fldChar w:fldCharType="separate"/>
            </w:r>
            <w:r>
              <w:rPr>
                <w:b/>
                <w:color w:val="000000"/>
                <w:kern w:val="2"/>
                <w:szCs w:val="24"/>
              </w:rPr>
              <w:t>②</w:t>
            </w:r>
            <w:r>
              <w:rPr>
                <w:b/>
                <w:color w:val="000000"/>
                <w:kern w:val="2"/>
                <w:szCs w:val="24"/>
              </w:rPr>
              <w:fldChar w:fldCharType="end"/>
            </w:r>
          </w:p>
        </w:tc>
        <w:tc>
          <w:tcPr>
            <w:tcW w:w="539" w:type="pct"/>
            <w:tcMar>
              <w:left w:w="28" w:type="dxa"/>
              <w:right w:w="28" w:type="dxa"/>
            </w:tcMar>
            <w:vAlign w:val="center"/>
          </w:tcPr>
          <w:p>
            <w:pPr>
              <w:pStyle w:val="37"/>
              <w:rPr>
                <w:b/>
                <w:color w:val="000000"/>
                <w:kern w:val="2"/>
                <w:szCs w:val="24"/>
              </w:rPr>
            </w:pPr>
            <w:r>
              <w:rPr>
                <w:b/>
                <w:color w:val="000000"/>
                <w:kern w:val="2"/>
                <w:szCs w:val="24"/>
              </w:rPr>
              <w:t>在建工程</w:t>
            </w:r>
          </w:p>
          <w:p>
            <w:pPr>
              <w:pStyle w:val="37"/>
              <w:rPr>
                <w:b/>
                <w:color w:val="000000"/>
                <w:kern w:val="2"/>
                <w:szCs w:val="24"/>
              </w:rPr>
            </w:pPr>
            <w:r>
              <w:rPr>
                <w:b/>
                <w:color w:val="000000"/>
                <w:kern w:val="2"/>
                <w:szCs w:val="24"/>
              </w:rPr>
              <w:t>排放量（固体废物产生量）</w:t>
            </w:r>
            <w:r>
              <w:rPr>
                <w:b/>
                <w:color w:val="000000"/>
                <w:kern w:val="2"/>
                <w:szCs w:val="24"/>
              </w:rPr>
              <w:fldChar w:fldCharType="begin"/>
            </w:r>
            <w:r>
              <w:rPr>
                <w:b/>
                <w:color w:val="000000"/>
                <w:kern w:val="2"/>
                <w:szCs w:val="24"/>
              </w:rPr>
              <w:instrText xml:space="preserve"> = 3 \* GB3 \* MERGEFORMAT </w:instrText>
            </w:r>
            <w:r>
              <w:rPr>
                <w:b/>
                <w:color w:val="000000"/>
                <w:kern w:val="2"/>
                <w:szCs w:val="24"/>
              </w:rPr>
              <w:fldChar w:fldCharType="separate"/>
            </w:r>
            <w:r>
              <w:rPr>
                <w:b/>
                <w:color w:val="000000"/>
                <w:kern w:val="2"/>
                <w:szCs w:val="24"/>
              </w:rPr>
              <w:t>③</w:t>
            </w:r>
            <w:r>
              <w:rPr>
                <w:b/>
                <w:color w:val="000000"/>
                <w:kern w:val="2"/>
                <w:szCs w:val="24"/>
              </w:rPr>
              <w:fldChar w:fldCharType="end"/>
            </w:r>
          </w:p>
        </w:tc>
        <w:tc>
          <w:tcPr>
            <w:tcW w:w="549" w:type="pct"/>
            <w:tcMar>
              <w:left w:w="28" w:type="dxa"/>
              <w:right w:w="28" w:type="dxa"/>
            </w:tcMar>
            <w:vAlign w:val="center"/>
          </w:tcPr>
          <w:p>
            <w:pPr>
              <w:pStyle w:val="37"/>
              <w:rPr>
                <w:b/>
                <w:color w:val="000000"/>
                <w:kern w:val="2"/>
                <w:szCs w:val="24"/>
              </w:rPr>
            </w:pPr>
            <w:r>
              <w:rPr>
                <w:rFonts w:hint="eastAsia"/>
                <w:b/>
                <w:color w:val="000000"/>
                <w:kern w:val="2"/>
                <w:szCs w:val="24"/>
              </w:rPr>
              <w:t>本扩建项目</w:t>
            </w:r>
            <w:r>
              <w:rPr>
                <w:b/>
                <w:color w:val="000000"/>
                <w:kern w:val="2"/>
                <w:szCs w:val="24"/>
              </w:rPr>
              <w:t>排放量（固体废物产生量）</w:t>
            </w:r>
            <w:r>
              <w:rPr>
                <w:b/>
                <w:color w:val="000000"/>
                <w:kern w:val="2"/>
                <w:szCs w:val="24"/>
              </w:rPr>
              <w:fldChar w:fldCharType="begin"/>
            </w:r>
            <w:r>
              <w:rPr>
                <w:b/>
                <w:color w:val="000000"/>
                <w:kern w:val="2"/>
                <w:szCs w:val="24"/>
              </w:rPr>
              <w:instrText xml:space="preserve"> = 4 \* GB3 \* MERGEFORMAT </w:instrText>
            </w:r>
            <w:r>
              <w:rPr>
                <w:b/>
                <w:color w:val="000000"/>
                <w:kern w:val="2"/>
                <w:szCs w:val="24"/>
              </w:rPr>
              <w:fldChar w:fldCharType="separate"/>
            </w:r>
            <w:r>
              <w:rPr>
                <w:b/>
                <w:color w:val="000000"/>
                <w:kern w:val="2"/>
                <w:szCs w:val="24"/>
              </w:rPr>
              <w:t>④</w:t>
            </w:r>
            <w:r>
              <w:rPr>
                <w:b/>
                <w:color w:val="000000"/>
                <w:kern w:val="2"/>
                <w:szCs w:val="24"/>
              </w:rPr>
              <w:fldChar w:fldCharType="end"/>
            </w:r>
          </w:p>
        </w:tc>
        <w:tc>
          <w:tcPr>
            <w:tcW w:w="491" w:type="pct"/>
            <w:tcMar>
              <w:left w:w="28" w:type="dxa"/>
              <w:right w:w="28" w:type="dxa"/>
            </w:tcMar>
            <w:vAlign w:val="center"/>
          </w:tcPr>
          <w:p>
            <w:pPr>
              <w:pStyle w:val="37"/>
              <w:rPr>
                <w:b/>
                <w:color w:val="000000"/>
                <w:kern w:val="2"/>
                <w:szCs w:val="24"/>
              </w:rPr>
            </w:pPr>
            <w:r>
              <w:rPr>
                <w:b/>
                <w:color w:val="000000"/>
                <w:kern w:val="2"/>
                <w:szCs w:val="24"/>
              </w:rPr>
              <w:t>以新带老削减量（新建项目不填）</w:t>
            </w:r>
            <w:r>
              <w:rPr>
                <w:b/>
                <w:color w:val="000000"/>
                <w:kern w:val="2"/>
                <w:szCs w:val="24"/>
              </w:rPr>
              <w:fldChar w:fldCharType="begin"/>
            </w:r>
            <w:r>
              <w:rPr>
                <w:b/>
                <w:color w:val="000000"/>
                <w:kern w:val="2"/>
                <w:szCs w:val="24"/>
              </w:rPr>
              <w:instrText xml:space="preserve"> = 5 \* GB3 \* MERGEFORMAT </w:instrText>
            </w:r>
            <w:r>
              <w:rPr>
                <w:b/>
                <w:color w:val="000000"/>
                <w:kern w:val="2"/>
                <w:szCs w:val="24"/>
              </w:rPr>
              <w:fldChar w:fldCharType="separate"/>
            </w:r>
            <w:r>
              <w:rPr>
                <w:b/>
                <w:color w:val="000000"/>
                <w:kern w:val="2"/>
                <w:szCs w:val="24"/>
              </w:rPr>
              <w:t>⑤</w:t>
            </w:r>
            <w:r>
              <w:rPr>
                <w:b/>
                <w:color w:val="000000"/>
                <w:kern w:val="2"/>
                <w:szCs w:val="24"/>
              </w:rPr>
              <w:fldChar w:fldCharType="end"/>
            </w:r>
          </w:p>
        </w:tc>
        <w:tc>
          <w:tcPr>
            <w:tcW w:w="636" w:type="pct"/>
            <w:tcMar>
              <w:left w:w="28" w:type="dxa"/>
              <w:right w:w="28" w:type="dxa"/>
            </w:tcMar>
            <w:vAlign w:val="center"/>
          </w:tcPr>
          <w:p>
            <w:pPr>
              <w:pStyle w:val="37"/>
              <w:rPr>
                <w:b/>
                <w:color w:val="000000"/>
                <w:kern w:val="2"/>
                <w:szCs w:val="24"/>
              </w:rPr>
            </w:pPr>
            <w:r>
              <w:rPr>
                <w:rFonts w:hint="eastAsia"/>
                <w:b/>
                <w:color w:val="000000"/>
                <w:kern w:val="2"/>
                <w:szCs w:val="24"/>
              </w:rPr>
              <w:t>本扩建项目</w:t>
            </w:r>
            <w:r>
              <w:rPr>
                <w:b/>
                <w:color w:val="000000"/>
                <w:kern w:val="2"/>
                <w:szCs w:val="24"/>
              </w:rPr>
              <w:t>建成后</w:t>
            </w:r>
          </w:p>
          <w:p>
            <w:pPr>
              <w:pStyle w:val="37"/>
              <w:rPr>
                <w:b/>
                <w:color w:val="000000"/>
                <w:kern w:val="2"/>
                <w:szCs w:val="24"/>
              </w:rPr>
            </w:pPr>
            <w:r>
              <w:rPr>
                <w:b/>
                <w:color w:val="000000"/>
                <w:kern w:val="2"/>
                <w:szCs w:val="24"/>
              </w:rPr>
              <w:t>全</w:t>
            </w:r>
            <w:r>
              <w:rPr>
                <w:rFonts w:hint="eastAsia"/>
                <w:b/>
                <w:color w:val="000000"/>
                <w:kern w:val="2"/>
                <w:szCs w:val="24"/>
              </w:rPr>
              <w:t>公司</w:t>
            </w:r>
            <w:r>
              <w:rPr>
                <w:b/>
                <w:color w:val="000000"/>
                <w:kern w:val="2"/>
                <w:szCs w:val="24"/>
              </w:rPr>
              <w:t>排放量（固体废物产生量）</w:t>
            </w:r>
            <w:r>
              <w:rPr>
                <w:b/>
                <w:color w:val="000000"/>
                <w:kern w:val="2"/>
                <w:szCs w:val="24"/>
              </w:rPr>
              <w:fldChar w:fldCharType="begin"/>
            </w:r>
            <w:r>
              <w:rPr>
                <w:b/>
                <w:color w:val="000000"/>
                <w:kern w:val="2"/>
                <w:szCs w:val="24"/>
              </w:rPr>
              <w:instrText xml:space="preserve"> = 6 \* GB3 \* MERGEFORMAT </w:instrText>
            </w:r>
            <w:r>
              <w:rPr>
                <w:b/>
                <w:color w:val="000000"/>
                <w:kern w:val="2"/>
                <w:szCs w:val="24"/>
              </w:rPr>
              <w:fldChar w:fldCharType="separate"/>
            </w:r>
            <w:r>
              <w:rPr>
                <w:b/>
                <w:color w:val="000000"/>
                <w:kern w:val="2"/>
                <w:szCs w:val="24"/>
              </w:rPr>
              <w:t>⑥</w:t>
            </w:r>
            <w:r>
              <w:rPr>
                <w:b/>
                <w:color w:val="000000"/>
                <w:kern w:val="2"/>
                <w:szCs w:val="24"/>
              </w:rPr>
              <w:fldChar w:fldCharType="end"/>
            </w:r>
          </w:p>
        </w:tc>
        <w:tc>
          <w:tcPr>
            <w:tcW w:w="434" w:type="pct"/>
            <w:tcMar>
              <w:left w:w="28" w:type="dxa"/>
              <w:right w:w="28" w:type="dxa"/>
            </w:tcMar>
            <w:vAlign w:val="center"/>
          </w:tcPr>
          <w:p>
            <w:pPr>
              <w:pStyle w:val="37"/>
              <w:rPr>
                <w:b/>
                <w:color w:val="000000"/>
                <w:kern w:val="2"/>
                <w:szCs w:val="24"/>
              </w:rPr>
            </w:pPr>
            <w:r>
              <w:rPr>
                <w:b/>
                <w:color w:val="000000"/>
                <w:kern w:val="2"/>
                <w:szCs w:val="24"/>
              </w:rPr>
              <w:t>变化量</w:t>
            </w:r>
          </w:p>
          <w:p>
            <w:pPr>
              <w:pStyle w:val="37"/>
              <w:rPr>
                <w:b/>
                <w:color w:val="000000"/>
                <w:kern w:val="2"/>
                <w:szCs w:val="24"/>
              </w:rPr>
            </w:pPr>
            <w:r>
              <w:rPr>
                <w:b/>
                <w:color w:val="000000"/>
                <w:kern w:val="2"/>
                <w:szCs w:val="24"/>
              </w:rPr>
              <w:fldChar w:fldCharType="begin"/>
            </w:r>
            <w:r>
              <w:rPr>
                <w:b/>
                <w:color w:val="000000"/>
                <w:kern w:val="2"/>
                <w:szCs w:val="24"/>
              </w:rPr>
              <w:instrText xml:space="preserve"> = 7 \* GB3 \* MERGEFORMAT </w:instrText>
            </w:r>
            <w:r>
              <w:rPr>
                <w:b/>
                <w:color w:val="000000"/>
                <w:kern w:val="2"/>
                <w:szCs w:val="24"/>
              </w:rPr>
              <w:fldChar w:fldCharType="separate"/>
            </w:r>
            <w:r>
              <w:rPr>
                <w:b/>
                <w:color w:val="000000"/>
                <w:kern w:val="2"/>
                <w:szCs w:val="24"/>
              </w:rPr>
              <w:t>⑦</w:t>
            </w:r>
            <w:r>
              <w:rPr>
                <w:b/>
                <w:color w:val="000000"/>
                <w:kern w:val="2"/>
                <w:szCs w:val="24"/>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restart"/>
            <w:vAlign w:val="center"/>
          </w:tcPr>
          <w:p>
            <w:pPr>
              <w:pStyle w:val="37"/>
              <w:rPr>
                <w:color w:val="000000"/>
                <w:kern w:val="2"/>
                <w:szCs w:val="24"/>
              </w:rPr>
            </w:pPr>
            <w:r>
              <w:rPr>
                <w:color w:val="000000"/>
                <w:kern w:val="2"/>
                <w:szCs w:val="24"/>
              </w:rPr>
              <w:t>废气</w:t>
            </w:r>
          </w:p>
        </w:tc>
        <w:tc>
          <w:tcPr>
            <w:tcW w:w="1068" w:type="pct"/>
            <w:vAlign w:val="center"/>
          </w:tcPr>
          <w:p>
            <w:pPr>
              <w:snapToGrid w:val="0"/>
              <w:spacing w:line="240" w:lineRule="atLeast"/>
              <w:ind w:firstLine="0" w:firstLineChars="0"/>
              <w:jc w:val="center"/>
              <w:rPr>
                <w:bCs/>
                <w:color w:val="000000"/>
                <w:sz w:val="18"/>
                <w:szCs w:val="18"/>
              </w:rPr>
            </w:pPr>
            <w:r>
              <w:rPr>
                <w:rFonts w:hint="eastAsia"/>
                <w:bCs/>
                <w:color w:val="000000"/>
                <w:sz w:val="18"/>
                <w:szCs w:val="18"/>
              </w:rPr>
              <w:t>颗粒物</w:t>
            </w:r>
          </w:p>
        </w:tc>
        <w:tc>
          <w:tcPr>
            <w:tcW w:w="405" w:type="pct"/>
            <w:vAlign w:val="center"/>
          </w:tcPr>
          <w:p>
            <w:pPr>
              <w:pStyle w:val="37"/>
              <w:rPr>
                <w:color w:val="000000"/>
                <w:kern w:val="2"/>
                <w:szCs w:val="24"/>
              </w:rPr>
            </w:pPr>
            <w:r>
              <w:rPr>
                <w:rFonts w:hint="eastAsia"/>
                <w:color w:val="000000"/>
                <w:kern w:val="2"/>
                <w:szCs w:val="24"/>
              </w:rPr>
              <w:t>0.162</w:t>
            </w:r>
          </w:p>
        </w:tc>
        <w:tc>
          <w:tcPr>
            <w:tcW w:w="459" w:type="pct"/>
            <w:vAlign w:val="center"/>
          </w:tcPr>
          <w:p>
            <w:pPr>
              <w:pStyle w:val="37"/>
              <w:rPr>
                <w:color w:val="000000"/>
                <w:kern w:val="2"/>
                <w:szCs w:val="24"/>
              </w:rPr>
            </w:pPr>
          </w:p>
        </w:tc>
        <w:tc>
          <w:tcPr>
            <w:tcW w:w="539" w:type="pct"/>
            <w:vAlign w:val="center"/>
          </w:tcPr>
          <w:p>
            <w:pPr>
              <w:pStyle w:val="37"/>
              <w:rPr>
                <w:color w:val="000000"/>
              </w:rPr>
            </w:pPr>
          </w:p>
        </w:tc>
        <w:tc>
          <w:tcPr>
            <w:tcW w:w="549" w:type="pct"/>
            <w:vAlign w:val="center"/>
          </w:tcPr>
          <w:p>
            <w:pPr>
              <w:pStyle w:val="37"/>
              <w:rPr>
                <w:rFonts w:hint="default" w:eastAsia="宋体"/>
                <w:color w:val="000000"/>
                <w:lang w:val="en-US" w:eastAsia="zh-CN"/>
              </w:rPr>
            </w:pPr>
            <w:r>
              <w:rPr>
                <w:rFonts w:hint="eastAsia"/>
                <w:color w:val="000000"/>
                <w:lang w:val="en-US" w:eastAsia="zh-CN"/>
              </w:rPr>
              <w:t>5.098kg</w:t>
            </w:r>
          </w:p>
        </w:tc>
        <w:tc>
          <w:tcPr>
            <w:tcW w:w="491" w:type="pct"/>
            <w:vAlign w:val="center"/>
          </w:tcPr>
          <w:p>
            <w:pPr>
              <w:pStyle w:val="37"/>
              <w:rPr>
                <w:color w:val="000000"/>
              </w:rPr>
            </w:pPr>
          </w:p>
        </w:tc>
        <w:tc>
          <w:tcPr>
            <w:tcW w:w="636" w:type="pct"/>
            <w:vAlign w:val="center"/>
          </w:tcPr>
          <w:p>
            <w:pPr>
              <w:pStyle w:val="37"/>
              <w:ind w:firstLine="0" w:firstLineChars="0"/>
              <w:rPr>
                <w:rFonts w:hint="default" w:ascii="Times New Roman" w:hAnsi="Times New Roman" w:eastAsia="宋体" w:cs="Times New Roman"/>
                <w:color w:val="000000"/>
                <w:kern w:val="0"/>
                <w:sz w:val="18"/>
                <w:szCs w:val="20"/>
                <w:lang w:val="en-US" w:eastAsia="zh-CN" w:bidi="ar-SA"/>
              </w:rPr>
            </w:pPr>
            <w:r>
              <w:rPr>
                <w:rFonts w:hint="eastAsia" w:eastAsia="宋体" w:cs="Times New Roman"/>
                <w:color w:val="000000"/>
                <w:kern w:val="0"/>
                <w:sz w:val="18"/>
                <w:szCs w:val="20"/>
                <w:lang w:val="en-US" w:eastAsia="zh-CN" w:bidi="ar-SA"/>
              </w:rPr>
              <w:t>0.167</w:t>
            </w:r>
          </w:p>
        </w:tc>
        <w:tc>
          <w:tcPr>
            <w:tcW w:w="1172" w:type="dxa"/>
            <w:vAlign w:val="center"/>
          </w:tcPr>
          <w:p>
            <w:pPr>
              <w:pStyle w:val="37"/>
              <w:ind w:firstLine="0" w:firstLineChars="0"/>
              <w:rPr>
                <w:color w:val="000000"/>
              </w:rPr>
            </w:pPr>
            <w:r>
              <w:rPr>
                <w:rFonts w:hint="eastAsia"/>
                <w:color w:val="000000"/>
                <w:lang w:val="en-US" w:eastAsia="zh-CN"/>
              </w:rPr>
              <w:t>+5.098kg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pStyle w:val="37"/>
              <w:rPr>
                <w:color w:val="000000"/>
                <w:kern w:val="2"/>
                <w:szCs w:val="24"/>
              </w:rPr>
            </w:pPr>
          </w:p>
        </w:tc>
        <w:tc>
          <w:tcPr>
            <w:tcW w:w="1068" w:type="pct"/>
            <w:vAlign w:val="center"/>
          </w:tcPr>
          <w:p>
            <w:pPr>
              <w:pStyle w:val="37"/>
              <w:rPr>
                <w:color w:val="000000"/>
              </w:rPr>
            </w:pPr>
            <w:r>
              <w:rPr>
                <w:rFonts w:hint="eastAsia"/>
                <w:color w:val="000000"/>
              </w:rPr>
              <w:t>锡及其化合物</w:t>
            </w:r>
          </w:p>
        </w:tc>
        <w:tc>
          <w:tcPr>
            <w:tcW w:w="405" w:type="pct"/>
            <w:vAlign w:val="center"/>
          </w:tcPr>
          <w:p>
            <w:pPr>
              <w:pStyle w:val="37"/>
              <w:rPr>
                <w:color w:val="000000"/>
                <w:kern w:val="2"/>
                <w:szCs w:val="24"/>
              </w:rPr>
            </w:pPr>
          </w:p>
        </w:tc>
        <w:tc>
          <w:tcPr>
            <w:tcW w:w="459" w:type="pct"/>
            <w:vAlign w:val="center"/>
          </w:tcPr>
          <w:p>
            <w:pPr>
              <w:pStyle w:val="37"/>
              <w:rPr>
                <w:color w:val="000000"/>
                <w:kern w:val="2"/>
                <w:szCs w:val="24"/>
              </w:rPr>
            </w:pPr>
          </w:p>
        </w:tc>
        <w:tc>
          <w:tcPr>
            <w:tcW w:w="539" w:type="pct"/>
            <w:vAlign w:val="center"/>
          </w:tcPr>
          <w:p>
            <w:pPr>
              <w:pStyle w:val="37"/>
              <w:rPr>
                <w:color w:val="000000"/>
              </w:rPr>
            </w:pPr>
          </w:p>
        </w:tc>
        <w:tc>
          <w:tcPr>
            <w:tcW w:w="549" w:type="pct"/>
            <w:vAlign w:val="center"/>
          </w:tcPr>
          <w:p>
            <w:pPr>
              <w:pStyle w:val="37"/>
              <w:rPr>
                <w:rFonts w:hint="default" w:eastAsia="宋体"/>
                <w:color w:val="000000"/>
                <w:lang w:val="en-US" w:eastAsia="zh-CN"/>
              </w:rPr>
            </w:pPr>
            <w:r>
              <w:rPr>
                <w:rFonts w:hint="eastAsia"/>
                <w:color w:val="000000"/>
                <w:lang w:val="en-US" w:eastAsia="zh-CN"/>
              </w:rPr>
              <w:t>4.508kg</w:t>
            </w:r>
          </w:p>
        </w:tc>
        <w:tc>
          <w:tcPr>
            <w:tcW w:w="491" w:type="pct"/>
            <w:vAlign w:val="center"/>
          </w:tcPr>
          <w:p>
            <w:pPr>
              <w:pStyle w:val="37"/>
              <w:rPr>
                <w:color w:val="000000"/>
              </w:rPr>
            </w:pPr>
          </w:p>
        </w:tc>
        <w:tc>
          <w:tcPr>
            <w:tcW w:w="636" w:type="pct"/>
            <w:vAlign w:val="center"/>
          </w:tcPr>
          <w:p>
            <w:pPr>
              <w:pStyle w:val="37"/>
              <w:ind w:firstLine="0" w:firstLineChars="0"/>
              <w:rPr>
                <w:rFonts w:hint="default" w:ascii="Times New Roman" w:hAnsi="Times New Roman" w:eastAsia="宋体" w:cs="Times New Roman"/>
                <w:color w:val="000000"/>
                <w:kern w:val="0"/>
                <w:sz w:val="18"/>
                <w:szCs w:val="20"/>
                <w:lang w:val="en-US" w:eastAsia="zh-CN" w:bidi="ar-SA"/>
              </w:rPr>
            </w:pPr>
            <w:r>
              <w:rPr>
                <w:rFonts w:hint="eastAsia" w:eastAsia="宋体" w:cs="Times New Roman"/>
                <w:color w:val="000000"/>
                <w:kern w:val="0"/>
                <w:sz w:val="18"/>
                <w:szCs w:val="20"/>
                <w:lang w:val="en-US" w:eastAsia="zh-CN" w:bidi="ar-SA"/>
              </w:rPr>
              <w:t>4.508kg</w:t>
            </w:r>
          </w:p>
        </w:tc>
        <w:tc>
          <w:tcPr>
            <w:tcW w:w="1172" w:type="dxa"/>
            <w:vAlign w:val="center"/>
          </w:tcPr>
          <w:p>
            <w:pPr>
              <w:pStyle w:val="37"/>
              <w:ind w:firstLine="0" w:firstLineChars="0"/>
              <w:rPr>
                <w:color w:val="000000"/>
              </w:rPr>
            </w:pPr>
            <w:r>
              <w:rPr>
                <w:rFonts w:hint="eastAsia"/>
                <w:color w:val="000000"/>
                <w:lang w:val="en-US" w:eastAsia="zh-CN"/>
              </w:rPr>
              <w:t>+4.508kg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restart"/>
            <w:vAlign w:val="center"/>
          </w:tcPr>
          <w:p>
            <w:pPr>
              <w:pStyle w:val="37"/>
              <w:rPr>
                <w:color w:val="000000"/>
                <w:kern w:val="2"/>
                <w:szCs w:val="24"/>
              </w:rPr>
            </w:pPr>
            <w:r>
              <w:rPr>
                <w:color w:val="000000"/>
                <w:kern w:val="2"/>
                <w:szCs w:val="24"/>
              </w:rPr>
              <w:t>一般固体废物</w:t>
            </w:r>
          </w:p>
        </w:tc>
        <w:tc>
          <w:tcPr>
            <w:tcW w:w="1068" w:type="pct"/>
            <w:vAlign w:val="center"/>
          </w:tcPr>
          <w:p>
            <w:pPr>
              <w:pStyle w:val="37"/>
              <w:rPr>
                <w:color w:val="000000"/>
              </w:rPr>
            </w:pPr>
            <w:r>
              <w:rPr>
                <w:rFonts w:hint="eastAsia"/>
                <w:color w:val="000000"/>
              </w:rPr>
              <w:t>不合格品</w:t>
            </w:r>
          </w:p>
        </w:tc>
        <w:tc>
          <w:tcPr>
            <w:tcW w:w="405" w:type="pct"/>
            <w:vAlign w:val="center"/>
          </w:tcPr>
          <w:p>
            <w:pPr>
              <w:pStyle w:val="37"/>
              <w:rPr>
                <w:rFonts w:hint="default" w:eastAsia="宋体"/>
                <w:color w:val="000000"/>
                <w:lang w:val="en-US" w:eastAsia="zh-CN"/>
              </w:rPr>
            </w:pPr>
            <w:r>
              <w:rPr>
                <w:rFonts w:hint="eastAsia"/>
                <w:color w:val="000000"/>
                <w:lang w:val="en-US" w:eastAsia="zh-CN"/>
              </w:rPr>
              <w:t>20</w:t>
            </w:r>
          </w:p>
        </w:tc>
        <w:tc>
          <w:tcPr>
            <w:tcW w:w="459" w:type="pct"/>
            <w:vAlign w:val="center"/>
          </w:tcPr>
          <w:p>
            <w:pPr>
              <w:pStyle w:val="37"/>
              <w:rPr>
                <w:color w:val="000000"/>
                <w:kern w:val="2"/>
                <w:szCs w:val="24"/>
              </w:rPr>
            </w:pPr>
          </w:p>
        </w:tc>
        <w:tc>
          <w:tcPr>
            <w:tcW w:w="539" w:type="pct"/>
            <w:vAlign w:val="center"/>
          </w:tcPr>
          <w:p>
            <w:pPr>
              <w:pStyle w:val="37"/>
              <w:rPr>
                <w:color w:val="000000"/>
                <w:kern w:val="2"/>
                <w:szCs w:val="24"/>
              </w:rPr>
            </w:pPr>
          </w:p>
        </w:tc>
        <w:tc>
          <w:tcPr>
            <w:tcW w:w="549" w:type="pct"/>
            <w:vAlign w:val="center"/>
          </w:tcPr>
          <w:p>
            <w:pPr>
              <w:pStyle w:val="37"/>
              <w:rPr>
                <w:color w:val="000000"/>
                <w:kern w:val="2"/>
                <w:szCs w:val="24"/>
              </w:rPr>
            </w:pPr>
            <w:r>
              <w:rPr>
                <w:rFonts w:hint="eastAsia"/>
                <w:color w:val="000000"/>
                <w:kern w:val="2"/>
                <w:szCs w:val="24"/>
              </w:rPr>
              <w:t>5</w:t>
            </w:r>
          </w:p>
        </w:tc>
        <w:tc>
          <w:tcPr>
            <w:tcW w:w="491" w:type="pct"/>
            <w:vAlign w:val="center"/>
          </w:tcPr>
          <w:p>
            <w:pPr>
              <w:pStyle w:val="37"/>
              <w:rPr>
                <w:color w:val="000000"/>
                <w:kern w:val="2"/>
                <w:szCs w:val="24"/>
              </w:rPr>
            </w:pPr>
          </w:p>
        </w:tc>
        <w:tc>
          <w:tcPr>
            <w:tcW w:w="636" w:type="pct"/>
            <w:vAlign w:val="center"/>
          </w:tcPr>
          <w:p>
            <w:pPr>
              <w:pStyle w:val="37"/>
              <w:rPr>
                <w:rFonts w:hint="default" w:eastAsia="宋体"/>
                <w:color w:val="000000"/>
                <w:kern w:val="2"/>
                <w:szCs w:val="24"/>
                <w:lang w:val="en-US" w:eastAsia="zh-CN"/>
              </w:rPr>
            </w:pPr>
            <w:r>
              <w:rPr>
                <w:rFonts w:hint="eastAsia"/>
                <w:color w:val="000000"/>
                <w:kern w:val="2"/>
                <w:szCs w:val="24"/>
                <w:lang w:val="en-US" w:eastAsia="zh-CN"/>
              </w:rPr>
              <w:t>25</w:t>
            </w:r>
          </w:p>
        </w:tc>
        <w:tc>
          <w:tcPr>
            <w:tcW w:w="434" w:type="pct"/>
            <w:vAlign w:val="center"/>
          </w:tcPr>
          <w:p>
            <w:pPr>
              <w:pStyle w:val="37"/>
              <w:rPr>
                <w:color w:val="000000"/>
                <w:kern w:val="2"/>
                <w:szCs w:val="24"/>
              </w:rPr>
            </w:pPr>
            <w:r>
              <w:rPr>
                <w:rFonts w:hint="eastAsia"/>
                <w:color w:val="000000"/>
                <w:kern w:val="2"/>
                <w:szCs w:val="24"/>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pStyle w:val="37"/>
              <w:rPr>
                <w:color w:val="000000"/>
                <w:kern w:val="2"/>
                <w:szCs w:val="24"/>
              </w:rPr>
            </w:pPr>
          </w:p>
        </w:tc>
        <w:tc>
          <w:tcPr>
            <w:tcW w:w="1068" w:type="pct"/>
            <w:vAlign w:val="center"/>
          </w:tcPr>
          <w:p>
            <w:pPr>
              <w:pStyle w:val="37"/>
              <w:rPr>
                <w:color w:val="000000"/>
              </w:rPr>
            </w:pPr>
            <w:r>
              <w:rPr>
                <w:rFonts w:hint="eastAsia"/>
                <w:color w:val="000000"/>
              </w:rPr>
              <w:t>金属碎屑</w:t>
            </w:r>
          </w:p>
        </w:tc>
        <w:tc>
          <w:tcPr>
            <w:tcW w:w="405" w:type="pct"/>
            <w:vAlign w:val="center"/>
          </w:tcPr>
          <w:p>
            <w:pPr>
              <w:pStyle w:val="37"/>
              <w:rPr>
                <w:rFonts w:hint="default" w:eastAsia="宋体"/>
                <w:color w:val="000000"/>
                <w:lang w:val="en-US" w:eastAsia="zh-CN"/>
              </w:rPr>
            </w:pPr>
            <w:r>
              <w:rPr>
                <w:rFonts w:hint="eastAsia"/>
                <w:color w:val="000000"/>
                <w:lang w:val="en-US" w:eastAsia="zh-CN"/>
              </w:rPr>
              <w:t>73.5</w:t>
            </w:r>
          </w:p>
        </w:tc>
        <w:tc>
          <w:tcPr>
            <w:tcW w:w="459" w:type="pct"/>
            <w:vAlign w:val="center"/>
          </w:tcPr>
          <w:p>
            <w:pPr>
              <w:pStyle w:val="37"/>
              <w:rPr>
                <w:color w:val="000000"/>
                <w:kern w:val="2"/>
                <w:szCs w:val="24"/>
              </w:rPr>
            </w:pPr>
          </w:p>
        </w:tc>
        <w:tc>
          <w:tcPr>
            <w:tcW w:w="539" w:type="pct"/>
            <w:vAlign w:val="center"/>
          </w:tcPr>
          <w:p>
            <w:pPr>
              <w:pStyle w:val="37"/>
              <w:rPr>
                <w:color w:val="000000"/>
                <w:kern w:val="2"/>
                <w:szCs w:val="24"/>
              </w:rPr>
            </w:pPr>
          </w:p>
        </w:tc>
        <w:tc>
          <w:tcPr>
            <w:tcW w:w="549" w:type="pct"/>
            <w:vAlign w:val="center"/>
          </w:tcPr>
          <w:p>
            <w:pPr>
              <w:pStyle w:val="37"/>
              <w:rPr>
                <w:color w:val="000000"/>
                <w:kern w:val="2"/>
                <w:szCs w:val="24"/>
              </w:rPr>
            </w:pPr>
            <w:r>
              <w:rPr>
                <w:rFonts w:hint="eastAsia"/>
                <w:color w:val="000000"/>
                <w:kern w:val="2"/>
                <w:szCs w:val="24"/>
              </w:rPr>
              <w:t>2</w:t>
            </w:r>
          </w:p>
        </w:tc>
        <w:tc>
          <w:tcPr>
            <w:tcW w:w="491" w:type="pct"/>
            <w:vAlign w:val="center"/>
          </w:tcPr>
          <w:p>
            <w:pPr>
              <w:pStyle w:val="37"/>
              <w:rPr>
                <w:color w:val="000000"/>
                <w:kern w:val="2"/>
                <w:szCs w:val="24"/>
              </w:rPr>
            </w:pPr>
          </w:p>
        </w:tc>
        <w:tc>
          <w:tcPr>
            <w:tcW w:w="636" w:type="pct"/>
            <w:vAlign w:val="center"/>
          </w:tcPr>
          <w:p>
            <w:pPr>
              <w:pStyle w:val="37"/>
              <w:rPr>
                <w:rFonts w:hint="default" w:eastAsia="宋体"/>
                <w:color w:val="000000"/>
                <w:kern w:val="2"/>
                <w:szCs w:val="24"/>
                <w:lang w:val="en-US" w:eastAsia="zh-CN"/>
              </w:rPr>
            </w:pPr>
            <w:r>
              <w:rPr>
                <w:rFonts w:hint="eastAsia"/>
                <w:color w:val="000000"/>
                <w:kern w:val="2"/>
                <w:szCs w:val="24"/>
                <w:lang w:val="en-US" w:eastAsia="zh-CN"/>
              </w:rPr>
              <w:t>75.5</w:t>
            </w:r>
          </w:p>
        </w:tc>
        <w:tc>
          <w:tcPr>
            <w:tcW w:w="434" w:type="pct"/>
            <w:vAlign w:val="center"/>
          </w:tcPr>
          <w:p>
            <w:pPr>
              <w:pStyle w:val="37"/>
              <w:rPr>
                <w:color w:val="000000"/>
                <w:kern w:val="2"/>
                <w:szCs w:val="24"/>
              </w:rPr>
            </w:pPr>
            <w:r>
              <w:rPr>
                <w:rFonts w:hint="eastAsia"/>
                <w:color w:val="000000"/>
                <w:kern w:val="2"/>
                <w:szCs w:val="24"/>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pStyle w:val="37"/>
              <w:rPr>
                <w:color w:val="000000"/>
                <w:kern w:val="2"/>
                <w:szCs w:val="24"/>
              </w:rPr>
            </w:pPr>
          </w:p>
        </w:tc>
        <w:tc>
          <w:tcPr>
            <w:tcW w:w="1068" w:type="pct"/>
            <w:vAlign w:val="center"/>
          </w:tcPr>
          <w:p>
            <w:pPr>
              <w:pStyle w:val="37"/>
              <w:rPr>
                <w:color w:val="000000"/>
              </w:rPr>
            </w:pPr>
            <w:r>
              <w:rPr>
                <w:rFonts w:hint="eastAsia"/>
                <w:color w:val="000000"/>
              </w:rPr>
              <w:t>废包装材料</w:t>
            </w:r>
          </w:p>
        </w:tc>
        <w:tc>
          <w:tcPr>
            <w:tcW w:w="405" w:type="pct"/>
            <w:vAlign w:val="center"/>
          </w:tcPr>
          <w:p>
            <w:pPr>
              <w:pStyle w:val="37"/>
              <w:rPr>
                <w:color w:val="000000"/>
              </w:rPr>
            </w:pPr>
            <w:r>
              <w:rPr>
                <w:rFonts w:hint="eastAsia"/>
                <w:color w:val="000000"/>
              </w:rPr>
              <w:t>0.1</w:t>
            </w:r>
          </w:p>
        </w:tc>
        <w:tc>
          <w:tcPr>
            <w:tcW w:w="459" w:type="pct"/>
            <w:vAlign w:val="center"/>
          </w:tcPr>
          <w:p>
            <w:pPr>
              <w:pStyle w:val="37"/>
              <w:rPr>
                <w:color w:val="000000"/>
                <w:kern w:val="2"/>
                <w:szCs w:val="24"/>
              </w:rPr>
            </w:pPr>
          </w:p>
        </w:tc>
        <w:tc>
          <w:tcPr>
            <w:tcW w:w="539" w:type="pct"/>
            <w:vAlign w:val="center"/>
          </w:tcPr>
          <w:p>
            <w:pPr>
              <w:pStyle w:val="37"/>
              <w:rPr>
                <w:color w:val="000000"/>
                <w:kern w:val="2"/>
                <w:szCs w:val="24"/>
              </w:rPr>
            </w:pPr>
          </w:p>
        </w:tc>
        <w:tc>
          <w:tcPr>
            <w:tcW w:w="549" w:type="pct"/>
            <w:vAlign w:val="center"/>
          </w:tcPr>
          <w:p>
            <w:pPr>
              <w:pStyle w:val="37"/>
              <w:rPr>
                <w:color w:val="000000"/>
                <w:kern w:val="2"/>
                <w:szCs w:val="24"/>
              </w:rPr>
            </w:pPr>
            <w:r>
              <w:rPr>
                <w:rFonts w:hint="eastAsia"/>
                <w:color w:val="000000"/>
                <w:kern w:val="2"/>
                <w:szCs w:val="24"/>
              </w:rPr>
              <w:t>0.1</w:t>
            </w:r>
          </w:p>
        </w:tc>
        <w:tc>
          <w:tcPr>
            <w:tcW w:w="491" w:type="pct"/>
            <w:vAlign w:val="center"/>
          </w:tcPr>
          <w:p>
            <w:pPr>
              <w:pStyle w:val="37"/>
              <w:rPr>
                <w:color w:val="000000"/>
                <w:kern w:val="2"/>
                <w:szCs w:val="24"/>
              </w:rPr>
            </w:pPr>
          </w:p>
        </w:tc>
        <w:tc>
          <w:tcPr>
            <w:tcW w:w="636" w:type="pct"/>
            <w:vAlign w:val="center"/>
          </w:tcPr>
          <w:p>
            <w:pPr>
              <w:pStyle w:val="37"/>
              <w:rPr>
                <w:color w:val="000000"/>
                <w:kern w:val="2"/>
                <w:szCs w:val="24"/>
              </w:rPr>
            </w:pPr>
            <w:r>
              <w:rPr>
                <w:rFonts w:hint="eastAsia"/>
                <w:color w:val="000000"/>
                <w:kern w:val="2"/>
                <w:szCs w:val="24"/>
              </w:rPr>
              <w:t>0.02</w:t>
            </w:r>
          </w:p>
        </w:tc>
        <w:tc>
          <w:tcPr>
            <w:tcW w:w="434" w:type="pct"/>
            <w:vAlign w:val="center"/>
          </w:tcPr>
          <w:p>
            <w:pPr>
              <w:pStyle w:val="37"/>
              <w:rPr>
                <w:color w:val="000000"/>
                <w:kern w:val="2"/>
                <w:szCs w:val="24"/>
              </w:rPr>
            </w:pPr>
            <w:r>
              <w:rPr>
                <w:rFonts w:hint="eastAsia"/>
                <w:color w:val="000000"/>
                <w:kern w:val="2"/>
                <w:szCs w:val="24"/>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pStyle w:val="37"/>
              <w:rPr>
                <w:color w:val="000000"/>
                <w:kern w:val="2"/>
                <w:szCs w:val="24"/>
              </w:rPr>
            </w:pPr>
          </w:p>
        </w:tc>
        <w:tc>
          <w:tcPr>
            <w:tcW w:w="1068" w:type="pct"/>
            <w:vAlign w:val="center"/>
          </w:tcPr>
          <w:p>
            <w:pPr>
              <w:pStyle w:val="37"/>
              <w:rPr>
                <w:color w:val="000000"/>
              </w:rPr>
            </w:pPr>
            <w:r>
              <w:rPr>
                <w:rFonts w:hint="eastAsia"/>
                <w:color w:val="000000"/>
              </w:rPr>
              <w:t>布袋收集尘</w:t>
            </w:r>
          </w:p>
        </w:tc>
        <w:tc>
          <w:tcPr>
            <w:tcW w:w="405" w:type="pct"/>
            <w:vAlign w:val="center"/>
          </w:tcPr>
          <w:p>
            <w:pPr>
              <w:pStyle w:val="37"/>
              <w:rPr>
                <w:color w:val="000000"/>
              </w:rPr>
            </w:pPr>
          </w:p>
        </w:tc>
        <w:tc>
          <w:tcPr>
            <w:tcW w:w="459" w:type="pct"/>
            <w:vAlign w:val="center"/>
          </w:tcPr>
          <w:p>
            <w:pPr>
              <w:pStyle w:val="37"/>
              <w:rPr>
                <w:color w:val="000000"/>
                <w:kern w:val="2"/>
                <w:szCs w:val="24"/>
              </w:rPr>
            </w:pPr>
          </w:p>
        </w:tc>
        <w:tc>
          <w:tcPr>
            <w:tcW w:w="539" w:type="pct"/>
            <w:vAlign w:val="center"/>
          </w:tcPr>
          <w:p>
            <w:pPr>
              <w:pStyle w:val="37"/>
              <w:rPr>
                <w:color w:val="000000"/>
                <w:kern w:val="2"/>
                <w:szCs w:val="24"/>
              </w:rPr>
            </w:pPr>
          </w:p>
        </w:tc>
        <w:tc>
          <w:tcPr>
            <w:tcW w:w="549" w:type="pct"/>
            <w:vAlign w:val="center"/>
          </w:tcPr>
          <w:p>
            <w:pPr>
              <w:pStyle w:val="37"/>
              <w:rPr>
                <w:color w:val="000000"/>
                <w:kern w:val="2"/>
                <w:szCs w:val="24"/>
              </w:rPr>
            </w:pPr>
            <w:r>
              <w:rPr>
                <w:rFonts w:hint="eastAsia"/>
                <w:color w:val="000000"/>
                <w:kern w:val="2"/>
                <w:szCs w:val="24"/>
                <w:lang w:val="en-US" w:eastAsia="zh-CN"/>
              </w:rPr>
              <w:t>27.627</w:t>
            </w:r>
            <w:r>
              <w:rPr>
                <w:rFonts w:hint="eastAsia"/>
                <w:color w:val="000000"/>
                <w:kern w:val="2"/>
                <w:szCs w:val="24"/>
              </w:rPr>
              <w:t>kg</w:t>
            </w:r>
          </w:p>
        </w:tc>
        <w:tc>
          <w:tcPr>
            <w:tcW w:w="491" w:type="pct"/>
            <w:vAlign w:val="center"/>
          </w:tcPr>
          <w:p>
            <w:pPr>
              <w:pStyle w:val="37"/>
              <w:rPr>
                <w:color w:val="000000"/>
                <w:kern w:val="2"/>
                <w:szCs w:val="24"/>
              </w:rPr>
            </w:pPr>
          </w:p>
        </w:tc>
        <w:tc>
          <w:tcPr>
            <w:tcW w:w="636" w:type="pct"/>
            <w:vAlign w:val="center"/>
          </w:tcPr>
          <w:p>
            <w:pPr>
              <w:pStyle w:val="37"/>
              <w:rPr>
                <w:color w:val="000000"/>
                <w:kern w:val="2"/>
                <w:szCs w:val="24"/>
              </w:rPr>
            </w:pPr>
            <w:r>
              <w:rPr>
                <w:rFonts w:hint="eastAsia"/>
                <w:color w:val="000000"/>
                <w:kern w:val="2"/>
                <w:szCs w:val="24"/>
                <w:lang w:val="en-US" w:eastAsia="zh-CN"/>
              </w:rPr>
              <w:t>27.627</w:t>
            </w:r>
            <w:r>
              <w:rPr>
                <w:rFonts w:hint="eastAsia"/>
                <w:color w:val="000000"/>
                <w:kern w:val="2"/>
                <w:szCs w:val="24"/>
              </w:rPr>
              <w:t>kg</w:t>
            </w:r>
          </w:p>
        </w:tc>
        <w:tc>
          <w:tcPr>
            <w:tcW w:w="434" w:type="pct"/>
            <w:vAlign w:val="center"/>
          </w:tcPr>
          <w:p>
            <w:pPr>
              <w:pStyle w:val="37"/>
              <w:rPr>
                <w:color w:val="000000"/>
                <w:kern w:val="2"/>
                <w:szCs w:val="24"/>
              </w:rPr>
            </w:pPr>
            <w:r>
              <w:rPr>
                <w:rFonts w:hint="eastAsia"/>
                <w:color w:val="000000"/>
                <w:kern w:val="2"/>
                <w:szCs w:val="24"/>
              </w:rPr>
              <w:t>+</w:t>
            </w:r>
            <w:r>
              <w:rPr>
                <w:rFonts w:hint="eastAsia"/>
                <w:color w:val="000000"/>
                <w:kern w:val="2"/>
                <w:szCs w:val="24"/>
                <w:lang w:val="en-US" w:eastAsia="zh-CN"/>
              </w:rPr>
              <w:t>27.627</w:t>
            </w:r>
            <w:r>
              <w:rPr>
                <w:rFonts w:hint="eastAsia"/>
                <w:color w:val="000000"/>
                <w:kern w:val="2"/>
                <w:szCs w:val="24"/>
              </w:rPr>
              <w:t>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pStyle w:val="37"/>
              <w:rPr>
                <w:color w:val="000000"/>
                <w:kern w:val="2"/>
                <w:szCs w:val="24"/>
              </w:rPr>
            </w:pPr>
          </w:p>
        </w:tc>
        <w:tc>
          <w:tcPr>
            <w:tcW w:w="1068" w:type="pct"/>
            <w:vAlign w:val="center"/>
          </w:tcPr>
          <w:p>
            <w:pPr>
              <w:pStyle w:val="37"/>
              <w:rPr>
                <w:color w:val="000000"/>
              </w:rPr>
            </w:pPr>
            <w:r>
              <w:rPr>
                <w:rFonts w:hint="eastAsia"/>
                <w:color w:val="000000"/>
              </w:rPr>
              <w:t>废布袋</w:t>
            </w:r>
          </w:p>
        </w:tc>
        <w:tc>
          <w:tcPr>
            <w:tcW w:w="405" w:type="pct"/>
            <w:vAlign w:val="center"/>
          </w:tcPr>
          <w:p>
            <w:pPr>
              <w:pStyle w:val="37"/>
              <w:rPr>
                <w:color w:val="000000"/>
              </w:rPr>
            </w:pPr>
          </w:p>
        </w:tc>
        <w:tc>
          <w:tcPr>
            <w:tcW w:w="459" w:type="pct"/>
            <w:vAlign w:val="center"/>
          </w:tcPr>
          <w:p>
            <w:pPr>
              <w:pStyle w:val="37"/>
              <w:rPr>
                <w:color w:val="000000"/>
                <w:kern w:val="2"/>
                <w:szCs w:val="24"/>
              </w:rPr>
            </w:pPr>
          </w:p>
        </w:tc>
        <w:tc>
          <w:tcPr>
            <w:tcW w:w="539" w:type="pct"/>
            <w:vAlign w:val="center"/>
          </w:tcPr>
          <w:p>
            <w:pPr>
              <w:pStyle w:val="37"/>
              <w:rPr>
                <w:color w:val="000000"/>
                <w:kern w:val="2"/>
                <w:szCs w:val="24"/>
              </w:rPr>
            </w:pPr>
          </w:p>
        </w:tc>
        <w:tc>
          <w:tcPr>
            <w:tcW w:w="549" w:type="pct"/>
            <w:vAlign w:val="center"/>
          </w:tcPr>
          <w:p>
            <w:pPr>
              <w:pStyle w:val="37"/>
              <w:rPr>
                <w:color w:val="000000"/>
                <w:kern w:val="2"/>
                <w:szCs w:val="24"/>
              </w:rPr>
            </w:pPr>
            <w:r>
              <w:rPr>
                <w:rFonts w:hint="eastAsia"/>
                <w:color w:val="000000"/>
                <w:kern w:val="2"/>
                <w:szCs w:val="24"/>
              </w:rPr>
              <w:t>0.01</w:t>
            </w:r>
          </w:p>
        </w:tc>
        <w:tc>
          <w:tcPr>
            <w:tcW w:w="491" w:type="pct"/>
            <w:vAlign w:val="center"/>
          </w:tcPr>
          <w:p>
            <w:pPr>
              <w:pStyle w:val="37"/>
              <w:rPr>
                <w:color w:val="000000"/>
                <w:kern w:val="2"/>
                <w:szCs w:val="24"/>
              </w:rPr>
            </w:pPr>
          </w:p>
        </w:tc>
        <w:tc>
          <w:tcPr>
            <w:tcW w:w="636" w:type="pct"/>
            <w:vAlign w:val="center"/>
          </w:tcPr>
          <w:p>
            <w:pPr>
              <w:pStyle w:val="37"/>
              <w:rPr>
                <w:color w:val="000000"/>
                <w:kern w:val="2"/>
                <w:szCs w:val="24"/>
              </w:rPr>
            </w:pPr>
            <w:r>
              <w:rPr>
                <w:rFonts w:hint="eastAsia"/>
                <w:color w:val="000000"/>
                <w:kern w:val="2"/>
                <w:szCs w:val="24"/>
              </w:rPr>
              <w:t>0.01</w:t>
            </w:r>
          </w:p>
        </w:tc>
        <w:tc>
          <w:tcPr>
            <w:tcW w:w="434" w:type="pct"/>
            <w:vAlign w:val="center"/>
          </w:tcPr>
          <w:p>
            <w:pPr>
              <w:pStyle w:val="37"/>
              <w:rPr>
                <w:color w:val="000000"/>
                <w:kern w:val="2"/>
                <w:szCs w:val="24"/>
              </w:rPr>
            </w:pPr>
            <w:r>
              <w:rPr>
                <w:rFonts w:hint="eastAsia"/>
                <w:color w:val="000000"/>
                <w:kern w:val="2"/>
                <w:szCs w:val="24"/>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pStyle w:val="37"/>
              <w:rPr>
                <w:color w:val="000000"/>
                <w:kern w:val="2"/>
                <w:szCs w:val="24"/>
              </w:rPr>
            </w:pPr>
          </w:p>
        </w:tc>
        <w:tc>
          <w:tcPr>
            <w:tcW w:w="1068" w:type="pct"/>
            <w:vAlign w:val="center"/>
          </w:tcPr>
          <w:p>
            <w:pPr>
              <w:pStyle w:val="37"/>
              <w:rPr>
                <w:color w:val="000000"/>
              </w:rPr>
            </w:pPr>
            <w:r>
              <w:rPr>
                <w:rFonts w:hint="eastAsia"/>
                <w:color w:val="000000"/>
              </w:rPr>
              <w:t>地面清扫尘</w:t>
            </w:r>
          </w:p>
        </w:tc>
        <w:tc>
          <w:tcPr>
            <w:tcW w:w="405" w:type="pct"/>
            <w:vAlign w:val="center"/>
          </w:tcPr>
          <w:p>
            <w:pPr>
              <w:pStyle w:val="37"/>
              <w:rPr>
                <w:color w:val="000000"/>
              </w:rPr>
            </w:pPr>
          </w:p>
        </w:tc>
        <w:tc>
          <w:tcPr>
            <w:tcW w:w="459" w:type="pct"/>
            <w:vAlign w:val="center"/>
          </w:tcPr>
          <w:p>
            <w:pPr>
              <w:pStyle w:val="37"/>
              <w:rPr>
                <w:color w:val="000000"/>
                <w:kern w:val="2"/>
                <w:szCs w:val="24"/>
              </w:rPr>
            </w:pPr>
          </w:p>
        </w:tc>
        <w:tc>
          <w:tcPr>
            <w:tcW w:w="539" w:type="pct"/>
            <w:vAlign w:val="center"/>
          </w:tcPr>
          <w:p>
            <w:pPr>
              <w:pStyle w:val="37"/>
              <w:rPr>
                <w:color w:val="000000"/>
                <w:kern w:val="2"/>
                <w:szCs w:val="24"/>
              </w:rPr>
            </w:pPr>
          </w:p>
        </w:tc>
        <w:tc>
          <w:tcPr>
            <w:tcW w:w="549" w:type="pct"/>
            <w:vAlign w:val="center"/>
          </w:tcPr>
          <w:p>
            <w:pPr>
              <w:pStyle w:val="37"/>
              <w:rPr>
                <w:color w:val="000000"/>
                <w:kern w:val="2"/>
                <w:szCs w:val="24"/>
              </w:rPr>
            </w:pPr>
            <w:r>
              <w:rPr>
                <w:rFonts w:hint="eastAsia"/>
                <w:color w:val="000000"/>
                <w:kern w:val="2"/>
                <w:szCs w:val="24"/>
              </w:rPr>
              <w:t>0.5</w:t>
            </w:r>
          </w:p>
        </w:tc>
        <w:tc>
          <w:tcPr>
            <w:tcW w:w="491" w:type="pct"/>
            <w:vAlign w:val="center"/>
          </w:tcPr>
          <w:p>
            <w:pPr>
              <w:pStyle w:val="37"/>
              <w:rPr>
                <w:color w:val="000000"/>
                <w:kern w:val="2"/>
                <w:szCs w:val="24"/>
              </w:rPr>
            </w:pPr>
          </w:p>
        </w:tc>
        <w:tc>
          <w:tcPr>
            <w:tcW w:w="636" w:type="pct"/>
            <w:vAlign w:val="center"/>
          </w:tcPr>
          <w:p>
            <w:pPr>
              <w:pStyle w:val="37"/>
              <w:rPr>
                <w:color w:val="000000"/>
                <w:kern w:val="2"/>
                <w:szCs w:val="24"/>
              </w:rPr>
            </w:pPr>
            <w:r>
              <w:rPr>
                <w:rFonts w:hint="eastAsia"/>
                <w:color w:val="000000"/>
                <w:kern w:val="2"/>
                <w:szCs w:val="24"/>
              </w:rPr>
              <w:t>0.5</w:t>
            </w:r>
          </w:p>
        </w:tc>
        <w:tc>
          <w:tcPr>
            <w:tcW w:w="434" w:type="pct"/>
            <w:vAlign w:val="center"/>
          </w:tcPr>
          <w:p>
            <w:pPr>
              <w:pStyle w:val="37"/>
              <w:rPr>
                <w:color w:val="000000"/>
                <w:kern w:val="2"/>
                <w:szCs w:val="24"/>
              </w:rPr>
            </w:pPr>
            <w:r>
              <w:rPr>
                <w:rFonts w:hint="eastAsia"/>
                <w:color w:val="000000"/>
                <w:kern w:val="2"/>
                <w:szCs w:val="24"/>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restart"/>
            <w:vAlign w:val="center"/>
          </w:tcPr>
          <w:p>
            <w:pPr>
              <w:pStyle w:val="37"/>
              <w:rPr>
                <w:color w:val="000000"/>
                <w:kern w:val="2"/>
                <w:szCs w:val="24"/>
              </w:rPr>
            </w:pPr>
            <w:r>
              <w:rPr>
                <w:color w:val="000000"/>
                <w:kern w:val="2"/>
                <w:szCs w:val="24"/>
              </w:rPr>
              <w:t>危险废物</w:t>
            </w:r>
          </w:p>
        </w:tc>
        <w:tc>
          <w:tcPr>
            <w:tcW w:w="1068" w:type="pct"/>
            <w:vAlign w:val="center"/>
          </w:tcPr>
          <w:p>
            <w:pPr>
              <w:pStyle w:val="37"/>
              <w:rPr>
                <w:color w:val="000000"/>
              </w:rPr>
            </w:pPr>
            <w:r>
              <w:rPr>
                <w:rFonts w:hint="eastAsia"/>
                <w:color w:val="000000"/>
              </w:rPr>
              <w:t>废劳保品</w:t>
            </w:r>
          </w:p>
        </w:tc>
        <w:tc>
          <w:tcPr>
            <w:tcW w:w="405" w:type="pct"/>
            <w:vAlign w:val="center"/>
          </w:tcPr>
          <w:p>
            <w:pPr>
              <w:pStyle w:val="37"/>
              <w:rPr>
                <w:color w:val="000000"/>
              </w:rPr>
            </w:pPr>
            <w:r>
              <w:rPr>
                <w:rFonts w:hint="eastAsia"/>
                <w:color w:val="000000"/>
              </w:rPr>
              <w:t>20</w:t>
            </w:r>
          </w:p>
        </w:tc>
        <w:tc>
          <w:tcPr>
            <w:tcW w:w="459" w:type="pct"/>
            <w:vAlign w:val="center"/>
          </w:tcPr>
          <w:p>
            <w:pPr>
              <w:pStyle w:val="37"/>
              <w:rPr>
                <w:color w:val="000000"/>
                <w:kern w:val="2"/>
                <w:szCs w:val="24"/>
              </w:rPr>
            </w:pPr>
          </w:p>
        </w:tc>
        <w:tc>
          <w:tcPr>
            <w:tcW w:w="539" w:type="pct"/>
            <w:vAlign w:val="center"/>
          </w:tcPr>
          <w:p>
            <w:pPr>
              <w:pStyle w:val="37"/>
              <w:rPr>
                <w:color w:val="000000"/>
                <w:kern w:val="2"/>
                <w:szCs w:val="24"/>
              </w:rPr>
            </w:pPr>
          </w:p>
        </w:tc>
        <w:tc>
          <w:tcPr>
            <w:tcW w:w="549" w:type="pct"/>
            <w:vAlign w:val="center"/>
          </w:tcPr>
          <w:p>
            <w:pPr>
              <w:pStyle w:val="37"/>
              <w:rPr>
                <w:color w:val="000000"/>
              </w:rPr>
            </w:pPr>
            <w:r>
              <w:rPr>
                <w:rFonts w:hint="eastAsia"/>
                <w:color w:val="000000"/>
              </w:rPr>
              <w:t>0.05</w:t>
            </w:r>
          </w:p>
        </w:tc>
        <w:tc>
          <w:tcPr>
            <w:tcW w:w="491" w:type="pct"/>
            <w:vAlign w:val="center"/>
          </w:tcPr>
          <w:p>
            <w:pPr>
              <w:pStyle w:val="37"/>
              <w:rPr>
                <w:color w:val="000000"/>
                <w:kern w:val="2"/>
                <w:szCs w:val="24"/>
              </w:rPr>
            </w:pPr>
          </w:p>
        </w:tc>
        <w:tc>
          <w:tcPr>
            <w:tcW w:w="636" w:type="pct"/>
            <w:vAlign w:val="center"/>
          </w:tcPr>
          <w:p>
            <w:pPr>
              <w:pStyle w:val="37"/>
              <w:rPr>
                <w:color w:val="000000"/>
              </w:rPr>
            </w:pPr>
            <w:r>
              <w:rPr>
                <w:rFonts w:hint="eastAsia"/>
                <w:color w:val="000000"/>
              </w:rPr>
              <w:t>20.05</w:t>
            </w:r>
          </w:p>
        </w:tc>
        <w:tc>
          <w:tcPr>
            <w:tcW w:w="434" w:type="pct"/>
            <w:vAlign w:val="center"/>
          </w:tcPr>
          <w:p>
            <w:pPr>
              <w:pStyle w:val="37"/>
              <w:rPr>
                <w:color w:val="000000"/>
              </w:rPr>
            </w:pPr>
            <w:r>
              <w:rPr>
                <w:rFonts w:hint="eastAsia"/>
                <w:color w:val="000000"/>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pStyle w:val="37"/>
              <w:rPr>
                <w:color w:val="000000"/>
                <w:kern w:val="2"/>
                <w:szCs w:val="24"/>
              </w:rPr>
            </w:pPr>
          </w:p>
        </w:tc>
        <w:tc>
          <w:tcPr>
            <w:tcW w:w="1068" w:type="pct"/>
            <w:vAlign w:val="center"/>
          </w:tcPr>
          <w:p>
            <w:pPr>
              <w:pStyle w:val="37"/>
              <w:rPr>
                <w:color w:val="000000"/>
              </w:rPr>
            </w:pPr>
            <w:r>
              <w:rPr>
                <w:rFonts w:hint="eastAsia"/>
                <w:color w:val="000000"/>
              </w:rPr>
              <w:t>废机油及废机油瓶</w:t>
            </w:r>
          </w:p>
        </w:tc>
        <w:tc>
          <w:tcPr>
            <w:tcW w:w="405" w:type="pct"/>
            <w:vAlign w:val="center"/>
          </w:tcPr>
          <w:p>
            <w:pPr>
              <w:pStyle w:val="37"/>
              <w:rPr>
                <w:color w:val="000000"/>
              </w:rPr>
            </w:pPr>
            <w:r>
              <w:rPr>
                <w:rFonts w:hint="eastAsia"/>
                <w:color w:val="000000"/>
              </w:rPr>
              <w:t>20</w:t>
            </w:r>
          </w:p>
        </w:tc>
        <w:tc>
          <w:tcPr>
            <w:tcW w:w="459" w:type="pct"/>
            <w:vAlign w:val="center"/>
          </w:tcPr>
          <w:p>
            <w:pPr>
              <w:pStyle w:val="37"/>
              <w:rPr>
                <w:color w:val="000000"/>
                <w:kern w:val="2"/>
                <w:szCs w:val="24"/>
              </w:rPr>
            </w:pPr>
          </w:p>
        </w:tc>
        <w:tc>
          <w:tcPr>
            <w:tcW w:w="539" w:type="pct"/>
            <w:vAlign w:val="center"/>
          </w:tcPr>
          <w:p>
            <w:pPr>
              <w:pStyle w:val="37"/>
              <w:rPr>
                <w:color w:val="000000"/>
                <w:kern w:val="2"/>
                <w:szCs w:val="24"/>
              </w:rPr>
            </w:pPr>
          </w:p>
        </w:tc>
        <w:tc>
          <w:tcPr>
            <w:tcW w:w="549" w:type="pct"/>
            <w:vAlign w:val="center"/>
          </w:tcPr>
          <w:p>
            <w:pPr>
              <w:pStyle w:val="37"/>
              <w:rPr>
                <w:color w:val="000000"/>
                <w:kern w:val="2"/>
                <w:szCs w:val="24"/>
              </w:rPr>
            </w:pPr>
            <w:r>
              <w:rPr>
                <w:rFonts w:hint="eastAsia"/>
                <w:color w:val="000000"/>
                <w:kern w:val="2"/>
                <w:szCs w:val="24"/>
              </w:rPr>
              <w:t>0.11</w:t>
            </w:r>
          </w:p>
        </w:tc>
        <w:tc>
          <w:tcPr>
            <w:tcW w:w="491" w:type="pct"/>
            <w:vAlign w:val="center"/>
          </w:tcPr>
          <w:p>
            <w:pPr>
              <w:pStyle w:val="37"/>
              <w:rPr>
                <w:color w:val="000000"/>
                <w:kern w:val="2"/>
                <w:szCs w:val="24"/>
              </w:rPr>
            </w:pPr>
          </w:p>
        </w:tc>
        <w:tc>
          <w:tcPr>
            <w:tcW w:w="636" w:type="pct"/>
            <w:vAlign w:val="center"/>
          </w:tcPr>
          <w:p>
            <w:pPr>
              <w:pStyle w:val="37"/>
              <w:rPr>
                <w:color w:val="000000"/>
                <w:kern w:val="2"/>
                <w:szCs w:val="24"/>
              </w:rPr>
            </w:pPr>
            <w:r>
              <w:rPr>
                <w:rFonts w:hint="eastAsia"/>
                <w:color w:val="000000"/>
                <w:kern w:val="2"/>
                <w:szCs w:val="24"/>
              </w:rPr>
              <w:t>20.11</w:t>
            </w:r>
          </w:p>
        </w:tc>
        <w:tc>
          <w:tcPr>
            <w:tcW w:w="434" w:type="pct"/>
            <w:vAlign w:val="center"/>
          </w:tcPr>
          <w:p>
            <w:pPr>
              <w:pStyle w:val="37"/>
              <w:rPr>
                <w:color w:val="000000"/>
                <w:kern w:val="2"/>
                <w:szCs w:val="24"/>
              </w:rPr>
            </w:pPr>
            <w:r>
              <w:rPr>
                <w:rFonts w:hint="eastAsia"/>
                <w:color w:val="000000"/>
                <w:kern w:val="2"/>
                <w:szCs w:val="24"/>
              </w:rPr>
              <w:t>+0.11</w:t>
            </w:r>
          </w:p>
        </w:tc>
      </w:tr>
    </w:tbl>
    <w:p>
      <w:pPr>
        <w:pStyle w:val="45"/>
        <w:spacing w:beforeLines="80" w:after="24"/>
        <w:ind w:firstLine="420"/>
        <w:jc w:val="left"/>
        <w:rPr>
          <w:color w:val="000000"/>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color w:val="000000"/>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ascii="Times New Roman"/>
          <w:color w:val="000000"/>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ascii="Times New Roman"/>
          <w:color w:val="000000"/>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ascii="Times New Roman"/>
          <w:color w:val="000000"/>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ascii="Times New Roman"/>
          <w:color w:val="000000"/>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color w:val="000000"/>
          <w:szCs w:val="21"/>
        </w:rPr>
        <w:t>①</w:t>
      </w:r>
      <w:r>
        <w:rPr>
          <w:rFonts w:ascii="Times New Roman"/>
          <w:snapToGrid w:val="0"/>
          <w:color w:val="000000"/>
          <w:spacing w:val="-6"/>
          <w:kern w:val="21"/>
          <w:szCs w:val="21"/>
        </w:rPr>
        <w:fldChar w:fldCharType="end"/>
      </w:r>
    </w:p>
    <w:sectPr>
      <w:footerReference r:id="rId13" w:type="default"/>
      <w:pgSz w:w="16838" w:h="11906" w:orient="landscape"/>
      <w:pgMar w:top="1134" w:right="1701" w:bottom="851" w:left="1701" w:header="340" w:footer="340"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88AA792-B9A3-48EF-9625-320B933F92A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MingLiU">
    <w:altName w:val="PMingLiU-ExtB"/>
    <w:panose1 w:val="02020509000000000000"/>
    <w:charset w:val="88"/>
    <w:family w:val="modern"/>
    <w:pitch w:val="default"/>
    <w:sig w:usb0="00000000" w:usb1="00000000" w:usb2="00000010" w:usb3="00000000" w:csb0="00100000" w:csb1="00000000"/>
  </w:font>
  <w:font w:name="Times">
    <w:altName w:val="Times New Roman"/>
    <w:panose1 w:val="02020603050405020304"/>
    <w:charset w:val="00"/>
    <w:family w:val="roman"/>
    <w:pitch w:val="default"/>
    <w:sig w:usb0="00000000" w:usb1="00000000" w:usb2="00000000" w:usb3="00000000" w:csb0="00000093"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embedRegular r:id="rId2" w:fontKey="{CAAEB704-72D3-455A-B18B-2842DDA0F78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pict>
        <v:shape id="_x0000_s1026" o:spid="_x0000_s1026" o:spt="202" type="#_x0000_t202" style="position:absolute;left:0pt;margin-top:-1.05pt;height:144pt;width:144pt;mso-position-horizontal:center;mso-position-horizontal-relative:margin;mso-wrap-style:none;z-index:251661312;mso-width-relative:page;mso-height-relative:page;" filled="f" stroked="f" coordsize="21600,21600" o:gfxdata="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QtQftMAAAAHAQAADwAAAAAAAAABACAAAAAiAAAAZHJzL2Rvd25y&#10;ZXYueG1sUEsBAhQAFAAAAAgAh07iQO74713KAQAAnQMAAA4AAAAAAAAAAQAgAAAAIgEAAGRycy9l&#10;Mm9Eb2MueG1sUEsFBgAAAAAGAAYAWQEAAF4FAAAAAA==&#10;">
          <v:path/>
          <v:fill on="f" focussize="0,0"/>
          <v:stroke on="f" joinstyle="miter"/>
          <v:imagedata o:title=""/>
          <o:lock v:ext="edit"/>
          <v:textbox inset="0mm,0mm,0mm,0mm" style="mso-fit-shape-to-text:t;">
            <w:txbxContent>
              <w:p>
                <w:pPr>
                  <w:pStyle w:val="18"/>
                  <w:ind w:firstLine="560"/>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sz w:val="26"/>
                    <w:szCs w:val="26"/>
                  </w:rPr>
                  <w:fldChar w:fldCharType="begin"/>
                </w:r>
                <w:r>
                  <w:rPr>
                    <w:rStyle w:val="32"/>
                    <w:sz w:val="26"/>
                    <w:szCs w:val="26"/>
                  </w:rPr>
                  <w:instrText xml:space="preserve">PAGE  </w:instrText>
                </w:r>
                <w:r>
                  <w:rPr>
                    <w:sz w:val="26"/>
                    <w:szCs w:val="26"/>
                  </w:rPr>
                  <w:fldChar w:fldCharType="separate"/>
                </w:r>
                <w:r>
                  <w:rPr>
                    <w:rStyle w:val="32"/>
                    <w:sz w:val="26"/>
                    <w:szCs w:val="26"/>
                  </w:rPr>
                  <w:t>1</w:t>
                </w:r>
                <w:r>
                  <w:rPr>
                    <w:sz w:val="26"/>
                    <w:szCs w:val="26"/>
                  </w:rPr>
                  <w:fldChar w:fldCharType="end"/>
                </w:r>
                <w:r>
                  <w:rPr>
                    <w:rStyle w:val="32"/>
                    <w:sz w:val="20"/>
                  </w:rPr>
                  <w:t xml:space="preserve"> </w:t>
                </w:r>
                <w:r>
                  <w:rPr>
                    <w:rStyle w:val="32"/>
                    <w:rFonts w:hint="eastAsia" w:ascii="宋体" w:hAnsi="宋体"/>
                    <w:sz w:val="20"/>
                  </w:rPr>
                  <w:t xml:space="preserve"> </w:t>
                </w:r>
                <w:r>
                  <w:rPr>
                    <w:rStyle w:val="32"/>
                    <w:rFonts w:hint="eastAsia" w:ascii="宋体" w:hAnsi="宋体"/>
                    <w:sz w:val="28"/>
                    <w:szCs w:val="28"/>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pict>
        <v:shape id="文本框 2052" o:spid="_x0000_s1028" o:spt="202" type="#_x0000_t202" style="position:absolute;left:0pt;margin-top:-1.05pt;height:144pt;width:144pt;mso-position-horizontal:center;mso-position-horizontal-relative:margin;mso-wrap-style:none;z-index:251660288;mso-width-relative:page;mso-height-relative:page;" filled="f" stroked="f" coordsize="21600,21600" o:gfxdata="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ELUH7TAAAABwEAAA8AAAAAAAAAAQAgAAAAIgAAAGRycy9kb3du&#10;cmV2LnhtbFBLAQIUABQAAAAIAIdO4kDMR1jAywEAAJwDAAAOAAAAAAAAAAEAIAAAACIBAABkcnMv&#10;ZTJvRG9jLnhtbFBLBQYAAAAABgAGAFkBAABfBQAAAAA=&#10;">
          <v:path/>
          <v:fill on="f" focussize="0,0"/>
          <v:stroke on="f" joinstyle="miter"/>
          <v:imagedata o:title=""/>
          <o:lock v:ext="edit"/>
          <v:textbox inset="0mm,0mm,0mm,0mm" style="mso-fit-shape-to-text:t;">
            <w:txbxContent>
              <w:p>
                <w:pPr>
                  <w:pStyle w:val="18"/>
                  <w:ind w:firstLine="560"/>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sz w:val="26"/>
                    <w:szCs w:val="26"/>
                  </w:rPr>
                  <w:fldChar w:fldCharType="begin"/>
                </w:r>
                <w:r>
                  <w:rPr>
                    <w:rStyle w:val="32"/>
                    <w:sz w:val="26"/>
                    <w:szCs w:val="26"/>
                  </w:rPr>
                  <w:instrText xml:space="preserve">PAGE  </w:instrText>
                </w:r>
                <w:r>
                  <w:rPr>
                    <w:sz w:val="26"/>
                    <w:szCs w:val="26"/>
                  </w:rPr>
                  <w:fldChar w:fldCharType="separate"/>
                </w:r>
                <w:r>
                  <w:rPr>
                    <w:rStyle w:val="32"/>
                    <w:sz w:val="26"/>
                    <w:szCs w:val="26"/>
                  </w:rPr>
                  <w:t>21</w:t>
                </w:r>
                <w:r>
                  <w:rPr>
                    <w:sz w:val="26"/>
                    <w:szCs w:val="26"/>
                  </w:rPr>
                  <w:fldChar w:fldCharType="end"/>
                </w:r>
                <w:r>
                  <w:rPr>
                    <w:rStyle w:val="32"/>
                    <w:sz w:val="20"/>
                  </w:rPr>
                  <w:t xml:space="preserve"> </w:t>
                </w:r>
                <w:r>
                  <w:rPr>
                    <w:rStyle w:val="32"/>
                    <w:rFonts w:hint="eastAsia" w:ascii="宋体" w:hAnsi="宋体"/>
                    <w:sz w:val="20"/>
                  </w:rPr>
                  <w:t xml:space="preserve"> </w:t>
                </w:r>
                <w:r>
                  <w:rPr>
                    <w:rStyle w:val="32"/>
                    <w:rFonts w:hint="eastAsia" w:ascii="宋体" w:hAnsi="宋体"/>
                    <w:sz w:val="28"/>
                    <w:szCs w:val="28"/>
                  </w:rPr>
                  <w:t>—</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pict>
        <v:shape id="文本框 2051" o:spid="_x0000_s1027" o:spt="202" type="#_x0000_t202" style="position:absolute;left:0pt;margin-top:-1.05pt;height:144pt;width:144pt;mso-position-horizontal:center;mso-position-horizontal-relative:margin;mso-wrap-style:none;z-index:251659264;mso-width-relative:page;mso-height-relative:page;" filled="f" stroked="f" coordsize="21600,21600" o:gfxdata="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QtQftMAAAAHAQAADwAAAAAAAAABACAAAAAiAAAAZHJzL2Rvd25y&#10;ZXYueG1sUEsBAhQAFAAAAAgAh07iQATAZUDKAQAAnAMAAA4AAAAAAAAAAQAgAAAAIgEAAGRycy9l&#10;Mm9Eb2MueG1sUEsFBgAAAAAGAAYAWQEAAF4FAAAAAA==&#10;">
          <v:path/>
          <v:fill on="f" focussize="0,0"/>
          <v:stroke on="f" joinstyle="miter"/>
          <v:imagedata o:title=""/>
          <o:lock v:ext="edit"/>
          <v:textbox inset="0mm,0mm,0mm,0mm" style="mso-fit-shape-to-text:t;">
            <w:txbxContent>
              <w:p>
                <w:pPr>
                  <w:pStyle w:val="18"/>
                  <w:ind w:firstLine="560"/>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73</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DACD8"/>
    <w:multiLevelType w:val="singleLevel"/>
    <w:tmpl w:val="86ADACD8"/>
    <w:lvl w:ilvl="0" w:tentative="0">
      <w:start w:val="1"/>
      <w:numFmt w:val="decimal"/>
      <w:suff w:val="nothing"/>
      <w:lvlText w:val="%1、"/>
      <w:lvlJc w:val="left"/>
    </w:lvl>
  </w:abstractNum>
  <w:abstractNum w:abstractNumId="1">
    <w:nsid w:val="C3650554"/>
    <w:multiLevelType w:val="singleLevel"/>
    <w:tmpl w:val="C3650554"/>
    <w:lvl w:ilvl="0" w:tentative="0">
      <w:start w:val="1"/>
      <w:numFmt w:val="decimal"/>
      <w:suff w:val="nothing"/>
      <w:lvlText w:val="%1、"/>
      <w:lvlJc w:val="left"/>
    </w:lvl>
  </w:abstractNum>
  <w:abstractNum w:abstractNumId="2">
    <w:nsid w:val="C3D9DF6C"/>
    <w:multiLevelType w:val="singleLevel"/>
    <w:tmpl w:val="C3D9DF6C"/>
    <w:lvl w:ilvl="0" w:tentative="0">
      <w:start w:val="3"/>
      <w:numFmt w:val="decimal"/>
      <w:suff w:val="nothing"/>
      <w:lvlText w:val="%1、"/>
      <w:lvlJc w:val="left"/>
    </w:lvl>
  </w:abstractNum>
  <w:abstractNum w:abstractNumId="3">
    <w:nsid w:val="CB11C197"/>
    <w:multiLevelType w:val="singleLevel"/>
    <w:tmpl w:val="CB11C197"/>
    <w:lvl w:ilvl="0" w:tentative="0">
      <w:start w:val="1"/>
      <w:numFmt w:val="decimal"/>
      <w:suff w:val="nothing"/>
      <w:lvlText w:val="%1、"/>
      <w:lvlJc w:val="left"/>
    </w:lvl>
  </w:abstractNum>
  <w:abstractNum w:abstractNumId="4">
    <w:nsid w:val="CFA07FC1"/>
    <w:multiLevelType w:val="singleLevel"/>
    <w:tmpl w:val="CFA07FC1"/>
    <w:lvl w:ilvl="0" w:tentative="0">
      <w:start w:val="1"/>
      <w:numFmt w:val="decimal"/>
      <w:suff w:val="nothing"/>
      <w:lvlText w:val="%1、"/>
      <w:lvlJc w:val="left"/>
    </w:lvl>
  </w:abstractNum>
  <w:abstractNum w:abstractNumId="5">
    <w:nsid w:val="6539E8E6"/>
    <w:multiLevelType w:val="singleLevel"/>
    <w:tmpl w:val="6539E8E6"/>
    <w:lvl w:ilvl="0" w:tentative="0">
      <w:start w:val="1"/>
      <w:numFmt w:val="decimal"/>
      <w:suff w:val="nothing"/>
      <w:lvlText w:val="%1、"/>
      <w:lvlJc w:val="left"/>
    </w:lvl>
  </w:abstractNum>
  <w:abstractNum w:abstractNumId="6">
    <w:nsid w:val="6F95A224"/>
    <w:multiLevelType w:val="singleLevel"/>
    <w:tmpl w:val="6F95A224"/>
    <w:lvl w:ilvl="0" w:tentative="0">
      <w:start w:val="1"/>
      <w:numFmt w:val="decimal"/>
      <w:suff w:val="nothing"/>
      <w:lvlText w:val="%1、"/>
      <w:lvlJc w:val="left"/>
    </w:lvl>
  </w:abstractNum>
  <w:abstractNum w:abstractNumId="7">
    <w:nsid w:val="7DB47E54"/>
    <w:multiLevelType w:val="singleLevel"/>
    <w:tmpl w:val="7DB47E54"/>
    <w:lvl w:ilvl="0" w:tentative="0">
      <w:start w:val="1"/>
      <w:numFmt w:val="decimal"/>
      <w:suff w:val="nothing"/>
      <w:lvlText w:val="（%1）"/>
      <w:lvlJc w:val="left"/>
    </w:lvl>
  </w:abstractNum>
  <w:num w:numId="1">
    <w:abstractNumId w:val="7"/>
  </w:num>
  <w:num w:numId="2">
    <w:abstractNumId w:val="1"/>
  </w:num>
  <w:num w:numId="3">
    <w:abstractNumId w:val="5"/>
  </w:num>
  <w:num w:numId="4">
    <w:abstractNumId w:val="6"/>
  </w:num>
  <w:num w:numId="5">
    <w:abstractNumId w:val="3"/>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VjMDg1NzhmNzk5MmM0ZTY5ZDQ1YzM0ZjMzYjFjZTMifQ=="/>
  </w:docVars>
  <w:rsids>
    <w:rsidRoot w:val="00172A27"/>
    <w:rsid w:val="000060B3"/>
    <w:rsid w:val="00026B9D"/>
    <w:rsid w:val="00026F58"/>
    <w:rsid w:val="00032B6B"/>
    <w:rsid w:val="000420A1"/>
    <w:rsid w:val="000435A9"/>
    <w:rsid w:val="0004364B"/>
    <w:rsid w:val="00052B3A"/>
    <w:rsid w:val="00053AAF"/>
    <w:rsid w:val="000574E6"/>
    <w:rsid w:val="00061B1F"/>
    <w:rsid w:val="00061CBB"/>
    <w:rsid w:val="00063C65"/>
    <w:rsid w:val="00067A63"/>
    <w:rsid w:val="00067F96"/>
    <w:rsid w:val="00070625"/>
    <w:rsid w:val="000733C4"/>
    <w:rsid w:val="00074783"/>
    <w:rsid w:val="0008070B"/>
    <w:rsid w:val="000810AC"/>
    <w:rsid w:val="00081A02"/>
    <w:rsid w:val="00082231"/>
    <w:rsid w:val="00084FB8"/>
    <w:rsid w:val="0008550A"/>
    <w:rsid w:val="00092D38"/>
    <w:rsid w:val="0009377B"/>
    <w:rsid w:val="000A20C9"/>
    <w:rsid w:val="000A7A5D"/>
    <w:rsid w:val="000B058F"/>
    <w:rsid w:val="000B338A"/>
    <w:rsid w:val="000B4467"/>
    <w:rsid w:val="000B4DB9"/>
    <w:rsid w:val="000B6645"/>
    <w:rsid w:val="000C09AC"/>
    <w:rsid w:val="000C767F"/>
    <w:rsid w:val="000D33CA"/>
    <w:rsid w:val="000D5A44"/>
    <w:rsid w:val="000E3ED2"/>
    <w:rsid w:val="000E72FF"/>
    <w:rsid w:val="000F3882"/>
    <w:rsid w:val="000F3FDB"/>
    <w:rsid w:val="000F4E52"/>
    <w:rsid w:val="00100B37"/>
    <w:rsid w:val="0012051D"/>
    <w:rsid w:val="0013033E"/>
    <w:rsid w:val="00131F42"/>
    <w:rsid w:val="001324F0"/>
    <w:rsid w:val="001357F1"/>
    <w:rsid w:val="00135830"/>
    <w:rsid w:val="00140FA8"/>
    <w:rsid w:val="00141127"/>
    <w:rsid w:val="00141F16"/>
    <w:rsid w:val="00142FEB"/>
    <w:rsid w:val="00143A2D"/>
    <w:rsid w:val="00145A41"/>
    <w:rsid w:val="00151675"/>
    <w:rsid w:val="00151A63"/>
    <w:rsid w:val="00157435"/>
    <w:rsid w:val="00160A6F"/>
    <w:rsid w:val="00171CBA"/>
    <w:rsid w:val="00172A27"/>
    <w:rsid w:val="001731FD"/>
    <w:rsid w:val="0017504D"/>
    <w:rsid w:val="0017671A"/>
    <w:rsid w:val="00177422"/>
    <w:rsid w:val="001843F5"/>
    <w:rsid w:val="00184590"/>
    <w:rsid w:val="00185111"/>
    <w:rsid w:val="00186AD4"/>
    <w:rsid w:val="001870D1"/>
    <w:rsid w:val="0018781E"/>
    <w:rsid w:val="00190DC8"/>
    <w:rsid w:val="0019262D"/>
    <w:rsid w:val="00192CB3"/>
    <w:rsid w:val="00193DC7"/>
    <w:rsid w:val="001950E2"/>
    <w:rsid w:val="001966B3"/>
    <w:rsid w:val="001A1B35"/>
    <w:rsid w:val="001A48A2"/>
    <w:rsid w:val="001A6F61"/>
    <w:rsid w:val="001B2789"/>
    <w:rsid w:val="001B4127"/>
    <w:rsid w:val="001B6186"/>
    <w:rsid w:val="001B72B8"/>
    <w:rsid w:val="001B7AE1"/>
    <w:rsid w:val="001C0B48"/>
    <w:rsid w:val="001C33E6"/>
    <w:rsid w:val="001C69B3"/>
    <w:rsid w:val="001C7BCB"/>
    <w:rsid w:val="001D2568"/>
    <w:rsid w:val="001D5595"/>
    <w:rsid w:val="001D7874"/>
    <w:rsid w:val="001D7F22"/>
    <w:rsid w:val="001E5E2F"/>
    <w:rsid w:val="001F0F17"/>
    <w:rsid w:val="001F3347"/>
    <w:rsid w:val="001F69E4"/>
    <w:rsid w:val="0020008B"/>
    <w:rsid w:val="00201B1C"/>
    <w:rsid w:val="002061E4"/>
    <w:rsid w:val="002125B4"/>
    <w:rsid w:val="002155B8"/>
    <w:rsid w:val="00224839"/>
    <w:rsid w:val="002249B2"/>
    <w:rsid w:val="00225373"/>
    <w:rsid w:val="00226574"/>
    <w:rsid w:val="002278EC"/>
    <w:rsid w:val="0023280E"/>
    <w:rsid w:val="00234D73"/>
    <w:rsid w:val="002377D1"/>
    <w:rsid w:val="002506BC"/>
    <w:rsid w:val="00254345"/>
    <w:rsid w:val="00264557"/>
    <w:rsid w:val="002701A4"/>
    <w:rsid w:val="00272EAF"/>
    <w:rsid w:val="0027366A"/>
    <w:rsid w:val="002805AB"/>
    <w:rsid w:val="00284204"/>
    <w:rsid w:val="00291773"/>
    <w:rsid w:val="00293CE0"/>
    <w:rsid w:val="00297D23"/>
    <w:rsid w:val="002A168C"/>
    <w:rsid w:val="002A3DC7"/>
    <w:rsid w:val="002A6345"/>
    <w:rsid w:val="002B1F16"/>
    <w:rsid w:val="002B49E2"/>
    <w:rsid w:val="002B7B00"/>
    <w:rsid w:val="002B7C44"/>
    <w:rsid w:val="002C072A"/>
    <w:rsid w:val="002C2B17"/>
    <w:rsid w:val="002D1320"/>
    <w:rsid w:val="002D3DD0"/>
    <w:rsid w:val="002E1F3A"/>
    <w:rsid w:val="002E298A"/>
    <w:rsid w:val="002F1F85"/>
    <w:rsid w:val="00301978"/>
    <w:rsid w:val="0030332C"/>
    <w:rsid w:val="003051C2"/>
    <w:rsid w:val="00312296"/>
    <w:rsid w:val="00312C36"/>
    <w:rsid w:val="00314F0E"/>
    <w:rsid w:val="00321D8E"/>
    <w:rsid w:val="00325928"/>
    <w:rsid w:val="00330475"/>
    <w:rsid w:val="00331988"/>
    <w:rsid w:val="00332863"/>
    <w:rsid w:val="0033684D"/>
    <w:rsid w:val="00337B42"/>
    <w:rsid w:val="00341B42"/>
    <w:rsid w:val="00341C90"/>
    <w:rsid w:val="0034348F"/>
    <w:rsid w:val="0035523F"/>
    <w:rsid w:val="00356653"/>
    <w:rsid w:val="0035743F"/>
    <w:rsid w:val="00357BE2"/>
    <w:rsid w:val="0036170C"/>
    <w:rsid w:val="00366E0F"/>
    <w:rsid w:val="00381A72"/>
    <w:rsid w:val="00383CFC"/>
    <w:rsid w:val="00384676"/>
    <w:rsid w:val="00390857"/>
    <w:rsid w:val="003A40C3"/>
    <w:rsid w:val="003A4BF3"/>
    <w:rsid w:val="003B420D"/>
    <w:rsid w:val="003C49EE"/>
    <w:rsid w:val="003C6C16"/>
    <w:rsid w:val="003D794D"/>
    <w:rsid w:val="003E3058"/>
    <w:rsid w:val="003E76A9"/>
    <w:rsid w:val="003F0809"/>
    <w:rsid w:val="003F6A8C"/>
    <w:rsid w:val="003F755C"/>
    <w:rsid w:val="00406F01"/>
    <w:rsid w:val="004101CF"/>
    <w:rsid w:val="00410C12"/>
    <w:rsid w:val="00411EA4"/>
    <w:rsid w:val="00416D50"/>
    <w:rsid w:val="00416FD5"/>
    <w:rsid w:val="00417772"/>
    <w:rsid w:val="00420E6A"/>
    <w:rsid w:val="00425A9E"/>
    <w:rsid w:val="00426D6B"/>
    <w:rsid w:val="00431E6C"/>
    <w:rsid w:val="00433CE7"/>
    <w:rsid w:val="00452738"/>
    <w:rsid w:val="00456091"/>
    <w:rsid w:val="0046091E"/>
    <w:rsid w:val="00466321"/>
    <w:rsid w:val="00484B9B"/>
    <w:rsid w:val="004855F6"/>
    <w:rsid w:val="0048661E"/>
    <w:rsid w:val="00493C39"/>
    <w:rsid w:val="00494670"/>
    <w:rsid w:val="00494681"/>
    <w:rsid w:val="004A3823"/>
    <w:rsid w:val="004E6946"/>
    <w:rsid w:val="004F1AD8"/>
    <w:rsid w:val="005008BC"/>
    <w:rsid w:val="00502547"/>
    <w:rsid w:val="005039CB"/>
    <w:rsid w:val="0050558F"/>
    <w:rsid w:val="00506286"/>
    <w:rsid w:val="00510813"/>
    <w:rsid w:val="00511990"/>
    <w:rsid w:val="00511DE0"/>
    <w:rsid w:val="00514870"/>
    <w:rsid w:val="00514B9B"/>
    <w:rsid w:val="005178B8"/>
    <w:rsid w:val="00517F02"/>
    <w:rsid w:val="00520A1D"/>
    <w:rsid w:val="00524303"/>
    <w:rsid w:val="005258A2"/>
    <w:rsid w:val="00525FAF"/>
    <w:rsid w:val="0053433A"/>
    <w:rsid w:val="005362CC"/>
    <w:rsid w:val="0053725F"/>
    <w:rsid w:val="00537F20"/>
    <w:rsid w:val="005401AE"/>
    <w:rsid w:val="00540CE6"/>
    <w:rsid w:val="00541DEB"/>
    <w:rsid w:val="00542E07"/>
    <w:rsid w:val="005435DB"/>
    <w:rsid w:val="00545424"/>
    <w:rsid w:val="00554A7B"/>
    <w:rsid w:val="0055572C"/>
    <w:rsid w:val="00557B89"/>
    <w:rsid w:val="0056106A"/>
    <w:rsid w:val="0056390F"/>
    <w:rsid w:val="005720AE"/>
    <w:rsid w:val="00585A5D"/>
    <w:rsid w:val="00594D77"/>
    <w:rsid w:val="005969E4"/>
    <w:rsid w:val="005A06B7"/>
    <w:rsid w:val="005A1759"/>
    <w:rsid w:val="005A3E79"/>
    <w:rsid w:val="005A68A7"/>
    <w:rsid w:val="005D36AB"/>
    <w:rsid w:val="005D7FF3"/>
    <w:rsid w:val="005F5C2B"/>
    <w:rsid w:val="005F7771"/>
    <w:rsid w:val="00600EBD"/>
    <w:rsid w:val="00603A3F"/>
    <w:rsid w:val="00614622"/>
    <w:rsid w:val="00617CC3"/>
    <w:rsid w:val="00632E32"/>
    <w:rsid w:val="00637438"/>
    <w:rsid w:val="006377A6"/>
    <w:rsid w:val="00637A3D"/>
    <w:rsid w:val="006411EF"/>
    <w:rsid w:val="00647993"/>
    <w:rsid w:val="00652350"/>
    <w:rsid w:val="006650A5"/>
    <w:rsid w:val="006748B8"/>
    <w:rsid w:val="00674B20"/>
    <w:rsid w:val="006759BE"/>
    <w:rsid w:val="006775C3"/>
    <w:rsid w:val="0068719B"/>
    <w:rsid w:val="006878D0"/>
    <w:rsid w:val="0069290A"/>
    <w:rsid w:val="0069582C"/>
    <w:rsid w:val="0069775A"/>
    <w:rsid w:val="00697813"/>
    <w:rsid w:val="006A13B8"/>
    <w:rsid w:val="006A3EE8"/>
    <w:rsid w:val="006A72BF"/>
    <w:rsid w:val="006B03F2"/>
    <w:rsid w:val="006B1B4C"/>
    <w:rsid w:val="006B30A4"/>
    <w:rsid w:val="006B37DC"/>
    <w:rsid w:val="006B4F68"/>
    <w:rsid w:val="006B7B01"/>
    <w:rsid w:val="006C0592"/>
    <w:rsid w:val="006C272E"/>
    <w:rsid w:val="006C5479"/>
    <w:rsid w:val="006C569D"/>
    <w:rsid w:val="006D13B5"/>
    <w:rsid w:val="006D46D9"/>
    <w:rsid w:val="006D5861"/>
    <w:rsid w:val="006E12FF"/>
    <w:rsid w:val="006E607E"/>
    <w:rsid w:val="006F062F"/>
    <w:rsid w:val="006F6DAF"/>
    <w:rsid w:val="00706C5D"/>
    <w:rsid w:val="00732922"/>
    <w:rsid w:val="0075162E"/>
    <w:rsid w:val="00753B3C"/>
    <w:rsid w:val="00754034"/>
    <w:rsid w:val="00756556"/>
    <w:rsid w:val="00760AE9"/>
    <w:rsid w:val="007618C4"/>
    <w:rsid w:val="00767980"/>
    <w:rsid w:val="00770B19"/>
    <w:rsid w:val="0077463F"/>
    <w:rsid w:val="0078024B"/>
    <w:rsid w:val="0078026A"/>
    <w:rsid w:val="007836EA"/>
    <w:rsid w:val="00784CDA"/>
    <w:rsid w:val="00785DAD"/>
    <w:rsid w:val="007906C4"/>
    <w:rsid w:val="007940EA"/>
    <w:rsid w:val="007967E8"/>
    <w:rsid w:val="007A2170"/>
    <w:rsid w:val="007A22BF"/>
    <w:rsid w:val="007A3323"/>
    <w:rsid w:val="007B037B"/>
    <w:rsid w:val="007B72B8"/>
    <w:rsid w:val="007B7A58"/>
    <w:rsid w:val="007C1AC5"/>
    <w:rsid w:val="007C21B5"/>
    <w:rsid w:val="007C40EB"/>
    <w:rsid w:val="007C700E"/>
    <w:rsid w:val="007E4BD2"/>
    <w:rsid w:val="00800E8E"/>
    <w:rsid w:val="00801393"/>
    <w:rsid w:val="00802F88"/>
    <w:rsid w:val="00803A1F"/>
    <w:rsid w:val="00804993"/>
    <w:rsid w:val="00804E06"/>
    <w:rsid w:val="00807E9C"/>
    <w:rsid w:val="0081293E"/>
    <w:rsid w:val="00815465"/>
    <w:rsid w:val="00817E9A"/>
    <w:rsid w:val="00821157"/>
    <w:rsid w:val="008306BD"/>
    <w:rsid w:val="00831A80"/>
    <w:rsid w:val="00833743"/>
    <w:rsid w:val="008340A4"/>
    <w:rsid w:val="008341E5"/>
    <w:rsid w:val="00841796"/>
    <w:rsid w:val="0084545E"/>
    <w:rsid w:val="00846084"/>
    <w:rsid w:val="00857FF1"/>
    <w:rsid w:val="00867A2F"/>
    <w:rsid w:val="0087135F"/>
    <w:rsid w:val="00872D94"/>
    <w:rsid w:val="00880364"/>
    <w:rsid w:val="00880B4A"/>
    <w:rsid w:val="00891592"/>
    <w:rsid w:val="00891E9E"/>
    <w:rsid w:val="0089778D"/>
    <w:rsid w:val="008A2F68"/>
    <w:rsid w:val="008B41C0"/>
    <w:rsid w:val="008B4FA6"/>
    <w:rsid w:val="008B5282"/>
    <w:rsid w:val="008B7C17"/>
    <w:rsid w:val="008C2D01"/>
    <w:rsid w:val="008C40E6"/>
    <w:rsid w:val="008C5066"/>
    <w:rsid w:val="008D0F7A"/>
    <w:rsid w:val="008D68E4"/>
    <w:rsid w:val="008E0506"/>
    <w:rsid w:val="008E0CFF"/>
    <w:rsid w:val="008E5D6B"/>
    <w:rsid w:val="008E76F0"/>
    <w:rsid w:val="008F0A41"/>
    <w:rsid w:val="008F15FE"/>
    <w:rsid w:val="008F2D29"/>
    <w:rsid w:val="008F5187"/>
    <w:rsid w:val="008F60D8"/>
    <w:rsid w:val="00902727"/>
    <w:rsid w:val="00902FF5"/>
    <w:rsid w:val="0090312B"/>
    <w:rsid w:val="00904CCF"/>
    <w:rsid w:val="0091736D"/>
    <w:rsid w:val="0093037A"/>
    <w:rsid w:val="00934F1E"/>
    <w:rsid w:val="0094154D"/>
    <w:rsid w:val="00942130"/>
    <w:rsid w:val="00944742"/>
    <w:rsid w:val="00946829"/>
    <w:rsid w:val="0095155F"/>
    <w:rsid w:val="00954429"/>
    <w:rsid w:val="009563CE"/>
    <w:rsid w:val="00956593"/>
    <w:rsid w:val="009613FC"/>
    <w:rsid w:val="00966776"/>
    <w:rsid w:val="00976328"/>
    <w:rsid w:val="0097680D"/>
    <w:rsid w:val="00981E42"/>
    <w:rsid w:val="00982438"/>
    <w:rsid w:val="0098404C"/>
    <w:rsid w:val="00985283"/>
    <w:rsid w:val="00990C86"/>
    <w:rsid w:val="00995992"/>
    <w:rsid w:val="00996147"/>
    <w:rsid w:val="009A03E5"/>
    <w:rsid w:val="009A0F3B"/>
    <w:rsid w:val="009A1BB4"/>
    <w:rsid w:val="009A2628"/>
    <w:rsid w:val="009A3200"/>
    <w:rsid w:val="009B0897"/>
    <w:rsid w:val="009B44D7"/>
    <w:rsid w:val="009B7BD9"/>
    <w:rsid w:val="009C3A85"/>
    <w:rsid w:val="009C7DD5"/>
    <w:rsid w:val="009E227D"/>
    <w:rsid w:val="009E5019"/>
    <w:rsid w:val="00A0076C"/>
    <w:rsid w:val="00A04F1B"/>
    <w:rsid w:val="00A0501B"/>
    <w:rsid w:val="00A10777"/>
    <w:rsid w:val="00A14947"/>
    <w:rsid w:val="00A14B68"/>
    <w:rsid w:val="00A24F60"/>
    <w:rsid w:val="00A32A83"/>
    <w:rsid w:val="00A335CC"/>
    <w:rsid w:val="00A368DB"/>
    <w:rsid w:val="00A423AA"/>
    <w:rsid w:val="00A43B5C"/>
    <w:rsid w:val="00A45497"/>
    <w:rsid w:val="00A50D07"/>
    <w:rsid w:val="00A53EC6"/>
    <w:rsid w:val="00A556EE"/>
    <w:rsid w:val="00A55A37"/>
    <w:rsid w:val="00A55C0F"/>
    <w:rsid w:val="00A71765"/>
    <w:rsid w:val="00A72E19"/>
    <w:rsid w:val="00A858BE"/>
    <w:rsid w:val="00A8713F"/>
    <w:rsid w:val="00A90BA1"/>
    <w:rsid w:val="00A95503"/>
    <w:rsid w:val="00A97365"/>
    <w:rsid w:val="00A97A9A"/>
    <w:rsid w:val="00AA0671"/>
    <w:rsid w:val="00AA2531"/>
    <w:rsid w:val="00AB1E09"/>
    <w:rsid w:val="00AB5330"/>
    <w:rsid w:val="00AB7747"/>
    <w:rsid w:val="00AC14CE"/>
    <w:rsid w:val="00AC2A56"/>
    <w:rsid w:val="00AC4477"/>
    <w:rsid w:val="00AC7C31"/>
    <w:rsid w:val="00AD055E"/>
    <w:rsid w:val="00AD0FEA"/>
    <w:rsid w:val="00AD1B37"/>
    <w:rsid w:val="00AD47A7"/>
    <w:rsid w:val="00AE212E"/>
    <w:rsid w:val="00AE59A6"/>
    <w:rsid w:val="00AF0775"/>
    <w:rsid w:val="00AF0CBF"/>
    <w:rsid w:val="00AF257F"/>
    <w:rsid w:val="00AF33CF"/>
    <w:rsid w:val="00AF4D50"/>
    <w:rsid w:val="00AF5A8C"/>
    <w:rsid w:val="00AF6179"/>
    <w:rsid w:val="00AF620B"/>
    <w:rsid w:val="00AF6A34"/>
    <w:rsid w:val="00AF7B5E"/>
    <w:rsid w:val="00B02A17"/>
    <w:rsid w:val="00B03228"/>
    <w:rsid w:val="00B1295A"/>
    <w:rsid w:val="00B20A45"/>
    <w:rsid w:val="00B22C5C"/>
    <w:rsid w:val="00B24F30"/>
    <w:rsid w:val="00B25838"/>
    <w:rsid w:val="00B31ABF"/>
    <w:rsid w:val="00B33BE3"/>
    <w:rsid w:val="00B34975"/>
    <w:rsid w:val="00B41EFA"/>
    <w:rsid w:val="00B43066"/>
    <w:rsid w:val="00B51D7C"/>
    <w:rsid w:val="00B53B5D"/>
    <w:rsid w:val="00B54260"/>
    <w:rsid w:val="00B56227"/>
    <w:rsid w:val="00B6055E"/>
    <w:rsid w:val="00B6317D"/>
    <w:rsid w:val="00B70CBA"/>
    <w:rsid w:val="00B7723F"/>
    <w:rsid w:val="00B80534"/>
    <w:rsid w:val="00B821D6"/>
    <w:rsid w:val="00B8433C"/>
    <w:rsid w:val="00B87491"/>
    <w:rsid w:val="00B874A0"/>
    <w:rsid w:val="00B9320B"/>
    <w:rsid w:val="00BA29E9"/>
    <w:rsid w:val="00BA4208"/>
    <w:rsid w:val="00BA618B"/>
    <w:rsid w:val="00BA652B"/>
    <w:rsid w:val="00BA7142"/>
    <w:rsid w:val="00BB0651"/>
    <w:rsid w:val="00BB1421"/>
    <w:rsid w:val="00BB237C"/>
    <w:rsid w:val="00BB41A3"/>
    <w:rsid w:val="00BC32DC"/>
    <w:rsid w:val="00BC35B6"/>
    <w:rsid w:val="00BD1B51"/>
    <w:rsid w:val="00BD4596"/>
    <w:rsid w:val="00BE1405"/>
    <w:rsid w:val="00BE312D"/>
    <w:rsid w:val="00BE5E73"/>
    <w:rsid w:val="00BE7F88"/>
    <w:rsid w:val="00BF18C0"/>
    <w:rsid w:val="00BF1C20"/>
    <w:rsid w:val="00C10578"/>
    <w:rsid w:val="00C135BC"/>
    <w:rsid w:val="00C15C95"/>
    <w:rsid w:val="00C2596A"/>
    <w:rsid w:val="00C27537"/>
    <w:rsid w:val="00C328FE"/>
    <w:rsid w:val="00C33507"/>
    <w:rsid w:val="00C3753D"/>
    <w:rsid w:val="00C37810"/>
    <w:rsid w:val="00C379DE"/>
    <w:rsid w:val="00C415FF"/>
    <w:rsid w:val="00C4409D"/>
    <w:rsid w:val="00C44E72"/>
    <w:rsid w:val="00C45A06"/>
    <w:rsid w:val="00C46D02"/>
    <w:rsid w:val="00C47AA9"/>
    <w:rsid w:val="00C47E5B"/>
    <w:rsid w:val="00C539AE"/>
    <w:rsid w:val="00C61E4B"/>
    <w:rsid w:val="00C64BFF"/>
    <w:rsid w:val="00C704E9"/>
    <w:rsid w:val="00C70E0C"/>
    <w:rsid w:val="00C75F1D"/>
    <w:rsid w:val="00C763C9"/>
    <w:rsid w:val="00C80057"/>
    <w:rsid w:val="00C82232"/>
    <w:rsid w:val="00C82913"/>
    <w:rsid w:val="00C858C6"/>
    <w:rsid w:val="00C972B1"/>
    <w:rsid w:val="00C975D2"/>
    <w:rsid w:val="00CA0CDF"/>
    <w:rsid w:val="00CA2CCE"/>
    <w:rsid w:val="00CA43FD"/>
    <w:rsid w:val="00CA7EF8"/>
    <w:rsid w:val="00CB24A5"/>
    <w:rsid w:val="00CC0461"/>
    <w:rsid w:val="00CC113C"/>
    <w:rsid w:val="00CC489B"/>
    <w:rsid w:val="00CC4AAF"/>
    <w:rsid w:val="00CD2BCD"/>
    <w:rsid w:val="00CD350B"/>
    <w:rsid w:val="00CD3A4C"/>
    <w:rsid w:val="00CD70B3"/>
    <w:rsid w:val="00CE10E9"/>
    <w:rsid w:val="00CE2910"/>
    <w:rsid w:val="00CE5393"/>
    <w:rsid w:val="00CE5DA6"/>
    <w:rsid w:val="00CF36BE"/>
    <w:rsid w:val="00CF6000"/>
    <w:rsid w:val="00D003F3"/>
    <w:rsid w:val="00D0364F"/>
    <w:rsid w:val="00D044F3"/>
    <w:rsid w:val="00D06834"/>
    <w:rsid w:val="00D15789"/>
    <w:rsid w:val="00D21A14"/>
    <w:rsid w:val="00D2231E"/>
    <w:rsid w:val="00D308ED"/>
    <w:rsid w:val="00D30A04"/>
    <w:rsid w:val="00D33ACB"/>
    <w:rsid w:val="00D36D86"/>
    <w:rsid w:val="00D428AA"/>
    <w:rsid w:val="00D50A34"/>
    <w:rsid w:val="00D53DBB"/>
    <w:rsid w:val="00D53EFA"/>
    <w:rsid w:val="00D572D2"/>
    <w:rsid w:val="00D61184"/>
    <w:rsid w:val="00D67D5E"/>
    <w:rsid w:val="00D86759"/>
    <w:rsid w:val="00D94A7C"/>
    <w:rsid w:val="00D95896"/>
    <w:rsid w:val="00DB2983"/>
    <w:rsid w:val="00DB656D"/>
    <w:rsid w:val="00DC1257"/>
    <w:rsid w:val="00DC1B6C"/>
    <w:rsid w:val="00DC3DC0"/>
    <w:rsid w:val="00DC5B2B"/>
    <w:rsid w:val="00DD318D"/>
    <w:rsid w:val="00DD5C94"/>
    <w:rsid w:val="00DE7025"/>
    <w:rsid w:val="00DF0273"/>
    <w:rsid w:val="00DF2E12"/>
    <w:rsid w:val="00DF514A"/>
    <w:rsid w:val="00DF6690"/>
    <w:rsid w:val="00DF6804"/>
    <w:rsid w:val="00DF6C86"/>
    <w:rsid w:val="00E0358D"/>
    <w:rsid w:val="00E04323"/>
    <w:rsid w:val="00E070A2"/>
    <w:rsid w:val="00E10D45"/>
    <w:rsid w:val="00E2656A"/>
    <w:rsid w:val="00E26864"/>
    <w:rsid w:val="00E412D0"/>
    <w:rsid w:val="00E46CF3"/>
    <w:rsid w:val="00E47CC7"/>
    <w:rsid w:val="00E56322"/>
    <w:rsid w:val="00E60982"/>
    <w:rsid w:val="00E62C62"/>
    <w:rsid w:val="00E654C1"/>
    <w:rsid w:val="00E65D97"/>
    <w:rsid w:val="00E72A5A"/>
    <w:rsid w:val="00E73354"/>
    <w:rsid w:val="00E86430"/>
    <w:rsid w:val="00E9125B"/>
    <w:rsid w:val="00E9242D"/>
    <w:rsid w:val="00E93BA6"/>
    <w:rsid w:val="00E9666B"/>
    <w:rsid w:val="00EB05CF"/>
    <w:rsid w:val="00EB5255"/>
    <w:rsid w:val="00EB5C47"/>
    <w:rsid w:val="00ED0639"/>
    <w:rsid w:val="00EE699E"/>
    <w:rsid w:val="00EF1F40"/>
    <w:rsid w:val="00EF4755"/>
    <w:rsid w:val="00EF7135"/>
    <w:rsid w:val="00EF7AE6"/>
    <w:rsid w:val="00F027DB"/>
    <w:rsid w:val="00F03ED1"/>
    <w:rsid w:val="00F050E6"/>
    <w:rsid w:val="00F13A11"/>
    <w:rsid w:val="00F14A7A"/>
    <w:rsid w:val="00F22985"/>
    <w:rsid w:val="00F31187"/>
    <w:rsid w:val="00F3383E"/>
    <w:rsid w:val="00F465A7"/>
    <w:rsid w:val="00F50B7C"/>
    <w:rsid w:val="00F550E6"/>
    <w:rsid w:val="00F639A6"/>
    <w:rsid w:val="00F67B71"/>
    <w:rsid w:val="00F74345"/>
    <w:rsid w:val="00F80A0A"/>
    <w:rsid w:val="00F82B19"/>
    <w:rsid w:val="00F82CC9"/>
    <w:rsid w:val="00F82EE7"/>
    <w:rsid w:val="00F9212D"/>
    <w:rsid w:val="00F965DA"/>
    <w:rsid w:val="00FA406A"/>
    <w:rsid w:val="00FA464F"/>
    <w:rsid w:val="00FB503A"/>
    <w:rsid w:val="00FB516C"/>
    <w:rsid w:val="00FC68D3"/>
    <w:rsid w:val="00FD000B"/>
    <w:rsid w:val="00FD0236"/>
    <w:rsid w:val="00FD18F4"/>
    <w:rsid w:val="00FD54DB"/>
    <w:rsid w:val="00FD619F"/>
    <w:rsid w:val="00FD7693"/>
    <w:rsid w:val="00FD7EA6"/>
    <w:rsid w:val="00FE0F2E"/>
    <w:rsid w:val="00FF72DF"/>
    <w:rsid w:val="010E6C4F"/>
    <w:rsid w:val="012200F3"/>
    <w:rsid w:val="01290F7E"/>
    <w:rsid w:val="013F06E3"/>
    <w:rsid w:val="0141442B"/>
    <w:rsid w:val="015D1E09"/>
    <w:rsid w:val="017929D2"/>
    <w:rsid w:val="018A2055"/>
    <w:rsid w:val="018E7CB2"/>
    <w:rsid w:val="019C488C"/>
    <w:rsid w:val="01BF5C09"/>
    <w:rsid w:val="01CE2188"/>
    <w:rsid w:val="01E83C4F"/>
    <w:rsid w:val="01FD57FA"/>
    <w:rsid w:val="02030B93"/>
    <w:rsid w:val="020930C0"/>
    <w:rsid w:val="02224B80"/>
    <w:rsid w:val="02274C6D"/>
    <w:rsid w:val="024727FD"/>
    <w:rsid w:val="024E2ECD"/>
    <w:rsid w:val="02516317"/>
    <w:rsid w:val="02697903"/>
    <w:rsid w:val="027252A8"/>
    <w:rsid w:val="0273647F"/>
    <w:rsid w:val="02A251EE"/>
    <w:rsid w:val="02BF0B0E"/>
    <w:rsid w:val="02C627F3"/>
    <w:rsid w:val="02CB51EF"/>
    <w:rsid w:val="02CE1AB0"/>
    <w:rsid w:val="02F25769"/>
    <w:rsid w:val="02F96569"/>
    <w:rsid w:val="030C1D12"/>
    <w:rsid w:val="03372AB1"/>
    <w:rsid w:val="036C164A"/>
    <w:rsid w:val="037C0DA1"/>
    <w:rsid w:val="03824E44"/>
    <w:rsid w:val="03904FD9"/>
    <w:rsid w:val="03A432C7"/>
    <w:rsid w:val="03BB5C74"/>
    <w:rsid w:val="03C72E09"/>
    <w:rsid w:val="03CB244E"/>
    <w:rsid w:val="03EA7B21"/>
    <w:rsid w:val="0417051B"/>
    <w:rsid w:val="045653BF"/>
    <w:rsid w:val="04A25B2B"/>
    <w:rsid w:val="04A32C41"/>
    <w:rsid w:val="04B440AD"/>
    <w:rsid w:val="04B515CD"/>
    <w:rsid w:val="050E22A7"/>
    <w:rsid w:val="05216BD4"/>
    <w:rsid w:val="05287692"/>
    <w:rsid w:val="05314110"/>
    <w:rsid w:val="05390720"/>
    <w:rsid w:val="05486BE8"/>
    <w:rsid w:val="05493A31"/>
    <w:rsid w:val="054E2178"/>
    <w:rsid w:val="058B1A77"/>
    <w:rsid w:val="05981AAF"/>
    <w:rsid w:val="059F00D7"/>
    <w:rsid w:val="05F64608"/>
    <w:rsid w:val="05F83EAE"/>
    <w:rsid w:val="061A71F3"/>
    <w:rsid w:val="061F6887"/>
    <w:rsid w:val="063E7D85"/>
    <w:rsid w:val="06442E70"/>
    <w:rsid w:val="065300C4"/>
    <w:rsid w:val="067D155B"/>
    <w:rsid w:val="069467A1"/>
    <w:rsid w:val="06AC25E1"/>
    <w:rsid w:val="06E121CD"/>
    <w:rsid w:val="07035F04"/>
    <w:rsid w:val="07293586"/>
    <w:rsid w:val="07295285"/>
    <w:rsid w:val="073E6B89"/>
    <w:rsid w:val="07636392"/>
    <w:rsid w:val="07770C56"/>
    <w:rsid w:val="077A5B4B"/>
    <w:rsid w:val="07945262"/>
    <w:rsid w:val="07D753C7"/>
    <w:rsid w:val="07DA3271"/>
    <w:rsid w:val="07F178B2"/>
    <w:rsid w:val="07FB307F"/>
    <w:rsid w:val="081631D1"/>
    <w:rsid w:val="081B4EE4"/>
    <w:rsid w:val="08317D97"/>
    <w:rsid w:val="084812DC"/>
    <w:rsid w:val="08550E92"/>
    <w:rsid w:val="08653727"/>
    <w:rsid w:val="087251DE"/>
    <w:rsid w:val="087813B0"/>
    <w:rsid w:val="089E4D2F"/>
    <w:rsid w:val="08A536B0"/>
    <w:rsid w:val="08D639FE"/>
    <w:rsid w:val="08ED6ED5"/>
    <w:rsid w:val="08FA3209"/>
    <w:rsid w:val="092217DD"/>
    <w:rsid w:val="09286BE7"/>
    <w:rsid w:val="093A7294"/>
    <w:rsid w:val="09465579"/>
    <w:rsid w:val="09672CB5"/>
    <w:rsid w:val="096804FB"/>
    <w:rsid w:val="0976328C"/>
    <w:rsid w:val="099277D2"/>
    <w:rsid w:val="09AF645C"/>
    <w:rsid w:val="09CD44CE"/>
    <w:rsid w:val="09D532F9"/>
    <w:rsid w:val="09FD49A5"/>
    <w:rsid w:val="0A263993"/>
    <w:rsid w:val="0A2D3AC2"/>
    <w:rsid w:val="0A3B20A0"/>
    <w:rsid w:val="0A4704E2"/>
    <w:rsid w:val="0A8E1F88"/>
    <w:rsid w:val="0A931ECB"/>
    <w:rsid w:val="0AA755DF"/>
    <w:rsid w:val="0AB255E2"/>
    <w:rsid w:val="0AC6647D"/>
    <w:rsid w:val="0AC772B0"/>
    <w:rsid w:val="0ADF1DF8"/>
    <w:rsid w:val="0AEF1CC3"/>
    <w:rsid w:val="0AFC2573"/>
    <w:rsid w:val="0B097585"/>
    <w:rsid w:val="0B120D44"/>
    <w:rsid w:val="0B16434B"/>
    <w:rsid w:val="0B1D1779"/>
    <w:rsid w:val="0B231BFB"/>
    <w:rsid w:val="0B253836"/>
    <w:rsid w:val="0B4C31FC"/>
    <w:rsid w:val="0B6F726D"/>
    <w:rsid w:val="0B8819E5"/>
    <w:rsid w:val="0B9012D2"/>
    <w:rsid w:val="0BAC1331"/>
    <w:rsid w:val="0BAE0408"/>
    <w:rsid w:val="0BC0719B"/>
    <w:rsid w:val="0BD27BF6"/>
    <w:rsid w:val="0BE82686"/>
    <w:rsid w:val="0BF80AE0"/>
    <w:rsid w:val="0BFD33B6"/>
    <w:rsid w:val="0C0C66E2"/>
    <w:rsid w:val="0C12633F"/>
    <w:rsid w:val="0C332A57"/>
    <w:rsid w:val="0C3B3C7D"/>
    <w:rsid w:val="0C3E4361"/>
    <w:rsid w:val="0C541790"/>
    <w:rsid w:val="0C7C1FC1"/>
    <w:rsid w:val="0C913ACE"/>
    <w:rsid w:val="0C9A4B47"/>
    <w:rsid w:val="0CAB2EAE"/>
    <w:rsid w:val="0CD159F3"/>
    <w:rsid w:val="0CDA61CB"/>
    <w:rsid w:val="0CE10224"/>
    <w:rsid w:val="0CE11FD2"/>
    <w:rsid w:val="0CE1718B"/>
    <w:rsid w:val="0CEA0DC0"/>
    <w:rsid w:val="0D206F17"/>
    <w:rsid w:val="0D2C0F1F"/>
    <w:rsid w:val="0D3E54B5"/>
    <w:rsid w:val="0D621C7D"/>
    <w:rsid w:val="0D6B0114"/>
    <w:rsid w:val="0D6D2AA2"/>
    <w:rsid w:val="0D9C3C1F"/>
    <w:rsid w:val="0DB30C37"/>
    <w:rsid w:val="0DCC5609"/>
    <w:rsid w:val="0DD66974"/>
    <w:rsid w:val="0DF2619A"/>
    <w:rsid w:val="0E181385"/>
    <w:rsid w:val="0E245572"/>
    <w:rsid w:val="0E285559"/>
    <w:rsid w:val="0E4471A3"/>
    <w:rsid w:val="0E73034D"/>
    <w:rsid w:val="0E851355"/>
    <w:rsid w:val="0E967447"/>
    <w:rsid w:val="0EB550B0"/>
    <w:rsid w:val="0EB9304E"/>
    <w:rsid w:val="0EC863C1"/>
    <w:rsid w:val="0ECD1AA1"/>
    <w:rsid w:val="0ED93D8F"/>
    <w:rsid w:val="0EDD01F1"/>
    <w:rsid w:val="0EF132DB"/>
    <w:rsid w:val="0F13775A"/>
    <w:rsid w:val="0F260243"/>
    <w:rsid w:val="0F2D31A4"/>
    <w:rsid w:val="0F2E57A9"/>
    <w:rsid w:val="0F3778C5"/>
    <w:rsid w:val="0F4A2DBD"/>
    <w:rsid w:val="0F560873"/>
    <w:rsid w:val="0F5F45FE"/>
    <w:rsid w:val="0F733B7D"/>
    <w:rsid w:val="0F8841A4"/>
    <w:rsid w:val="0F985F4F"/>
    <w:rsid w:val="0F9A112B"/>
    <w:rsid w:val="0FAD16C9"/>
    <w:rsid w:val="0FC34C5B"/>
    <w:rsid w:val="0FCF0694"/>
    <w:rsid w:val="0FD42517"/>
    <w:rsid w:val="0FE00280"/>
    <w:rsid w:val="0FE6728E"/>
    <w:rsid w:val="10153671"/>
    <w:rsid w:val="10254829"/>
    <w:rsid w:val="104D1A6E"/>
    <w:rsid w:val="104D6579"/>
    <w:rsid w:val="10503E92"/>
    <w:rsid w:val="106D2F64"/>
    <w:rsid w:val="10A856ED"/>
    <w:rsid w:val="10B63710"/>
    <w:rsid w:val="10C76848"/>
    <w:rsid w:val="10E00E09"/>
    <w:rsid w:val="10E124CE"/>
    <w:rsid w:val="10F10820"/>
    <w:rsid w:val="111973E6"/>
    <w:rsid w:val="111C2F7A"/>
    <w:rsid w:val="113A0431"/>
    <w:rsid w:val="116535F6"/>
    <w:rsid w:val="11665CA1"/>
    <w:rsid w:val="11A17CD1"/>
    <w:rsid w:val="11B651FE"/>
    <w:rsid w:val="121D28FC"/>
    <w:rsid w:val="122169AC"/>
    <w:rsid w:val="12225EE7"/>
    <w:rsid w:val="122D2087"/>
    <w:rsid w:val="122E2312"/>
    <w:rsid w:val="12464857"/>
    <w:rsid w:val="12640646"/>
    <w:rsid w:val="1282603F"/>
    <w:rsid w:val="12953DA1"/>
    <w:rsid w:val="12BD0A84"/>
    <w:rsid w:val="13037FED"/>
    <w:rsid w:val="13043B79"/>
    <w:rsid w:val="133377CD"/>
    <w:rsid w:val="13546C6A"/>
    <w:rsid w:val="13677DED"/>
    <w:rsid w:val="13740D15"/>
    <w:rsid w:val="13951726"/>
    <w:rsid w:val="139C5B4F"/>
    <w:rsid w:val="139C5CDE"/>
    <w:rsid w:val="13AB462F"/>
    <w:rsid w:val="13B2174E"/>
    <w:rsid w:val="13BF0871"/>
    <w:rsid w:val="13D030FA"/>
    <w:rsid w:val="13F0236F"/>
    <w:rsid w:val="14061CF2"/>
    <w:rsid w:val="141D631B"/>
    <w:rsid w:val="1433594E"/>
    <w:rsid w:val="14396509"/>
    <w:rsid w:val="1440167D"/>
    <w:rsid w:val="14545678"/>
    <w:rsid w:val="146C397A"/>
    <w:rsid w:val="14777FA2"/>
    <w:rsid w:val="14CA0766"/>
    <w:rsid w:val="14CB1D5D"/>
    <w:rsid w:val="14DD2C3C"/>
    <w:rsid w:val="14E461A8"/>
    <w:rsid w:val="14FC4241"/>
    <w:rsid w:val="15217B57"/>
    <w:rsid w:val="15476302"/>
    <w:rsid w:val="154F51F4"/>
    <w:rsid w:val="15656A11"/>
    <w:rsid w:val="158A093A"/>
    <w:rsid w:val="15B03EFC"/>
    <w:rsid w:val="15E40E64"/>
    <w:rsid w:val="15FB249C"/>
    <w:rsid w:val="16087E1D"/>
    <w:rsid w:val="162A3E7C"/>
    <w:rsid w:val="162B64DA"/>
    <w:rsid w:val="16704796"/>
    <w:rsid w:val="167B78E5"/>
    <w:rsid w:val="167E7A8B"/>
    <w:rsid w:val="169F72CB"/>
    <w:rsid w:val="16CE416A"/>
    <w:rsid w:val="170E7667"/>
    <w:rsid w:val="17113098"/>
    <w:rsid w:val="17274E62"/>
    <w:rsid w:val="173A7161"/>
    <w:rsid w:val="17411462"/>
    <w:rsid w:val="17505F98"/>
    <w:rsid w:val="17701D14"/>
    <w:rsid w:val="17735226"/>
    <w:rsid w:val="17AB1117"/>
    <w:rsid w:val="17B57BA8"/>
    <w:rsid w:val="17C5602E"/>
    <w:rsid w:val="17FD1A26"/>
    <w:rsid w:val="18036ED3"/>
    <w:rsid w:val="18070F3A"/>
    <w:rsid w:val="1808662E"/>
    <w:rsid w:val="1825129F"/>
    <w:rsid w:val="182908E0"/>
    <w:rsid w:val="18381D96"/>
    <w:rsid w:val="18523E05"/>
    <w:rsid w:val="186C2AA8"/>
    <w:rsid w:val="187E4D02"/>
    <w:rsid w:val="1882670C"/>
    <w:rsid w:val="188306D8"/>
    <w:rsid w:val="18834027"/>
    <w:rsid w:val="189F624C"/>
    <w:rsid w:val="18A91D64"/>
    <w:rsid w:val="18BA69FE"/>
    <w:rsid w:val="18CA565E"/>
    <w:rsid w:val="18CC2E68"/>
    <w:rsid w:val="18D03B0C"/>
    <w:rsid w:val="18D974CF"/>
    <w:rsid w:val="191153E7"/>
    <w:rsid w:val="193A3BD8"/>
    <w:rsid w:val="193D62FC"/>
    <w:rsid w:val="197B6E0C"/>
    <w:rsid w:val="19C40D10"/>
    <w:rsid w:val="19D94DA8"/>
    <w:rsid w:val="1A026808"/>
    <w:rsid w:val="1A1C66C0"/>
    <w:rsid w:val="1A302559"/>
    <w:rsid w:val="1A3926B3"/>
    <w:rsid w:val="1A3D0C23"/>
    <w:rsid w:val="1A42393B"/>
    <w:rsid w:val="1A441D69"/>
    <w:rsid w:val="1A7304C8"/>
    <w:rsid w:val="1A93746F"/>
    <w:rsid w:val="1AAC7E4B"/>
    <w:rsid w:val="1AAD45DE"/>
    <w:rsid w:val="1AC37C59"/>
    <w:rsid w:val="1AD2324D"/>
    <w:rsid w:val="1B046F80"/>
    <w:rsid w:val="1B2D2778"/>
    <w:rsid w:val="1B2F680D"/>
    <w:rsid w:val="1B3267B5"/>
    <w:rsid w:val="1B3F0B9B"/>
    <w:rsid w:val="1B40161D"/>
    <w:rsid w:val="1B437119"/>
    <w:rsid w:val="1B441859"/>
    <w:rsid w:val="1B4D4ECC"/>
    <w:rsid w:val="1B6606B1"/>
    <w:rsid w:val="1B6F7DAD"/>
    <w:rsid w:val="1B8F6ED5"/>
    <w:rsid w:val="1B9F62D6"/>
    <w:rsid w:val="1BA405FA"/>
    <w:rsid w:val="1BA42FB0"/>
    <w:rsid w:val="1BBE3677"/>
    <w:rsid w:val="1BDD4B1E"/>
    <w:rsid w:val="1BF0361B"/>
    <w:rsid w:val="1BF33F03"/>
    <w:rsid w:val="1C2C4157"/>
    <w:rsid w:val="1C4814E4"/>
    <w:rsid w:val="1C5468F9"/>
    <w:rsid w:val="1C5E7925"/>
    <w:rsid w:val="1C711759"/>
    <w:rsid w:val="1C9E05E8"/>
    <w:rsid w:val="1CAA551A"/>
    <w:rsid w:val="1CB128B7"/>
    <w:rsid w:val="1CD65CE9"/>
    <w:rsid w:val="1CEC5EF9"/>
    <w:rsid w:val="1CFD070F"/>
    <w:rsid w:val="1D2D4012"/>
    <w:rsid w:val="1D534FA8"/>
    <w:rsid w:val="1D5F6196"/>
    <w:rsid w:val="1D6132A5"/>
    <w:rsid w:val="1D621580"/>
    <w:rsid w:val="1D8E56D5"/>
    <w:rsid w:val="1DA3362A"/>
    <w:rsid w:val="1DA73A29"/>
    <w:rsid w:val="1DBB0187"/>
    <w:rsid w:val="1DCC29BC"/>
    <w:rsid w:val="1E0977C6"/>
    <w:rsid w:val="1E3B3D7D"/>
    <w:rsid w:val="1E4A2A55"/>
    <w:rsid w:val="1E5103AF"/>
    <w:rsid w:val="1E741E66"/>
    <w:rsid w:val="1E7A43DA"/>
    <w:rsid w:val="1E846334"/>
    <w:rsid w:val="1EE65686"/>
    <w:rsid w:val="1F045B93"/>
    <w:rsid w:val="1F877862"/>
    <w:rsid w:val="1FC53AE5"/>
    <w:rsid w:val="1FCD4CCD"/>
    <w:rsid w:val="1FE7539E"/>
    <w:rsid w:val="1FE832B3"/>
    <w:rsid w:val="20067665"/>
    <w:rsid w:val="20457206"/>
    <w:rsid w:val="20513C7B"/>
    <w:rsid w:val="2054459F"/>
    <w:rsid w:val="20671BE0"/>
    <w:rsid w:val="20713A86"/>
    <w:rsid w:val="20963CB8"/>
    <w:rsid w:val="20A81A1B"/>
    <w:rsid w:val="20B07FB6"/>
    <w:rsid w:val="20B33812"/>
    <w:rsid w:val="20B646FB"/>
    <w:rsid w:val="20F80DC2"/>
    <w:rsid w:val="2116153E"/>
    <w:rsid w:val="213B74B1"/>
    <w:rsid w:val="214163DB"/>
    <w:rsid w:val="215A2310"/>
    <w:rsid w:val="21686F8F"/>
    <w:rsid w:val="216B0EE5"/>
    <w:rsid w:val="218901A0"/>
    <w:rsid w:val="21985621"/>
    <w:rsid w:val="21A25404"/>
    <w:rsid w:val="21CE7865"/>
    <w:rsid w:val="21DA4E85"/>
    <w:rsid w:val="21DE318A"/>
    <w:rsid w:val="21EF5B80"/>
    <w:rsid w:val="220B1CB9"/>
    <w:rsid w:val="22106017"/>
    <w:rsid w:val="22321EFC"/>
    <w:rsid w:val="223C075C"/>
    <w:rsid w:val="22420D6A"/>
    <w:rsid w:val="22456BA3"/>
    <w:rsid w:val="225157CE"/>
    <w:rsid w:val="22576990"/>
    <w:rsid w:val="22A10155"/>
    <w:rsid w:val="22B24BC8"/>
    <w:rsid w:val="22C02AA3"/>
    <w:rsid w:val="22D10093"/>
    <w:rsid w:val="22D47F0C"/>
    <w:rsid w:val="22DA5346"/>
    <w:rsid w:val="22E12A33"/>
    <w:rsid w:val="22F47480"/>
    <w:rsid w:val="22FB2186"/>
    <w:rsid w:val="22FD2609"/>
    <w:rsid w:val="2307499C"/>
    <w:rsid w:val="23277E4D"/>
    <w:rsid w:val="232D4C41"/>
    <w:rsid w:val="233F7E6C"/>
    <w:rsid w:val="23645B24"/>
    <w:rsid w:val="23677BA9"/>
    <w:rsid w:val="237535B5"/>
    <w:rsid w:val="237C1278"/>
    <w:rsid w:val="23B33488"/>
    <w:rsid w:val="23B50276"/>
    <w:rsid w:val="23D25C4B"/>
    <w:rsid w:val="23DE1C48"/>
    <w:rsid w:val="23DF6833"/>
    <w:rsid w:val="23E17386"/>
    <w:rsid w:val="23FE163F"/>
    <w:rsid w:val="240210CD"/>
    <w:rsid w:val="24082954"/>
    <w:rsid w:val="240D073C"/>
    <w:rsid w:val="243F3E9B"/>
    <w:rsid w:val="2444535D"/>
    <w:rsid w:val="24762189"/>
    <w:rsid w:val="24AA66D0"/>
    <w:rsid w:val="24BF09F7"/>
    <w:rsid w:val="24C1352B"/>
    <w:rsid w:val="24CE1BCC"/>
    <w:rsid w:val="25020A0E"/>
    <w:rsid w:val="251C6B7F"/>
    <w:rsid w:val="25207CAE"/>
    <w:rsid w:val="252D53FE"/>
    <w:rsid w:val="252E4E6C"/>
    <w:rsid w:val="253008AB"/>
    <w:rsid w:val="25304B0C"/>
    <w:rsid w:val="2534037D"/>
    <w:rsid w:val="255B5F78"/>
    <w:rsid w:val="256240CD"/>
    <w:rsid w:val="25680ABC"/>
    <w:rsid w:val="258D73F8"/>
    <w:rsid w:val="25A347BE"/>
    <w:rsid w:val="25C75A2E"/>
    <w:rsid w:val="25C95487"/>
    <w:rsid w:val="25D71D13"/>
    <w:rsid w:val="25EC2D81"/>
    <w:rsid w:val="25F65F76"/>
    <w:rsid w:val="260474F9"/>
    <w:rsid w:val="2617777C"/>
    <w:rsid w:val="26316819"/>
    <w:rsid w:val="26334F88"/>
    <w:rsid w:val="26444316"/>
    <w:rsid w:val="268E6943"/>
    <w:rsid w:val="26BF72F6"/>
    <w:rsid w:val="26CB2684"/>
    <w:rsid w:val="26F77D64"/>
    <w:rsid w:val="26FF12E9"/>
    <w:rsid w:val="27096AFD"/>
    <w:rsid w:val="270A6F78"/>
    <w:rsid w:val="27175727"/>
    <w:rsid w:val="277057A2"/>
    <w:rsid w:val="27724620"/>
    <w:rsid w:val="27793FC1"/>
    <w:rsid w:val="27800C01"/>
    <w:rsid w:val="278A2120"/>
    <w:rsid w:val="278B4A6E"/>
    <w:rsid w:val="27962024"/>
    <w:rsid w:val="279D4B1F"/>
    <w:rsid w:val="279F5027"/>
    <w:rsid w:val="27A450FB"/>
    <w:rsid w:val="27A74F9B"/>
    <w:rsid w:val="27AE61EE"/>
    <w:rsid w:val="27C37833"/>
    <w:rsid w:val="27C57572"/>
    <w:rsid w:val="27F75496"/>
    <w:rsid w:val="27F862C8"/>
    <w:rsid w:val="27FC3F3E"/>
    <w:rsid w:val="27FF1C08"/>
    <w:rsid w:val="2801583B"/>
    <w:rsid w:val="28110A57"/>
    <w:rsid w:val="28156556"/>
    <w:rsid w:val="2844514B"/>
    <w:rsid w:val="287B1295"/>
    <w:rsid w:val="28C1640D"/>
    <w:rsid w:val="28C7699D"/>
    <w:rsid w:val="28DB2572"/>
    <w:rsid w:val="28F95BE9"/>
    <w:rsid w:val="290824F7"/>
    <w:rsid w:val="291D1D8F"/>
    <w:rsid w:val="29206EB8"/>
    <w:rsid w:val="2935397D"/>
    <w:rsid w:val="293E4B39"/>
    <w:rsid w:val="29595666"/>
    <w:rsid w:val="29733D93"/>
    <w:rsid w:val="29860FB6"/>
    <w:rsid w:val="29874881"/>
    <w:rsid w:val="2989374F"/>
    <w:rsid w:val="298D7F13"/>
    <w:rsid w:val="2991359C"/>
    <w:rsid w:val="29996FFF"/>
    <w:rsid w:val="299F4986"/>
    <w:rsid w:val="29C123B0"/>
    <w:rsid w:val="29D350BF"/>
    <w:rsid w:val="29E325E0"/>
    <w:rsid w:val="2A452503"/>
    <w:rsid w:val="2A660D94"/>
    <w:rsid w:val="2A666F1B"/>
    <w:rsid w:val="2AC34CB5"/>
    <w:rsid w:val="2ADE603F"/>
    <w:rsid w:val="2B083B90"/>
    <w:rsid w:val="2B09557E"/>
    <w:rsid w:val="2B0A2FDB"/>
    <w:rsid w:val="2B167B0D"/>
    <w:rsid w:val="2B394FA2"/>
    <w:rsid w:val="2B4D1DE8"/>
    <w:rsid w:val="2B4E7C7A"/>
    <w:rsid w:val="2B715E7F"/>
    <w:rsid w:val="2B7D186A"/>
    <w:rsid w:val="2B8E6E8B"/>
    <w:rsid w:val="2BA936A8"/>
    <w:rsid w:val="2BDA24FA"/>
    <w:rsid w:val="2BE233F5"/>
    <w:rsid w:val="2C140285"/>
    <w:rsid w:val="2C2458A2"/>
    <w:rsid w:val="2C276143"/>
    <w:rsid w:val="2C315A5A"/>
    <w:rsid w:val="2C4B1C25"/>
    <w:rsid w:val="2CA0316D"/>
    <w:rsid w:val="2CA66895"/>
    <w:rsid w:val="2CC51C8E"/>
    <w:rsid w:val="2CD90AA6"/>
    <w:rsid w:val="2CF0293A"/>
    <w:rsid w:val="2CF96E23"/>
    <w:rsid w:val="2D127D16"/>
    <w:rsid w:val="2D145CC7"/>
    <w:rsid w:val="2D2069AD"/>
    <w:rsid w:val="2D2F7D49"/>
    <w:rsid w:val="2D301464"/>
    <w:rsid w:val="2D332850"/>
    <w:rsid w:val="2D3C7D6F"/>
    <w:rsid w:val="2D7C1CBC"/>
    <w:rsid w:val="2D8929E4"/>
    <w:rsid w:val="2D93157F"/>
    <w:rsid w:val="2D9B6D1C"/>
    <w:rsid w:val="2D9E56F5"/>
    <w:rsid w:val="2DA642FE"/>
    <w:rsid w:val="2DAA0942"/>
    <w:rsid w:val="2DD30C20"/>
    <w:rsid w:val="2DD3128B"/>
    <w:rsid w:val="2DD64015"/>
    <w:rsid w:val="2DD96C3E"/>
    <w:rsid w:val="2DF16206"/>
    <w:rsid w:val="2E0B0304"/>
    <w:rsid w:val="2E0E0D6B"/>
    <w:rsid w:val="2E38742C"/>
    <w:rsid w:val="2E440A85"/>
    <w:rsid w:val="2E4D34B7"/>
    <w:rsid w:val="2E5B117C"/>
    <w:rsid w:val="2E667F96"/>
    <w:rsid w:val="2E70599F"/>
    <w:rsid w:val="2E752C26"/>
    <w:rsid w:val="2E7611D8"/>
    <w:rsid w:val="2E8226AB"/>
    <w:rsid w:val="2E852ACB"/>
    <w:rsid w:val="2E8701F2"/>
    <w:rsid w:val="2E936186"/>
    <w:rsid w:val="2E9F7F24"/>
    <w:rsid w:val="2EA41822"/>
    <w:rsid w:val="2EAA4B5E"/>
    <w:rsid w:val="2EB35517"/>
    <w:rsid w:val="2EC8766C"/>
    <w:rsid w:val="2EE551D0"/>
    <w:rsid w:val="2F0425AE"/>
    <w:rsid w:val="2F092461"/>
    <w:rsid w:val="2F150FA0"/>
    <w:rsid w:val="2F1A6676"/>
    <w:rsid w:val="2F1D7217"/>
    <w:rsid w:val="2F4C653B"/>
    <w:rsid w:val="2F5E37C6"/>
    <w:rsid w:val="2F622FF2"/>
    <w:rsid w:val="2F6E1301"/>
    <w:rsid w:val="2F733A86"/>
    <w:rsid w:val="2F733C9E"/>
    <w:rsid w:val="2FA71B33"/>
    <w:rsid w:val="2FD065E6"/>
    <w:rsid w:val="2FD96870"/>
    <w:rsid w:val="2FE14AA5"/>
    <w:rsid w:val="2FED4A3A"/>
    <w:rsid w:val="30096E4F"/>
    <w:rsid w:val="30131E50"/>
    <w:rsid w:val="301764E9"/>
    <w:rsid w:val="303438F7"/>
    <w:rsid w:val="304C1A7A"/>
    <w:rsid w:val="30580BC9"/>
    <w:rsid w:val="30B12444"/>
    <w:rsid w:val="30C46722"/>
    <w:rsid w:val="30CE3AEC"/>
    <w:rsid w:val="30D36289"/>
    <w:rsid w:val="30F6287D"/>
    <w:rsid w:val="31105EF4"/>
    <w:rsid w:val="31111529"/>
    <w:rsid w:val="311E2ED7"/>
    <w:rsid w:val="311E3A3A"/>
    <w:rsid w:val="315619EE"/>
    <w:rsid w:val="315C449C"/>
    <w:rsid w:val="315E4EB2"/>
    <w:rsid w:val="31670597"/>
    <w:rsid w:val="31674CF6"/>
    <w:rsid w:val="31907028"/>
    <w:rsid w:val="31997C79"/>
    <w:rsid w:val="319D4474"/>
    <w:rsid w:val="31B82709"/>
    <w:rsid w:val="31D05482"/>
    <w:rsid w:val="320C39F3"/>
    <w:rsid w:val="320D03B1"/>
    <w:rsid w:val="32120304"/>
    <w:rsid w:val="3226049F"/>
    <w:rsid w:val="3237367E"/>
    <w:rsid w:val="323A2FD0"/>
    <w:rsid w:val="32400B34"/>
    <w:rsid w:val="324D37BB"/>
    <w:rsid w:val="32522DB5"/>
    <w:rsid w:val="32591A39"/>
    <w:rsid w:val="326274CF"/>
    <w:rsid w:val="326B171F"/>
    <w:rsid w:val="327B64E7"/>
    <w:rsid w:val="32873093"/>
    <w:rsid w:val="32892F80"/>
    <w:rsid w:val="329C6F58"/>
    <w:rsid w:val="329E6876"/>
    <w:rsid w:val="32A0422E"/>
    <w:rsid w:val="32A36B3A"/>
    <w:rsid w:val="32BD737F"/>
    <w:rsid w:val="32D61447"/>
    <w:rsid w:val="32DB30EF"/>
    <w:rsid w:val="32E7445B"/>
    <w:rsid w:val="32FC7981"/>
    <w:rsid w:val="333015F2"/>
    <w:rsid w:val="33402BD2"/>
    <w:rsid w:val="334B5363"/>
    <w:rsid w:val="334B6320"/>
    <w:rsid w:val="337F28DC"/>
    <w:rsid w:val="339E6F3F"/>
    <w:rsid w:val="339F360D"/>
    <w:rsid w:val="33A34AC4"/>
    <w:rsid w:val="33D934D4"/>
    <w:rsid w:val="33DC790D"/>
    <w:rsid w:val="33FE2F6A"/>
    <w:rsid w:val="340E07E5"/>
    <w:rsid w:val="34160ADA"/>
    <w:rsid w:val="34235BF7"/>
    <w:rsid w:val="343A77BC"/>
    <w:rsid w:val="347E785B"/>
    <w:rsid w:val="34864128"/>
    <w:rsid w:val="348810CF"/>
    <w:rsid w:val="3490277D"/>
    <w:rsid w:val="3495236C"/>
    <w:rsid w:val="34A53B51"/>
    <w:rsid w:val="34BF609B"/>
    <w:rsid w:val="34C6433A"/>
    <w:rsid w:val="34D2441F"/>
    <w:rsid w:val="34DC5D51"/>
    <w:rsid w:val="34E3336F"/>
    <w:rsid w:val="34E77E68"/>
    <w:rsid w:val="351C3393"/>
    <w:rsid w:val="35447564"/>
    <w:rsid w:val="354B1525"/>
    <w:rsid w:val="354B5EC8"/>
    <w:rsid w:val="35723209"/>
    <w:rsid w:val="358238C0"/>
    <w:rsid w:val="358C5FA8"/>
    <w:rsid w:val="35C15DF1"/>
    <w:rsid w:val="35D226BF"/>
    <w:rsid w:val="35E36D23"/>
    <w:rsid w:val="35E77139"/>
    <w:rsid w:val="35F86AF9"/>
    <w:rsid w:val="36070CBD"/>
    <w:rsid w:val="36074A7F"/>
    <w:rsid w:val="364D1397"/>
    <w:rsid w:val="365B391A"/>
    <w:rsid w:val="36616FBF"/>
    <w:rsid w:val="366C54B4"/>
    <w:rsid w:val="36906978"/>
    <w:rsid w:val="36923549"/>
    <w:rsid w:val="36A101AE"/>
    <w:rsid w:val="36B75FBF"/>
    <w:rsid w:val="36B95BDB"/>
    <w:rsid w:val="36BD0C45"/>
    <w:rsid w:val="36EB139B"/>
    <w:rsid w:val="36F6369D"/>
    <w:rsid w:val="370473AC"/>
    <w:rsid w:val="37392493"/>
    <w:rsid w:val="37495294"/>
    <w:rsid w:val="374C1208"/>
    <w:rsid w:val="376C7D34"/>
    <w:rsid w:val="377A3AF2"/>
    <w:rsid w:val="378E0784"/>
    <w:rsid w:val="37B03EAF"/>
    <w:rsid w:val="37E00298"/>
    <w:rsid w:val="37E439A4"/>
    <w:rsid w:val="381751EC"/>
    <w:rsid w:val="381C1D9C"/>
    <w:rsid w:val="38384F6A"/>
    <w:rsid w:val="385416FC"/>
    <w:rsid w:val="3857355D"/>
    <w:rsid w:val="38613F89"/>
    <w:rsid w:val="386D79A2"/>
    <w:rsid w:val="387232C4"/>
    <w:rsid w:val="38731C70"/>
    <w:rsid w:val="3893136C"/>
    <w:rsid w:val="38932192"/>
    <w:rsid w:val="38B302F9"/>
    <w:rsid w:val="38BC501C"/>
    <w:rsid w:val="38BF6504"/>
    <w:rsid w:val="38D57D77"/>
    <w:rsid w:val="38E913AD"/>
    <w:rsid w:val="38F12CD3"/>
    <w:rsid w:val="38F94775"/>
    <w:rsid w:val="3905527C"/>
    <w:rsid w:val="39067E00"/>
    <w:rsid w:val="39126FAC"/>
    <w:rsid w:val="391E3738"/>
    <w:rsid w:val="39217F13"/>
    <w:rsid w:val="392971ED"/>
    <w:rsid w:val="39325651"/>
    <w:rsid w:val="39353565"/>
    <w:rsid w:val="393D16D9"/>
    <w:rsid w:val="39425DA2"/>
    <w:rsid w:val="395E2A6B"/>
    <w:rsid w:val="39903704"/>
    <w:rsid w:val="39926207"/>
    <w:rsid w:val="39994DF0"/>
    <w:rsid w:val="399A24FF"/>
    <w:rsid w:val="39AB195F"/>
    <w:rsid w:val="39E0317F"/>
    <w:rsid w:val="39F47AC1"/>
    <w:rsid w:val="39FF0446"/>
    <w:rsid w:val="3A191C99"/>
    <w:rsid w:val="3A22209F"/>
    <w:rsid w:val="3A231CDA"/>
    <w:rsid w:val="3A463719"/>
    <w:rsid w:val="3A816A90"/>
    <w:rsid w:val="3A872856"/>
    <w:rsid w:val="3AA23EC5"/>
    <w:rsid w:val="3AB8730A"/>
    <w:rsid w:val="3ABF1150"/>
    <w:rsid w:val="3ADF59EB"/>
    <w:rsid w:val="3AE52105"/>
    <w:rsid w:val="3AF24DC0"/>
    <w:rsid w:val="3B2E4891"/>
    <w:rsid w:val="3B3763D1"/>
    <w:rsid w:val="3B3D68A8"/>
    <w:rsid w:val="3B4316AD"/>
    <w:rsid w:val="3B643B21"/>
    <w:rsid w:val="3B6959CA"/>
    <w:rsid w:val="3B8A2F3A"/>
    <w:rsid w:val="3B91110F"/>
    <w:rsid w:val="3BB00D7F"/>
    <w:rsid w:val="3BE45ADD"/>
    <w:rsid w:val="3BE75872"/>
    <w:rsid w:val="3C06409E"/>
    <w:rsid w:val="3C157E91"/>
    <w:rsid w:val="3C2009E0"/>
    <w:rsid w:val="3C277CF8"/>
    <w:rsid w:val="3C2F6E1E"/>
    <w:rsid w:val="3C4F64BA"/>
    <w:rsid w:val="3C51534C"/>
    <w:rsid w:val="3C863F1B"/>
    <w:rsid w:val="3CC516B9"/>
    <w:rsid w:val="3CD15B81"/>
    <w:rsid w:val="3CDA245A"/>
    <w:rsid w:val="3CEF68B3"/>
    <w:rsid w:val="3D0E2D9E"/>
    <w:rsid w:val="3D1E06B7"/>
    <w:rsid w:val="3D672785"/>
    <w:rsid w:val="3DAE1516"/>
    <w:rsid w:val="3DBF0454"/>
    <w:rsid w:val="3DC52C02"/>
    <w:rsid w:val="3DCD44F0"/>
    <w:rsid w:val="3DD31469"/>
    <w:rsid w:val="3DD52287"/>
    <w:rsid w:val="3DEF5173"/>
    <w:rsid w:val="3DFD1ECF"/>
    <w:rsid w:val="3DFE7A5C"/>
    <w:rsid w:val="3E077169"/>
    <w:rsid w:val="3E084683"/>
    <w:rsid w:val="3E346A95"/>
    <w:rsid w:val="3E465094"/>
    <w:rsid w:val="3E497CC7"/>
    <w:rsid w:val="3E711376"/>
    <w:rsid w:val="3E882EC3"/>
    <w:rsid w:val="3E8A2BD9"/>
    <w:rsid w:val="3EA21DFE"/>
    <w:rsid w:val="3EBB75B6"/>
    <w:rsid w:val="3EC97371"/>
    <w:rsid w:val="3EDA0523"/>
    <w:rsid w:val="3EF641D8"/>
    <w:rsid w:val="3EF67F8E"/>
    <w:rsid w:val="3F0E738F"/>
    <w:rsid w:val="3F29056F"/>
    <w:rsid w:val="3F2A08BD"/>
    <w:rsid w:val="3F3C4FBE"/>
    <w:rsid w:val="3F5550FC"/>
    <w:rsid w:val="3F5C6943"/>
    <w:rsid w:val="3FB07E40"/>
    <w:rsid w:val="3FD318F9"/>
    <w:rsid w:val="3FD667A5"/>
    <w:rsid w:val="3FFB7ED0"/>
    <w:rsid w:val="40141B6F"/>
    <w:rsid w:val="401D6B3C"/>
    <w:rsid w:val="40333ED9"/>
    <w:rsid w:val="403C315D"/>
    <w:rsid w:val="404016F7"/>
    <w:rsid w:val="404347B0"/>
    <w:rsid w:val="40566B6F"/>
    <w:rsid w:val="40676DCE"/>
    <w:rsid w:val="4079019E"/>
    <w:rsid w:val="407A1C46"/>
    <w:rsid w:val="407A6407"/>
    <w:rsid w:val="407D7014"/>
    <w:rsid w:val="409717ED"/>
    <w:rsid w:val="409B096A"/>
    <w:rsid w:val="40C859C6"/>
    <w:rsid w:val="40CD132A"/>
    <w:rsid w:val="40D92E2E"/>
    <w:rsid w:val="4100279A"/>
    <w:rsid w:val="410D2CB2"/>
    <w:rsid w:val="411F6159"/>
    <w:rsid w:val="41224C26"/>
    <w:rsid w:val="4127116E"/>
    <w:rsid w:val="412F67C1"/>
    <w:rsid w:val="41432623"/>
    <w:rsid w:val="41493512"/>
    <w:rsid w:val="414C3F78"/>
    <w:rsid w:val="416406F5"/>
    <w:rsid w:val="41652832"/>
    <w:rsid w:val="41694FDA"/>
    <w:rsid w:val="41831962"/>
    <w:rsid w:val="419058D9"/>
    <w:rsid w:val="41960EE6"/>
    <w:rsid w:val="41AE5F2B"/>
    <w:rsid w:val="41BF3F81"/>
    <w:rsid w:val="41C17FB2"/>
    <w:rsid w:val="41CA5B97"/>
    <w:rsid w:val="41D77871"/>
    <w:rsid w:val="41EE5266"/>
    <w:rsid w:val="41F70AA6"/>
    <w:rsid w:val="41FE6BB9"/>
    <w:rsid w:val="4200449D"/>
    <w:rsid w:val="42014FCF"/>
    <w:rsid w:val="420F5579"/>
    <w:rsid w:val="4218325A"/>
    <w:rsid w:val="42371996"/>
    <w:rsid w:val="423A3BCC"/>
    <w:rsid w:val="423D7F1E"/>
    <w:rsid w:val="4242483A"/>
    <w:rsid w:val="424E57D2"/>
    <w:rsid w:val="42535CFB"/>
    <w:rsid w:val="42585C50"/>
    <w:rsid w:val="427723DF"/>
    <w:rsid w:val="42872984"/>
    <w:rsid w:val="428D0EE0"/>
    <w:rsid w:val="42965B63"/>
    <w:rsid w:val="42992B7A"/>
    <w:rsid w:val="42A94E0F"/>
    <w:rsid w:val="42B24418"/>
    <w:rsid w:val="42B26C49"/>
    <w:rsid w:val="42B571FB"/>
    <w:rsid w:val="42C72E74"/>
    <w:rsid w:val="42D8693D"/>
    <w:rsid w:val="42E67F19"/>
    <w:rsid w:val="42EA28D6"/>
    <w:rsid w:val="42EB3683"/>
    <w:rsid w:val="42FE6E29"/>
    <w:rsid w:val="4300558F"/>
    <w:rsid w:val="4318018B"/>
    <w:rsid w:val="433A6FE6"/>
    <w:rsid w:val="4341157E"/>
    <w:rsid w:val="43480868"/>
    <w:rsid w:val="4350713C"/>
    <w:rsid w:val="43536795"/>
    <w:rsid w:val="435E1206"/>
    <w:rsid w:val="43646A51"/>
    <w:rsid w:val="436653E0"/>
    <w:rsid w:val="438E377D"/>
    <w:rsid w:val="43924F36"/>
    <w:rsid w:val="43C21FF6"/>
    <w:rsid w:val="43C4431A"/>
    <w:rsid w:val="43C64B9F"/>
    <w:rsid w:val="43D627EB"/>
    <w:rsid w:val="43DE467B"/>
    <w:rsid w:val="43F41640"/>
    <w:rsid w:val="44101986"/>
    <w:rsid w:val="442A6703"/>
    <w:rsid w:val="442B45ED"/>
    <w:rsid w:val="44427B8B"/>
    <w:rsid w:val="444671A6"/>
    <w:rsid w:val="44526791"/>
    <w:rsid w:val="445645FF"/>
    <w:rsid w:val="44611883"/>
    <w:rsid w:val="448464FD"/>
    <w:rsid w:val="44AC04F9"/>
    <w:rsid w:val="44B951CC"/>
    <w:rsid w:val="44C177CB"/>
    <w:rsid w:val="44C31A66"/>
    <w:rsid w:val="44CD14E0"/>
    <w:rsid w:val="44E23963"/>
    <w:rsid w:val="44E86363"/>
    <w:rsid w:val="44F06DC0"/>
    <w:rsid w:val="44F20B0B"/>
    <w:rsid w:val="45063C38"/>
    <w:rsid w:val="450835BF"/>
    <w:rsid w:val="45127628"/>
    <w:rsid w:val="45270BFB"/>
    <w:rsid w:val="452E5F4C"/>
    <w:rsid w:val="45612018"/>
    <w:rsid w:val="45760A49"/>
    <w:rsid w:val="458946E9"/>
    <w:rsid w:val="458C5726"/>
    <w:rsid w:val="459B4A82"/>
    <w:rsid w:val="45A47C0E"/>
    <w:rsid w:val="45AF0A8F"/>
    <w:rsid w:val="45BA76BA"/>
    <w:rsid w:val="45C56C73"/>
    <w:rsid w:val="45CC358B"/>
    <w:rsid w:val="46007F64"/>
    <w:rsid w:val="46166AC9"/>
    <w:rsid w:val="461D3801"/>
    <w:rsid w:val="46246EBF"/>
    <w:rsid w:val="4630454C"/>
    <w:rsid w:val="46577FD6"/>
    <w:rsid w:val="4675293C"/>
    <w:rsid w:val="46A41B91"/>
    <w:rsid w:val="46A47F9D"/>
    <w:rsid w:val="46A746AE"/>
    <w:rsid w:val="46C819A2"/>
    <w:rsid w:val="46D00C57"/>
    <w:rsid w:val="46D93323"/>
    <w:rsid w:val="46D955A7"/>
    <w:rsid w:val="46F3798A"/>
    <w:rsid w:val="46FD6471"/>
    <w:rsid w:val="470D27A6"/>
    <w:rsid w:val="47133957"/>
    <w:rsid w:val="47234836"/>
    <w:rsid w:val="473A6255"/>
    <w:rsid w:val="47477572"/>
    <w:rsid w:val="47624FD6"/>
    <w:rsid w:val="476734D9"/>
    <w:rsid w:val="4789598D"/>
    <w:rsid w:val="47A07E0C"/>
    <w:rsid w:val="47C02739"/>
    <w:rsid w:val="47C9523F"/>
    <w:rsid w:val="47EB4826"/>
    <w:rsid w:val="48051B00"/>
    <w:rsid w:val="48073D82"/>
    <w:rsid w:val="48150C74"/>
    <w:rsid w:val="483966CB"/>
    <w:rsid w:val="48410FC7"/>
    <w:rsid w:val="485954D7"/>
    <w:rsid w:val="48605FBE"/>
    <w:rsid w:val="4870272E"/>
    <w:rsid w:val="48757559"/>
    <w:rsid w:val="488774F7"/>
    <w:rsid w:val="48970598"/>
    <w:rsid w:val="489F2FD7"/>
    <w:rsid w:val="48A874BA"/>
    <w:rsid w:val="48B02BB7"/>
    <w:rsid w:val="48C02A70"/>
    <w:rsid w:val="48C40C06"/>
    <w:rsid w:val="48D26C58"/>
    <w:rsid w:val="48DA337A"/>
    <w:rsid w:val="48F6490B"/>
    <w:rsid w:val="49055644"/>
    <w:rsid w:val="490B03FF"/>
    <w:rsid w:val="492514D6"/>
    <w:rsid w:val="492C3E01"/>
    <w:rsid w:val="495D63B6"/>
    <w:rsid w:val="499204AA"/>
    <w:rsid w:val="499A5E3E"/>
    <w:rsid w:val="49AD2A58"/>
    <w:rsid w:val="49B4276E"/>
    <w:rsid w:val="49CF7FEE"/>
    <w:rsid w:val="49D339AC"/>
    <w:rsid w:val="49DC7715"/>
    <w:rsid w:val="4A023139"/>
    <w:rsid w:val="4A070B72"/>
    <w:rsid w:val="4A1F2387"/>
    <w:rsid w:val="4A374F46"/>
    <w:rsid w:val="4A4B1970"/>
    <w:rsid w:val="4A5575B3"/>
    <w:rsid w:val="4A5E6594"/>
    <w:rsid w:val="4A7B576F"/>
    <w:rsid w:val="4A7B7C87"/>
    <w:rsid w:val="4A7D4626"/>
    <w:rsid w:val="4A8A116B"/>
    <w:rsid w:val="4A946423"/>
    <w:rsid w:val="4ABB27B9"/>
    <w:rsid w:val="4ACF1A79"/>
    <w:rsid w:val="4AE3353C"/>
    <w:rsid w:val="4AE87EE6"/>
    <w:rsid w:val="4AF432FC"/>
    <w:rsid w:val="4AF561A9"/>
    <w:rsid w:val="4AFF1B0B"/>
    <w:rsid w:val="4B2D1C78"/>
    <w:rsid w:val="4B3901DF"/>
    <w:rsid w:val="4B6A6E0A"/>
    <w:rsid w:val="4B836A6D"/>
    <w:rsid w:val="4B952FA7"/>
    <w:rsid w:val="4BBE5EDB"/>
    <w:rsid w:val="4BD2374C"/>
    <w:rsid w:val="4BDA18A3"/>
    <w:rsid w:val="4C355B17"/>
    <w:rsid w:val="4C383C5E"/>
    <w:rsid w:val="4C4A0649"/>
    <w:rsid w:val="4C7E5ECA"/>
    <w:rsid w:val="4C876AA5"/>
    <w:rsid w:val="4C8C3872"/>
    <w:rsid w:val="4D003319"/>
    <w:rsid w:val="4D0E00FB"/>
    <w:rsid w:val="4D123EDD"/>
    <w:rsid w:val="4D176606"/>
    <w:rsid w:val="4D177A2A"/>
    <w:rsid w:val="4D1F43A2"/>
    <w:rsid w:val="4D257FE4"/>
    <w:rsid w:val="4D3136AC"/>
    <w:rsid w:val="4D8F256D"/>
    <w:rsid w:val="4DC76AEC"/>
    <w:rsid w:val="4DCA605E"/>
    <w:rsid w:val="4DCB4407"/>
    <w:rsid w:val="4DE22BE8"/>
    <w:rsid w:val="4DE93B2A"/>
    <w:rsid w:val="4DEC4FB0"/>
    <w:rsid w:val="4DFC0483"/>
    <w:rsid w:val="4E075D8A"/>
    <w:rsid w:val="4E0B6A19"/>
    <w:rsid w:val="4E3C2EE6"/>
    <w:rsid w:val="4E3E05F8"/>
    <w:rsid w:val="4EBC1678"/>
    <w:rsid w:val="4EC00FAD"/>
    <w:rsid w:val="4EE91A5E"/>
    <w:rsid w:val="4EEA0903"/>
    <w:rsid w:val="4EF50A4C"/>
    <w:rsid w:val="4F025274"/>
    <w:rsid w:val="4F034F58"/>
    <w:rsid w:val="4F0808E2"/>
    <w:rsid w:val="4F0C49EA"/>
    <w:rsid w:val="4F3B5ACB"/>
    <w:rsid w:val="4F59726C"/>
    <w:rsid w:val="4F8977DC"/>
    <w:rsid w:val="4F9843DC"/>
    <w:rsid w:val="4FAC7F72"/>
    <w:rsid w:val="4FC62A8C"/>
    <w:rsid w:val="4FDA130B"/>
    <w:rsid w:val="4FE20F0D"/>
    <w:rsid w:val="4FE45FD8"/>
    <w:rsid w:val="4FE51552"/>
    <w:rsid w:val="5003281F"/>
    <w:rsid w:val="501E757E"/>
    <w:rsid w:val="50221555"/>
    <w:rsid w:val="50504C4B"/>
    <w:rsid w:val="505661C0"/>
    <w:rsid w:val="508171F7"/>
    <w:rsid w:val="509C6E7C"/>
    <w:rsid w:val="50ED20BC"/>
    <w:rsid w:val="50FB16EC"/>
    <w:rsid w:val="510B050C"/>
    <w:rsid w:val="51287622"/>
    <w:rsid w:val="51370FE0"/>
    <w:rsid w:val="513F1449"/>
    <w:rsid w:val="514A6D33"/>
    <w:rsid w:val="51534812"/>
    <w:rsid w:val="5162104E"/>
    <w:rsid w:val="517547A8"/>
    <w:rsid w:val="51761456"/>
    <w:rsid w:val="51A02000"/>
    <w:rsid w:val="51CD3E18"/>
    <w:rsid w:val="521A2C47"/>
    <w:rsid w:val="52241893"/>
    <w:rsid w:val="52354884"/>
    <w:rsid w:val="52380B23"/>
    <w:rsid w:val="524960BE"/>
    <w:rsid w:val="52803148"/>
    <w:rsid w:val="528D7B3A"/>
    <w:rsid w:val="52A25C1B"/>
    <w:rsid w:val="52BF28DC"/>
    <w:rsid w:val="52D61829"/>
    <w:rsid w:val="52E62D21"/>
    <w:rsid w:val="52E85B75"/>
    <w:rsid w:val="52F535C5"/>
    <w:rsid w:val="530D0761"/>
    <w:rsid w:val="531B71BF"/>
    <w:rsid w:val="53593DCF"/>
    <w:rsid w:val="535D720E"/>
    <w:rsid w:val="53783019"/>
    <w:rsid w:val="538E7142"/>
    <w:rsid w:val="53904889"/>
    <w:rsid w:val="53905FE3"/>
    <w:rsid w:val="53973DDA"/>
    <w:rsid w:val="53A039CC"/>
    <w:rsid w:val="53A1505A"/>
    <w:rsid w:val="53A20B4F"/>
    <w:rsid w:val="53B44F38"/>
    <w:rsid w:val="53B94D24"/>
    <w:rsid w:val="53D7641D"/>
    <w:rsid w:val="540560F9"/>
    <w:rsid w:val="54063E08"/>
    <w:rsid w:val="54077B4E"/>
    <w:rsid w:val="54205180"/>
    <w:rsid w:val="543437E8"/>
    <w:rsid w:val="54482FA0"/>
    <w:rsid w:val="54702679"/>
    <w:rsid w:val="549225EA"/>
    <w:rsid w:val="54C71DC1"/>
    <w:rsid w:val="54E6337F"/>
    <w:rsid w:val="54E640CC"/>
    <w:rsid w:val="54EF65D2"/>
    <w:rsid w:val="54F73313"/>
    <w:rsid w:val="54F80955"/>
    <w:rsid w:val="54FC14BB"/>
    <w:rsid w:val="55210082"/>
    <w:rsid w:val="554707EE"/>
    <w:rsid w:val="555170A7"/>
    <w:rsid w:val="55604DE8"/>
    <w:rsid w:val="55874746"/>
    <w:rsid w:val="5587536D"/>
    <w:rsid w:val="559B174B"/>
    <w:rsid w:val="55A943AD"/>
    <w:rsid w:val="55B31553"/>
    <w:rsid w:val="55BB204F"/>
    <w:rsid w:val="55CE0CF4"/>
    <w:rsid w:val="55ED4F22"/>
    <w:rsid w:val="562E6D25"/>
    <w:rsid w:val="565116E1"/>
    <w:rsid w:val="565E6516"/>
    <w:rsid w:val="565F0BC1"/>
    <w:rsid w:val="56621DCB"/>
    <w:rsid w:val="5665310F"/>
    <w:rsid w:val="566F7954"/>
    <w:rsid w:val="56743B0F"/>
    <w:rsid w:val="568140A3"/>
    <w:rsid w:val="569C16A8"/>
    <w:rsid w:val="56B14A3F"/>
    <w:rsid w:val="56B22A9C"/>
    <w:rsid w:val="56BB4EFF"/>
    <w:rsid w:val="56CC1298"/>
    <w:rsid w:val="56D13B4E"/>
    <w:rsid w:val="56EF2B17"/>
    <w:rsid w:val="56F71C86"/>
    <w:rsid w:val="56F96465"/>
    <w:rsid w:val="57031D5B"/>
    <w:rsid w:val="57692F68"/>
    <w:rsid w:val="579E66FC"/>
    <w:rsid w:val="57AC7225"/>
    <w:rsid w:val="57B72A76"/>
    <w:rsid w:val="57BB3E83"/>
    <w:rsid w:val="57C21471"/>
    <w:rsid w:val="57C3426C"/>
    <w:rsid w:val="57CE1F93"/>
    <w:rsid w:val="57D01C60"/>
    <w:rsid w:val="57D135EE"/>
    <w:rsid w:val="57D24B04"/>
    <w:rsid w:val="57D87649"/>
    <w:rsid w:val="57E911E5"/>
    <w:rsid w:val="57EB792C"/>
    <w:rsid w:val="58012263"/>
    <w:rsid w:val="58172D7C"/>
    <w:rsid w:val="5820100D"/>
    <w:rsid w:val="58334E65"/>
    <w:rsid w:val="583563F1"/>
    <w:rsid w:val="58401D2B"/>
    <w:rsid w:val="585462FE"/>
    <w:rsid w:val="58564C40"/>
    <w:rsid w:val="58596BF0"/>
    <w:rsid w:val="586A70E4"/>
    <w:rsid w:val="586E0124"/>
    <w:rsid w:val="58721B1C"/>
    <w:rsid w:val="588743D1"/>
    <w:rsid w:val="5887701A"/>
    <w:rsid w:val="58C37256"/>
    <w:rsid w:val="58DE0D39"/>
    <w:rsid w:val="58E7199C"/>
    <w:rsid w:val="58EA497C"/>
    <w:rsid w:val="59051665"/>
    <w:rsid w:val="59475E9D"/>
    <w:rsid w:val="59560718"/>
    <w:rsid w:val="595C1AF3"/>
    <w:rsid w:val="5960008D"/>
    <w:rsid w:val="597034C9"/>
    <w:rsid w:val="59717C56"/>
    <w:rsid w:val="597D3D56"/>
    <w:rsid w:val="59861E6A"/>
    <w:rsid w:val="59A33089"/>
    <w:rsid w:val="59BB14EB"/>
    <w:rsid w:val="59BE33F8"/>
    <w:rsid w:val="59C0439F"/>
    <w:rsid w:val="59CD15A4"/>
    <w:rsid w:val="59DD682B"/>
    <w:rsid w:val="59E155C9"/>
    <w:rsid w:val="59F67CC8"/>
    <w:rsid w:val="59F802D4"/>
    <w:rsid w:val="5A25783A"/>
    <w:rsid w:val="5A415FDC"/>
    <w:rsid w:val="5A5721C7"/>
    <w:rsid w:val="5A7B2919"/>
    <w:rsid w:val="5A8349D6"/>
    <w:rsid w:val="5A9C6120"/>
    <w:rsid w:val="5AAC3332"/>
    <w:rsid w:val="5ABE2233"/>
    <w:rsid w:val="5AC70B77"/>
    <w:rsid w:val="5AC96CF9"/>
    <w:rsid w:val="5AD76394"/>
    <w:rsid w:val="5ADF3441"/>
    <w:rsid w:val="5B124E71"/>
    <w:rsid w:val="5B465534"/>
    <w:rsid w:val="5B6C7A1E"/>
    <w:rsid w:val="5B9C181A"/>
    <w:rsid w:val="5B9C2C32"/>
    <w:rsid w:val="5BA86368"/>
    <w:rsid w:val="5BBE5519"/>
    <w:rsid w:val="5BC52C53"/>
    <w:rsid w:val="5BDF5D95"/>
    <w:rsid w:val="5BFB3E3B"/>
    <w:rsid w:val="5BFE7528"/>
    <w:rsid w:val="5C007CAE"/>
    <w:rsid w:val="5C0950FA"/>
    <w:rsid w:val="5C203D14"/>
    <w:rsid w:val="5C335257"/>
    <w:rsid w:val="5C361E59"/>
    <w:rsid w:val="5C4C3BFA"/>
    <w:rsid w:val="5C565486"/>
    <w:rsid w:val="5C5D34E9"/>
    <w:rsid w:val="5C7850AB"/>
    <w:rsid w:val="5C8537A2"/>
    <w:rsid w:val="5CAB5B20"/>
    <w:rsid w:val="5CB03C81"/>
    <w:rsid w:val="5CD32E7C"/>
    <w:rsid w:val="5CD60BD6"/>
    <w:rsid w:val="5CDB3A5D"/>
    <w:rsid w:val="5D067DB1"/>
    <w:rsid w:val="5D234C57"/>
    <w:rsid w:val="5D491C06"/>
    <w:rsid w:val="5D582855"/>
    <w:rsid w:val="5D6005B7"/>
    <w:rsid w:val="5D7044E7"/>
    <w:rsid w:val="5D7235F8"/>
    <w:rsid w:val="5D777C27"/>
    <w:rsid w:val="5DA71847"/>
    <w:rsid w:val="5DDC27F7"/>
    <w:rsid w:val="5DF2282A"/>
    <w:rsid w:val="5DF44ADB"/>
    <w:rsid w:val="5DFA36A9"/>
    <w:rsid w:val="5E17777E"/>
    <w:rsid w:val="5E2467F1"/>
    <w:rsid w:val="5E472674"/>
    <w:rsid w:val="5E4C3C3B"/>
    <w:rsid w:val="5E4D025B"/>
    <w:rsid w:val="5E4F044F"/>
    <w:rsid w:val="5E6351E9"/>
    <w:rsid w:val="5E67265F"/>
    <w:rsid w:val="5E8A31FB"/>
    <w:rsid w:val="5EBC68FC"/>
    <w:rsid w:val="5EBF3AD2"/>
    <w:rsid w:val="5EC44D99"/>
    <w:rsid w:val="5EDF7522"/>
    <w:rsid w:val="5EE8677E"/>
    <w:rsid w:val="5EFA0B0F"/>
    <w:rsid w:val="5EFB1C49"/>
    <w:rsid w:val="5F1A2B43"/>
    <w:rsid w:val="5F1B6BC6"/>
    <w:rsid w:val="5F2E449F"/>
    <w:rsid w:val="5F431762"/>
    <w:rsid w:val="5F452AD3"/>
    <w:rsid w:val="5F626A5E"/>
    <w:rsid w:val="5F8A1E93"/>
    <w:rsid w:val="5F916C4A"/>
    <w:rsid w:val="5FA27779"/>
    <w:rsid w:val="5FB837BB"/>
    <w:rsid w:val="5FBE1379"/>
    <w:rsid w:val="5FCE762C"/>
    <w:rsid w:val="5FD27F1C"/>
    <w:rsid w:val="5FEE2A42"/>
    <w:rsid w:val="5FF1607D"/>
    <w:rsid w:val="60101641"/>
    <w:rsid w:val="60150408"/>
    <w:rsid w:val="60156EF7"/>
    <w:rsid w:val="601B2973"/>
    <w:rsid w:val="60262956"/>
    <w:rsid w:val="6046797B"/>
    <w:rsid w:val="60582BA4"/>
    <w:rsid w:val="60776AE4"/>
    <w:rsid w:val="607C13DA"/>
    <w:rsid w:val="60936D9F"/>
    <w:rsid w:val="609B38CD"/>
    <w:rsid w:val="60AA3AC1"/>
    <w:rsid w:val="60AD69D6"/>
    <w:rsid w:val="60CC405A"/>
    <w:rsid w:val="60F96ADD"/>
    <w:rsid w:val="611C15E4"/>
    <w:rsid w:val="61385F82"/>
    <w:rsid w:val="615361DA"/>
    <w:rsid w:val="616336F2"/>
    <w:rsid w:val="616813ED"/>
    <w:rsid w:val="618A554F"/>
    <w:rsid w:val="6190762A"/>
    <w:rsid w:val="61937010"/>
    <w:rsid w:val="61954F4A"/>
    <w:rsid w:val="61A77C60"/>
    <w:rsid w:val="61D723AD"/>
    <w:rsid w:val="61E215D8"/>
    <w:rsid w:val="61FB1D71"/>
    <w:rsid w:val="62125167"/>
    <w:rsid w:val="621B3775"/>
    <w:rsid w:val="6224055E"/>
    <w:rsid w:val="62364782"/>
    <w:rsid w:val="624D1204"/>
    <w:rsid w:val="62631236"/>
    <w:rsid w:val="628210A2"/>
    <w:rsid w:val="628E1B0B"/>
    <w:rsid w:val="629860E9"/>
    <w:rsid w:val="62993B11"/>
    <w:rsid w:val="62A86A20"/>
    <w:rsid w:val="62C730B2"/>
    <w:rsid w:val="62FA08E9"/>
    <w:rsid w:val="62FA40CB"/>
    <w:rsid w:val="63257647"/>
    <w:rsid w:val="634F3850"/>
    <w:rsid w:val="63505A89"/>
    <w:rsid w:val="637116C8"/>
    <w:rsid w:val="63891671"/>
    <w:rsid w:val="63892AB0"/>
    <w:rsid w:val="6394356A"/>
    <w:rsid w:val="63C61B2C"/>
    <w:rsid w:val="63CD5D7C"/>
    <w:rsid w:val="63D40BE9"/>
    <w:rsid w:val="63E5760C"/>
    <w:rsid w:val="63E8593D"/>
    <w:rsid w:val="64102431"/>
    <w:rsid w:val="64197CB7"/>
    <w:rsid w:val="642B5D8D"/>
    <w:rsid w:val="6431736B"/>
    <w:rsid w:val="6468141B"/>
    <w:rsid w:val="648C088A"/>
    <w:rsid w:val="64904BB5"/>
    <w:rsid w:val="64A449B7"/>
    <w:rsid w:val="64A5243A"/>
    <w:rsid w:val="64AC6128"/>
    <w:rsid w:val="64B65859"/>
    <w:rsid w:val="64F531DE"/>
    <w:rsid w:val="650C06BD"/>
    <w:rsid w:val="651D7B67"/>
    <w:rsid w:val="652D6724"/>
    <w:rsid w:val="653528A1"/>
    <w:rsid w:val="65373578"/>
    <w:rsid w:val="653735D1"/>
    <w:rsid w:val="654F2EB7"/>
    <w:rsid w:val="657F4224"/>
    <w:rsid w:val="65854BD8"/>
    <w:rsid w:val="65890076"/>
    <w:rsid w:val="658F63F3"/>
    <w:rsid w:val="659E7648"/>
    <w:rsid w:val="65A964A2"/>
    <w:rsid w:val="65AB6E30"/>
    <w:rsid w:val="662864AF"/>
    <w:rsid w:val="66637FF7"/>
    <w:rsid w:val="667F4697"/>
    <w:rsid w:val="66AE5F93"/>
    <w:rsid w:val="66BA2DDD"/>
    <w:rsid w:val="66BB2457"/>
    <w:rsid w:val="66BC244B"/>
    <w:rsid w:val="66BC48FC"/>
    <w:rsid w:val="66DC0D6A"/>
    <w:rsid w:val="66F40063"/>
    <w:rsid w:val="671F124A"/>
    <w:rsid w:val="67726306"/>
    <w:rsid w:val="677A33C6"/>
    <w:rsid w:val="6780072A"/>
    <w:rsid w:val="67A64B2A"/>
    <w:rsid w:val="67BE2FC1"/>
    <w:rsid w:val="67D16F97"/>
    <w:rsid w:val="67E94B5F"/>
    <w:rsid w:val="67EA3A96"/>
    <w:rsid w:val="681E58CD"/>
    <w:rsid w:val="681F6961"/>
    <w:rsid w:val="6828738E"/>
    <w:rsid w:val="682A7AB4"/>
    <w:rsid w:val="685B60C5"/>
    <w:rsid w:val="68610A2F"/>
    <w:rsid w:val="68805514"/>
    <w:rsid w:val="68A87FE5"/>
    <w:rsid w:val="68D8661D"/>
    <w:rsid w:val="68D96452"/>
    <w:rsid w:val="68E73C48"/>
    <w:rsid w:val="68F86CD3"/>
    <w:rsid w:val="6908738D"/>
    <w:rsid w:val="69171E0F"/>
    <w:rsid w:val="692B2F6B"/>
    <w:rsid w:val="69316E2F"/>
    <w:rsid w:val="69327CA5"/>
    <w:rsid w:val="694E2071"/>
    <w:rsid w:val="69656B49"/>
    <w:rsid w:val="69766163"/>
    <w:rsid w:val="697A3B33"/>
    <w:rsid w:val="698A1968"/>
    <w:rsid w:val="698D2345"/>
    <w:rsid w:val="699418C0"/>
    <w:rsid w:val="69BA413D"/>
    <w:rsid w:val="69CF680C"/>
    <w:rsid w:val="69D44760"/>
    <w:rsid w:val="6A120243"/>
    <w:rsid w:val="6A120723"/>
    <w:rsid w:val="6A2B10A4"/>
    <w:rsid w:val="6A2F46BD"/>
    <w:rsid w:val="6A324AD0"/>
    <w:rsid w:val="6A520EC7"/>
    <w:rsid w:val="6A764224"/>
    <w:rsid w:val="6A803608"/>
    <w:rsid w:val="6A843983"/>
    <w:rsid w:val="6A8C13CF"/>
    <w:rsid w:val="6A8D5BE5"/>
    <w:rsid w:val="6A903A39"/>
    <w:rsid w:val="6A913FFE"/>
    <w:rsid w:val="6AA11E59"/>
    <w:rsid w:val="6AA20F03"/>
    <w:rsid w:val="6AC50223"/>
    <w:rsid w:val="6AD11D51"/>
    <w:rsid w:val="6AED52E3"/>
    <w:rsid w:val="6AF87E20"/>
    <w:rsid w:val="6B322639"/>
    <w:rsid w:val="6B661145"/>
    <w:rsid w:val="6B833797"/>
    <w:rsid w:val="6B8344E4"/>
    <w:rsid w:val="6BB502BC"/>
    <w:rsid w:val="6BB57581"/>
    <w:rsid w:val="6BDA55C0"/>
    <w:rsid w:val="6BDF5A38"/>
    <w:rsid w:val="6BE2044C"/>
    <w:rsid w:val="6C0A3943"/>
    <w:rsid w:val="6C235A9B"/>
    <w:rsid w:val="6C545038"/>
    <w:rsid w:val="6C636C38"/>
    <w:rsid w:val="6C640937"/>
    <w:rsid w:val="6C815641"/>
    <w:rsid w:val="6CAC4F71"/>
    <w:rsid w:val="6CB86ADE"/>
    <w:rsid w:val="6CC51DD3"/>
    <w:rsid w:val="6CD51585"/>
    <w:rsid w:val="6CD56D06"/>
    <w:rsid w:val="6CDF5109"/>
    <w:rsid w:val="6CF61511"/>
    <w:rsid w:val="6D021CE9"/>
    <w:rsid w:val="6D36074A"/>
    <w:rsid w:val="6D4D410B"/>
    <w:rsid w:val="6D653E8E"/>
    <w:rsid w:val="6D6E4436"/>
    <w:rsid w:val="6D6E4EAD"/>
    <w:rsid w:val="6D896EC4"/>
    <w:rsid w:val="6D8E2D44"/>
    <w:rsid w:val="6DB34098"/>
    <w:rsid w:val="6DB545B6"/>
    <w:rsid w:val="6DBC1D23"/>
    <w:rsid w:val="6DD743EE"/>
    <w:rsid w:val="6DE02FB4"/>
    <w:rsid w:val="6DE05C8E"/>
    <w:rsid w:val="6E335DB7"/>
    <w:rsid w:val="6E514CED"/>
    <w:rsid w:val="6E5D41ED"/>
    <w:rsid w:val="6E827572"/>
    <w:rsid w:val="6E962D3D"/>
    <w:rsid w:val="6E994AEC"/>
    <w:rsid w:val="6E9B0519"/>
    <w:rsid w:val="6E9F2783"/>
    <w:rsid w:val="6EAD70F8"/>
    <w:rsid w:val="6EB563D5"/>
    <w:rsid w:val="6EC93258"/>
    <w:rsid w:val="6ECF5255"/>
    <w:rsid w:val="6ED92677"/>
    <w:rsid w:val="6EE945FA"/>
    <w:rsid w:val="6EF56BFD"/>
    <w:rsid w:val="6EF926CB"/>
    <w:rsid w:val="6F136933"/>
    <w:rsid w:val="6F20606B"/>
    <w:rsid w:val="6F225983"/>
    <w:rsid w:val="6F912DCA"/>
    <w:rsid w:val="6FCB2DFD"/>
    <w:rsid w:val="6FFC5590"/>
    <w:rsid w:val="700D7D38"/>
    <w:rsid w:val="70535F16"/>
    <w:rsid w:val="70613702"/>
    <w:rsid w:val="706916D3"/>
    <w:rsid w:val="706D1DD0"/>
    <w:rsid w:val="70856B87"/>
    <w:rsid w:val="70875855"/>
    <w:rsid w:val="708E0248"/>
    <w:rsid w:val="709227C7"/>
    <w:rsid w:val="70AE3880"/>
    <w:rsid w:val="70AE6EBD"/>
    <w:rsid w:val="70B077C0"/>
    <w:rsid w:val="70B50C32"/>
    <w:rsid w:val="70C05FB3"/>
    <w:rsid w:val="70D23371"/>
    <w:rsid w:val="70D527EE"/>
    <w:rsid w:val="70E70FC8"/>
    <w:rsid w:val="70ED4B2D"/>
    <w:rsid w:val="70F149F7"/>
    <w:rsid w:val="71034832"/>
    <w:rsid w:val="71094A6C"/>
    <w:rsid w:val="711B063E"/>
    <w:rsid w:val="715B5300"/>
    <w:rsid w:val="71647B1E"/>
    <w:rsid w:val="717B0CD6"/>
    <w:rsid w:val="71854F84"/>
    <w:rsid w:val="71A50221"/>
    <w:rsid w:val="71AD70C5"/>
    <w:rsid w:val="71B240F4"/>
    <w:rsid w:val="71BB10F3"/>
    <w:rsid w:val="71D27F8A"/>
    <w:rsid w:val="71DA5F3F"/>
    <w:rsid w:val="71E97F8F"/>
    <w:rsid w:val="71FC0D8F"/>
    <w:rsid w:val="72080793"/>
    <w:rsid w:val="722626D4"/>
    <w:rsid w:val="723840A4"/>
    <w:rsid w:val="7240297C"/>
    <w:rsid w:val="72553024"/>
    <w:rsid w:val="725E443D"/>
    <w:rsid w:val="725E6829"/>
    <w:rsid w:val="727006F2"/>
    <w:rsid w:val="728149A4"/>
    <w:rsid w:val="7285530F"/>
    <w:rsid w:val="72885464"/>
    <w:rsid w:val="72A1405E"/>
    <w:rsid w:val="72A21296"/>
    <w:rsid w:val="72B11CB1"/>
    <w:rsid w:val="72C60EDE"/>
    <w:rsid w:val="72C77266"/>
    <w:rsid w:val="72D161B7"/>
    <w:rsid w:val="72EA2AAE"/>
    <w:rsid w:val="730F6F40"/>
    <w:rsid w:val="73122968"/>
    <w:rsid w:val="731A1ABF"/>
    <w:rsid w:val="731D38CD"/>
    <w:rsid w:val="731F5D5E"/>
    <w:rsid w:val="73263829"/>
    <w:rsid w:val="73324CDF"/>
    <w:rsid w:val="73333F60"/>
    <w:rsid w:val="73474F88"/>
    <w:rsid w:val="735B7AE3"/>
    <w:rsid w:val="736410BD"/>
    <w:rsid w:val="736E4798"/>
    <w:rsid w:val="738A2FAF"/>
    <w:rsid w:val="73927E30"/>
    <w:rsid w:val="73981F8F"/>
    <w:rsid w:val="73B015F5"/>
    <w:rsid w:val="73C51AD5"/>
    <w:rsid w:val="73DF7266"/>
    <w:rsid w:val="73ED76AE"/>
    <w:rsid w:val="741E793C"/>
    <w:rsid w:val="74564A17"/>
    <w:rsid w:val="745E3944"/>
    <w:rsid w:val="747C17FD"/>
    <w:rsid w:val="747C445F"/>
    <w:rsid w:val="747F15D8"/>
    <w:rsid w:val="74BF1008"/>
    <w:rsid w:val="74D3178F"/>
    <w:rsid w:val="74D43CBF"/>
    <w:rsid w:val="74D726C9"/>
    <w:rsid w:val="74E81562"/>
    <w:rsid w:val="7500242C"/>
    <w:rsid w:val="7516332D"/>
    <w:rsid w:val="752D2079"/>
    <w:rsid w:val="755E5157"/>
    <w:rsid w:val="756B43D5"/>
    <w:rsid w:val="758D2FF5"/>
    <w:rsid w:val="75A110CD"/>
    <w:rsid w:val="75BB418B"/>
    <w:rsid w:val="75C86BF6"/>
    <w:rsid w:val="75F63D3D"/>
    <w:rsid w:val="76245117"/>
    <w:rsid w:val="762C543C"/>
    <w:rsid w:val="7635099D"/>
    <w:rsid w:val="766B522F"/>
    <w:rsid w:val="769251DC"/>
    <w:rsid w:val="76D95376"/>
    <w:rsid w:val="76E93BFC"/>
    <w:rsid w:val="76FF2EE7"/>
    <w:rsid w:val="770D6588"/>
    <w:rsid w:val="77452D01"/>
    <w:rsid w:val="77465958"/>
    <w:rsid w:val="774C00AB"/>
    <w:rsid w:val="774D7696"/>
    <w:rsid w:val="775943CA"/>
    <w:rsid w:val="77684BAE"/>
    <w:rsid w:val="77762421"/>
    <w:rsid w:val="779E794E"/>
    <w:rsid w:val="77A00931"/>
    <w:rsid w:val="77B56B1F"/>
    <w:rsid w:val="77BA47FD"/>
    <w:rsid w:val="77E653FD"/>
    <w:rsid w:val="780F09F4"/>
    <w:rsid w:val="783856DF"/>
    <w:rsid w:val="78647A0D"/>
    <w:rsid w:val="78704383"/>
    <w:rsid w:val="7873547A"/>
    <w:rsid w:val="788B70D2"/>
    <w:rsid w:val="78A90480"/>
    <w:rsid w:val="78AA0B4C"/>
    <w:rsid w:val="78AC5732"/>
    <w:rsid w:val="78B26FDB"/>
    <w:rsid w:val="78BC5CD2"/>
    <w:rsid w:val="78BE29B6"/>
    <w:rsid w:val="78C81EE6"/>
    <w:rsid w:val="78D235D6"/>
    <w:rsid w:val="78D5028D"/>
    <w:rsid w:val="790957AA"/>
    <w:rsid w:val="792063E0"/>
    <w:rsid w:val="79562A2E"/>
    <w:rsid w:val="795A78D0"/>
    <w:rsid w:val="79604EEA"/>
    <w:rsid w:val="797F40AC"/>
    <w:rsid w:val="79990758"/>
    <w:rsid w:val="799962E1"/>
    <w:rsid w:val="79C05DCA"/>
    <w:rsid w:val="79CD0A9C"/>
    <w:rsid w:val="7A1B0AAD"/>
    <w:rsid w:val="7A2215F9"/>
    <w:rsid w:val="7A2675A9"/>
    <w:rsid w:val="7A364017"/>
    <w:rsid w:val="7A626EAB"/>
    <w:rsid w:val="7A687CEE"/>
    <w:rsid w:val="7A773C4F"/>
    <w:rsid w:val="7A797DDE"/>
    <w:rsid w:val="7A8265E1"/>
    <w:rsid w:val="7A836066"/>
    <w:rsid w:val="7A9A6282"/>
    <w:rsid w:val="7A9B1FB8"/>
    <w:rsid w:val="7AC57EAE"/>
    <w:rsid w:val="7AC701A7"/>
    <w:rsid w:val="7ACF2867"/>
    <w:rsid w:val="7AED1696"/>
    <w:rsid w:val="7AF16E13"/>
    <w:rsid w:val="7B14278A"/>
    <w:rsid w:val="7B31206A"/>
    <w:rsid w:val="7B416423"/>
    <w:rsid w:val="7B461E94"/>
    <w:rsid w:val="7B504C51"/>
    <w:rsid w:val="7B545979"/>
    <w:rsid w:val="7B686D42"/>
    <w:rsid w:val="7B841746"/>
    <w:rsid w:val="7B861ABE"/>
    <w:rsid w:val="7BA45E9F"/>
    <w:rsid w:val="7BA7127F"/>
    <w:rsid w:val="7BBA2019"/>
    <w:rsid w:val="7BDC3BE5"/>
    <w:rsid w:val="7BE15A12"/>
    <w:rsid w:val="7BFE0FE5"/>
    <w:rsid w:val="7C387646"/>
    <w:rsid w:val="7C6C5AC7"/>
    <w:rsid w:val="7C8021FC"/>
    <w:rsid w:val="7CA507F8"/>
    <w:rsid w:val="7CA51739"/>
    <w:rsid w:val="7CA543D1"/>
    <w:rsid w:val="7CA81753"/>
    <w:rsid w:val="7CAB1B96"/>
    <w:rsid w:val="7CC6544B"/>
    <w:rsid w:val="7CC67830"/>
    <w:rsid w:val="7CE3107C"/>
    <w:rsid w:val="7D0239FF"/>
    <w:rsid w:val="7D0C447B"/>
    <w:rsid w:val="7D143587"/>
    <w:rsid w:val="7D1B63D1"/>
    <w:rsid w:val="7D2121B9"/>
    <w:rsid w:val="7D2C4CC9"/>
    <w:rsid w:val="7D3B699B"/>
    <w:rsid w:val="7D5E1BBD"/>
    <w:rsid w:val="7D5E40CD"/>
    <w:rsid w:val="7D83631B"/>
    <w:rsid w:val="7D8F5F48"/>
    <w:rsid w:val="7D976367"/>
    <w:rsid w:val="7DCD56F2"/>
    <w:rsid w:val="7DEC46ED"/>
    <w:rsid w:val="7DEE08E9"/>
    <w:rsid w:val="7DFF6E46"/>
    <w:rsid w:val="7E002D2F"/>
    <w:rsid w:val="7E155275"/>
    <w:rsid w:val="7E185ACB"/>
    <w:rsid w:val="7E1E1C13"/>
    <w:rsid w:val="7E267809"/>
    <w:rsid w:val="7E480F29"/>
    <w:rsid w:val="7E4D1A92"/>
    <w:rsid w:val="7E4E248E"/>
    <w:rsid w:val="7E7A0386"/>
    <w:rsid w:val="7EA67317"/>
    <w:rsid w:val="7EB36889"/>
    <w:rsid w:val="7ECA5DF0"/>
    <w:rsid w:val="7ED4545F"/>
    <w:rsid w:val="7EFC7E40"/>
    <w:rsid w:val="7F001CE7"/>
    <w:rsid w:val="7F1148AC"/>
    <w:rsid w:val="7F184612"/>
    <w:rsid w:val="7F2F15EF"/>
    <w:rsid w:val="7F395B03"/>
    <w:rsid w:val="7F9007D7"/>
    <w:rsid w:val="7F9B5BDA"/>
    <w:rsid w:val="7FAE57B2"/>
    <w:rsid w:val="7FDF723A"/>
    <w:rsid w:val="7FE37674"/>
    <w:rsid w:val="7FE47E50"/>
    <w:rsid w:val="7FF11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1044" w:firstLineChars="200"/>
      <w:jc w:val="both"/>
    </w:pPr>
    <w:rPr>
      <w:rFonts w:ascii="Times New Roman" w:hAnsi="Times New Roman" w:eastAsia="宋体" w:cs="Times New Roman"/>
      <w:kern w:val="2"/>
      <w:sz w:val="24"/>
      <w:szCs w:val="24"/>
      <w:lang w:val="en-US" w:eastAsia="zh-CN" w:bidi="ar-SA"/>
    </w:rPr>
  </w:style>
  <w:style w:type="paragraph" w:styleId="6">
    <w:name w:val="heading 1"/>
    <w:basedOn w:val="1"/>
    <w:next w:val="1"/>
    <w:link w:val="39"/>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autoRedefine/>
    <w:qFormat/>
    <w:locked/>
    <w:uiPriority w:val="0"/>
    <w:pPr>
      <w:spacing w:before="100" w:beforeAutospacing="1" w:after="100" w:afterAutospacing="1"/>
      <w:jc w:val="left"/>
      <w:outlineLvl w:val="1"/>
    </w:pPr>
    <w:rPr>
      <w:rFonts w:hint="eastAsia" w:ascii="宋体" w:hAnsi="宋体"/>
      <w:b/>
      <w:bCs/>
      <w:kern w:val="0"/>
      <w:sz w:val="36"/>
      <w:szCs w:val="36"/>
    </w:rPr>
  </w:style>
  <w:style w:type="paragraph" w:styleId="8">
    <w:name w:val="heading 3"/>
    <w:basedOn w:val="1"/>
    <w:next w:val="1"/>
    <w:autoRedefine/>
    <w:qFormat/>
    <w:locked/>
    <w:uiPriority w:val="0"/>
    <w:pPr>
      <w:keepNext/>
      <w:keepLines/>
      <w:outlineLvl w:val="2"/>
    </w:pPr>
    <w:rPr>
      <w:b/>
    </w:rPr>
  </w:style>
  <w:style w:type="paragraph" w:styleId="9">
    <w:name w:val="heading 4"/>
    <w:basedOn w:val="1"/>
    <w:next w:val="1"/>
    <w:autoRedefine/>
    <w:qFormat/>
    <w:locked/>
    <w:uiPriority w:val="0"/>
    <w:pPr>
      <w:keepNext/>
      <w:keepLines/>
      <w:spacing w:line="372" w:lineRule="auto"/>
      <w:outlineLvl w:val="3"/>
    </w:pPr>
    <w:rPr>
      <w:rFonts w:ascii="Arial" w:hAnsi="Arial" w:eastAsia="黑体"/>
      <w:b/>
      <w:sz w:val="28"/>
    </w:rPr>
  </w:style>
  <w:style w:type="character" w:default="1" w:styleId="30">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link w:val="44"/>
    <w:autoRedefine/>
    <w:qFormat/>
    <w:uiPriority w:val="0"/>
    <w:pPr>
      <w:autoSpaceDE w:val="0"/>
      <w:autoSpaceDN w:val="0"/>
      <w:adjustRightInd w:val="0"/>
      <w:spacing w:line="360" w:lineRule="auto"/>
      <w:ind w:firstLine="1044" w:firstLineChars="200"/>
    </w:pPr>
    <w:rPr>
      <w:rFonts w:cs="仿宋_GB2312"/>
      <w:kern w:val="0"/>
      <w:sz w:val="24"/>
    </w:rPr>
  </w:style>
  <w:style w:type="paragraph" w:customStyle="1" w:styleId="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5"/>
    <w:autoRedefine/>
    <w:qFormat/>
    <w:locked/>
    <w:uiPriority w:val="99"/>
    <w:pPr>
      <w:tabs>
        <w:tab w:val="left" w:pos="420"/>
        <w:tab w:val="left" w:pos="870"/>
        <w:tab w:val="left" w:pos="3150"/>
      </w:tabs>
      <w:autoSpaceDE w:val="0"/>
      <w:autoSpaceDN w:val="0"/>
      <w:adjustRightInd w:val="0"/>
      <w:spacing w:beforeLines="25" w:line="336" w:lineRule="auto"/>
      <w:ind w:firstLine="527"/>
      <w:textAlignment w:val="baseline"/>
    </w:pPr>
  </w:style>
  <w:style w:type="paragraph" w:styleId="5">
    <w:name w:val="Body Text Indent"/>
    <w:basedOn w:val="1"/>
    <w:link w:val="51"/>
    <w:autoRedefine/>
    <w:qFormat/>
    <w:uiPriority w:val="0"/>
    <w:pPr>
      <w:spacing w:after="120"/>
      <w:ind w:left="420" w:leftChars="200"/>
    </w:pPr>
    <w:rPr>
      <w:kern w:val="0"/>
      <w:szCs w:val="20"/>
    </w:rPr>
  </w:style>
  <w:style w:type="paragraph" w:styleId="10">
    <w:name w:val="Note Heading"/>
    <w:basedOn w:val="1"/>
    <w:next w:val="1"/>
    <w:link w:val="50"/>
    <w:autoRedefine/>
    <w:qFormat/>
    <w:locked/>
    <w:uiPriority w:val="0"/>
    <w:pPr>
      <w:spacing w:line="240" w:lineRule="auto"/>
      <w:ind w:firstLine="0" w:firstLineChars="0"/>
      <w:jc w:val="center"/>
    </w:pPr>
    <w:rPr>
      <w:b/>
      <w:kern w:val="0"/>
      <w:sz w:val="20"/>
      <w:szCs w:val="20"/>
    </w:rPr>
  </w:style>
  <w:style w:type="paragraph" w:styleId="11">
    <w:name w:val="Normal Indent"/>
    <w:basedOn w:val="1"/>
    <w:autoRedefine/>
    <w:qFormat/>
    <w:locked/>
    <w:uiPriority w:val="0"/>
    <w:pPr>
      <w:ind w:firstLine="420"/>
    </w:pPr>
  </w:style>
  <w:style w:type="paragraph" w:styleId="12">
    <w:name w:val="annotation text"/>
    <w:basedOn w:val="1"/>
    <w:link w:val="52"/>
    <w:autoRedefine/>
    <w:qFormat/>
    <w:uiPriority w:val="0"/>
    <w:pPr>
      <w:jc w:val="left"/>
    </w:pPr>
    <w:rPr>
      <w:kern w:val="0"/>
      <w:szCs w:val="20"/>
    </w:rPr>
  </w:style>
  <w:style w:type="paragraph" w:styleId="13">
    <w:name w:val="Body Text"/>
    <w:basedOn w:val="1"/>
    <w:link w:val="53"/>
    <w:autoRedefine/>
    <w:qFormat/>
    <w:uiPriority w:val="0"/>
    <w:pPr>
      <w:widowControl/>
      <w:snapToGrid w:val="0"/>
      <w:spacing w:before="60" w:after="160" w:line="259" w:lineRule="auto"/>
      <w:ind w:right="113"/>
    </w:pPr>
    <w:rPr>
      <w:kern w:val="0"/>
      <w:sz w:val="18"/>
      <w:szCs w:val="20"/>
    </w:rPr>
  </w:style>
  <w:style w:type="paragraph" w:styleId="14">
    <w:name w:val="Plain Text"/>
    <w:basedOn w:val="1"/>
    <w:autoRedefine/>
    <w:qFormat/>
    <w:locked/>
    <w:uiPriority w:val="0"/>
    <w:rPr>
      <w:rFonts w:ascii="宋体" w:hAnsi="Courier New"/>
      <w:szCs w:val="20"/>
    </w:rPr>
  </w:style>
  <w:style w:type="paragraph" w:styleId="15">
    <w:name w:val="Date"/>
    <w:basedOn w:val="1"/>
    <w:next w:val="1"/>
    <w:link w:val="54"/>
    <w:autoRedefine/>
    <w:qFormat/>
    <w:uiPriority w:val="0"/>
    <w:pPr>
      <w:ind w:left="100" w:leftChars="2500"/>
    </w:pPr>
    <w:rPr>
      <w:kern w:val="0"/>
      <w:szCs w:val="20"/>
    </w:rPr>
  </w:style>
  <w:style w:type="paragraph" w:styleId="16">
    <w:name w:val="Body Text Indent 2"/>
    <w:basedOn w:val="1"/>
    <w:autoRedefine/>
    <w:qFormat/>
    <w:locked/>
    <w:uiPriority w:val="0"/>
    <w:pPr>
      <w:ind w:firstLine="610" w:firstLineChars="218"/>
    </w:pPr>
    <w:rPr>
      <w:sz w:val="28"/>
    </w:rPr>
  </w:style>
  <w:style w:type="paragraph" w:styleId="17">
    <w:name w:val="Balloon Text"/>
    <w:basedOn w:val="1"/>
    <w:link w:val="48"/>
    <w:autoRedefine/>
    <w:qFormat/>
    <w:uiPriority w:val="0"/>
    <w:pPr>
      <w:spacing w:line="240" w:lineRule="auto"/>
    </w:pPr>
    <w:rPr>
      <w:kern w:val="0"/>
      <w:sz w:val="18"/>
      <w:szCs w:val="20"/>
    </w:rPr>
  </w:style>
  <w:style w:type="paragraph" w:styleId="18">
    <w:name w:val="footer"/>
    <w:basedOn w:val="1"/>
    <w:link w:val="55"/>
    <w:autoRedefine/>
    <w:qFormat/>
    <w:uiPriority w:val="99"/>
    <w:pPr>
      <w:tabs>
        <w:tab w:val="center" w:pos="4153"/>
        <w:tab w:val="right" w:pos="8306"/>
      </w:tabs>
      <w:snapToGrid w:val="0"/>
      <w:jc w:val="left"/>
    </w:pPr>
    <w:rPr>
      <w:kern w:val="0"/>
      <w:sz w:val="18"/>
      <w:szCs w:val="20"/>
    </w:rPr>
  </w:style>
  <w:style w:type="paragraph" w:styleId="19">
    <w:name w:val="header"/>
    <w:basedOn w:val="1"/>
    <w:next w:val="20"/>
    <w:link w:val="56"/>
    <w:autoRedefine/>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0">
    <w:name w:val="样式5"/>
    <w:basedOn w:val="21"/>
    <w:autoRedefine/>
    <w:qFormat/>
    <w:uiPriority w:val="0"/>
    <w:pPr>
      <w:autoSpaceDE w:val="0"/>
      <w:autoSpaceDN w:val="0"/>
      <w:spacing w:line="340" w:lineRule="exact"/>
      <w:jc w:val="center"/>
    </w:pPr>
    <w:rPr>
      <w:rFonts w:ascii="Times New Roman" w:hAnsi="Times New Roman"/>
      <w:bCs/>
      <w:sz w:val="24"/>
      <w:szCs w:val="20"/>
    </w:rPr>
  </w:style>
  <w:style w:type="paragraph" w:customStyle="1" w:styleId="21">
    <w:name w:val="font5"/>
    <w:basedOn w:val="1"/>
    <w:autoRedefine/>
    <w:qFormat/>
    <w:uiPriority w:val="0"/>
    <w:pPr>
      <w:widowControl/>
      <w:adjustRightInd w:val="0"/>
      <w:snapToGrid w:val="0"/>
      <w:spacing w:before="100" w:beforeAutospacing="1" w:after="100" w:afterAutospacing="1" w:line="520" w:lineRule="atLeast"/>
      <w:jc w:val="left"/>
    </w:pPr>
    <w:rPr>
      <w:rFonts w:hint="eastAsia" w:ascii="宋体" w:hAnsi="宋体" w:cs="Arial Unicode MS"/>
      <w:kern w:val="0"/>
      <w:sz w:val="18"/>
      <w:szCs w:val="18"/>
    </w:rPr>
  </w:style>
  <w:style w:type="paragraph" w:styleId="22">
    <w:name w:val="List"/>
    <w:basedOn w:val="1"/>
    <w:next w:val="1"/>
    <w:autoRedefine/>
    <w:qFormat/>
    <w:locked/>
    <w:uiPriority w:val="99"/>
    <w:pPr>
      <w:adjustRightInd w:val="0"/>
      <w:ind w:firstLine="576"/>
      <w:jc w:val="center"/>
    </w:pPr>
    <w:rPr>
      <w:rFonts w:ascii="仿宋_GB2312" w:eastAsia="仿宋_GB2312"/>
      <w:spacing w:val="4"/>
      <w:kern w:val="18"/>
      <w:sz w:val="28"/>
      <w:szCs w:val="21"/>
    </w:rPr>
  </w:style>
  <w:style w:type="paragraph" w:styleId="23">
    <w:name w:val="HTML Preformatted"/>
    <w:basedOn w:val="1"/>
    <w:autoRedefine/>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w:hAnsi="Arial"/>
      <w:kern w:val="0"/>
    </w:rPr>
  </w:style>
  <w:style w:type="paragraph" w:styleId="24">
    <w:name w:val="Normal (Web)"/>
    <w:basedOn w:val="1"/>
    <w:link w:val="57"/>
    <w:autoRedefine/>
    <w:qFormat/>
    <w:uiPriority w:val="0"/>
    <w:pPr>
      <w:widowControl/>
      <w:spacing w:before="100" w:beforeAutospacing="1" w:after="100" w:afterAutospacing="1"/>
      <w:jc w:val="left"/>
    </w:pPr>
    <w:rPr>
      <w:rFonts w:ascii="宋体" w:hAnsi="宋体"/>
      <w:kern w:val="0"/>
      <w:szCs w:val="20"/>
    </w:rPr>
  </w:style>
  <w:style w:type="paragraph" w:styleId="25">
    <w:name w:val="annotation subject"/>
    <w:basedOn w:val="12"/>
    <w:next w:val="12"/>
    <w:link w:val="58"/>
    <w:autoRedefine/>
    <w:qFormat/>
    <w:uiPriority w:val="0"/>
    <w:rPr>
      <w:b/>
      <w:kern w:val="2"/>
    </w:rPr>
  </w:style>
  <w:style w:type="paragraph" w:styleId="26">
    <w:name w:val="Body Text First Indent"/>
    <w:basedOn w:val="13"/>
    <w:next w:val="1"/>
    <w:autoRedefine/>
    <w:qFormat/>
    <w:locked/>
    <w:uiPriority w:val="0"/>
    <w:pPr>
      <w:ind w:firstLine="480"/>
    </w:p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9">
    <w:name w:val="Table Theme"/>
    <w:basedOn w:val="27"/>
    <w:autoRedefine/>
    <w:qFormat/>
    <w:locked/>
    <w:uiPriority w:val="0"/>
    <w:pPr>
      <w:widowControl w:val="0"/>
      <w:spacing w:line="360" w:lineRule="auto"/>
      <w:ind w:firstLine="1044"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autoRedefine/>
    <w:qFormat/>
    <w:locked/>
    <w:uiPriority w:val="22"/>
    <w:rPr>
      <w:b/>
    </w:rPr>
  </w:style>
  <w:style w:type="character" w:styleId="32">
    <w:name w:val="page number"/>
    <w:autoRedefine/>
    <w:qFormat/>
    <w:locked/>
    <w:uiPriority w:val="0"/>
  </w:style>
  <w:style w:type="character" w:styleId="33">
    <w:name w:val="Emphasis"/>
    <w:autoRedefine/>
    <w:qFormat/>
    <w:locked/>
    <w:uiPriority w:val="0"/>
    <w:rPr>
      <w:i/>
    </w:rPr>
  </w:style>
  <w:style w:type="character" w:styleId="34">
    <w:name w:val="Hyperlink"/>
    <w:autoRedefine/>
    <w:unhideWhenUsed/>
    <w:qFormat/>
    <w:locked/>
    <w:uiPriority w:val="99"/>
    <w:rPr>
      <w:color w:val="136EC2"/>
      <w:sz w:val="24"/>
      <w:u w:val="single"/>
    </w:rPr>
  </w:style>
  <w:style w:type="character" w:styleId="35">
    <w:name w:val="annotation reference"/>
    <w:autoRedefine/>
    <w:qFormat/>
    <w:uiPriority w:val="0"/>
    <w:rPr>
      <w:sz w:val="21"/>
    </w:rPr>
  </w:style>
  <w:style w:type="paragraph" w:customStyle="1" w:styleId="36">
    <w:name w:val="表格内容"/>
    <w:basedOn w:val="1"/>
    <w:next w:val="1"/>
    <w:link w:val="59"/>
    <w:autoRedefine/>
    <w:qFormat/>
    <w:uiPriority w:val="0"/>
    <w:pPr>
      <w:spacing w:line="240" w:lineRule="atLeast"/>
      <w:ind w:firstLine="0" w:firstLineChars="0"/>
      <w:jc w:val="center"/>
    </w:pPr>
    <w:rPr>
      <w:rFonts w:cs="宋体"/>
      <w:kern w:val="0"/>
      <w:sz w:val="21"/>
      <w:szCs w:val="22"/>
      <w:lang w:val="zh-CN" w:bidi="zh-CN"/>
    </w:rPr>
  </w:style>
  <w:style w:type="paragraph" w:customStyle="1" w:styleId="37">
    <w:name w:val="表2内容"/>
    <w:basedOn w:val="1"/>
    <w:link w:val="49"/>
    <w:autoRedefine/>
    <w:qFormat/>
    <w:uiPriority w:val="0"/>
    <w:pPr>
      <w:snapToGrid w:val="0"/>
      <w:spacing w:line="240" w:lineRule="exact"/>
      <w:ind w:firstLine="0" w:firstLineChars="0"/>
      <w:jc w:val="center"/>
    </w:pPr>
    <w:rPr>
      <w:kern w:val="0"/>
      <w:sz w:val="18"/>
      <w:szCs w:val="20"/>
    </w:rPr>
  </w:style>
  <w:style w:type="paragraph" w:customStyle="1" w:styleId="38">
    <w:name w:val="表头"/>
    <w:basedOn w:val="11"/>
    <w:next w:val="1"/>
    <w:link w:val="60"/>
    <w:autoRedefine/>
    <w:qFormat/>
    <w:uiPriority w:val="0"/>
    <w:pPr>
      <w:snapToGrid w:val="0"/>
      <w:spacing w:line="240" w:lineRule="atLeast"/>
      <w:ind w:firstLine="0" w:firstLineChars="0"/>
      <w:jc w:val="center"/>
    </w:pPr>
    <w:rPr>
      <w:b/>
      <w:snapToGrid w:val="0"/>
      <w:spacing w:val="6"/>
      <w:kern w:val="10"/>
      <w:sz w:val="21"/>
      <w:szCs w:val="20"/>
    </w:rPr>
  </w:style>
  <w:style w:type="character" w:customStyle="1" w:styleId="39">
    <w:name w:val="标题 1 Char"/>
    <w:link w:val="6"/>
    <w:autoRedefine/>
    <w:qFormat/>
    <w:uiPriority w:val="99"/>
    <w:rPr>
      <w:rFonts w:eastAsia="黑体"/>
      <w:b/>
      <w:bCs/>
      <w:color w:val="000000"/>
      <w:kern w:val="44"/>
      <w:sz w:val="30"/>
      <w:szCs w:val="30"/>
    </w:rPr>
  </w:style>
  <w:style w:type="paragraph" w:customStyle="1" w:styleId="40">
    <w:name w:val="表标"/>
    <w:basedOn w:val="1"/>
    <w:next w:val="1"/>
    <w:autoRedefine/>
    <w:qFormat/>
    <w:uiPriority w:val="0"/>
    <w:pPr>
      <w:spacing w:afterLines="50" w:line="120" w:lineRule="auto"/>
      <w:ind w:firstLine="0" w:firstLineChars="0"/>
      <w:jc w:val="center"/>
    </w:pPr>
    <w:rPr>
      <w:sz w:val="28"/>
    </w:rPr>
  </w:style>
  <w:style w:type="paragraph" w:customStyle="1" w:styleId="41">
    <w:name w:val="报告表格"/>
    <w:basedOn w:val="1"/>
    <w:autoRedefine/>
    <w:qFormat/>
    <w:uiPriority w:val="0"/>
    <w:pPr>
      <w:autoSpaceDE w:val="0"/>
      <w:autoSpaceDN w:val="0"/>
      <w:adjustRightInd w:val="0"/>
      <w:ind w:firstLine="0" w:firstLineChars="0"/>
      <w:jc w:val="center"/>
    </w:pPr>
    <w:rPr>
      <w:kern w:val="0"/>
      <w:szCs w:val="20"/>
    </w:rPr>
  </w:style>
  <w:style w:type="paragraph" w:customStyle="1" w:styleId="42">
    <w:name w:val="表图头"/>
    <w:basedOn w:val="1"/>
    <w:next w:val="1"/>
    <w:link w:val="61"/>
    <w:autoRedefine/>
    <w:qFormat/>
    <w:uiPriority w:val="0"/>
    <w:pPr>
      <w:spacing w:beforeLines="10" w:line="240" w:lineRule="exact"/>
      <w:ind w:firstLine="0" w:firstLineChars="0"/>
      <w:jc w:val="center"/>
    </w:pPr>
    <w:rPr>
      <w:b/>
      <w:kern w:val="0"/>
      <w:sz w:val="20"/>
      <w:szCs w:val="20"/>
    </w:rPr>
  </w:style>
  <w:style w:type="paragraph" w:customStyle="1" w:styleId="43">
    <w:name w:val="表格001"/>
    <w:basedOn w:val="1"/>
    <w:autoRedefine/>
    <w:qFormat/>
    <w:uiPriority w:val="0"/>
    <w:pPr>
      <w:spacing w:line="240" w:lineRule="auto"/>
      <w:ind w:firstLine="0" w:firstLineChars="0"/>
      <w:jc w:val="center"/>
    </w:pPr>
    <w:rPr>
      <w:szCs w:val="20"/>
    </w:rPr>
  </w:style>
  <w:style w:type="character" w:customStyle="1" w:styleId="44">
    <w:name w:val="Default Char"/>
    <w:link w:val="2"/>
    <w:autoRedefine/>
    <w:qFormat/>
    <w:uiPriority w:val="0"/>
    <w:rPr>
      <w:rFonts w:cs="仿宋_GB2312"/>
      <w:color w:val="000000"/>
      <w:sz w:val="24"/>
      <w:szCs w:val="24"/>
      <w:lang w:val="en-US" w:eastAsia="zh-CN" w:bidi="ar-SA"/>
    </w:rPr>
  </w:style>
  <w:style w:type="paragraph" w:customStyle="1" w:styleId="45">
    <w:name w:val="表格"/>
    <w:basedOn w:val="1"/>
    <w:next w:val="1"/>
    <w:link w:val="46"/>
    <w:autoRedefine/>
    <w:qFormat/>
    <w:uiPriority w:val="0"/>
    <w:pPr>
      <w:adjustRightInd w:val="0"/>
      <w:snapToGrid w:val="0"/>
      <w:spacing w:beforeLines="10" w:afterLines="10" w:line="259" w:lineRule="auto"/>
      <w:jc w:val="center"/>
    </w:pPr>
    <w:rPr>
      <w:rFonts w:ascii="宋体"/>
      <w:kern w:val="0"/>
      <w:sz w:val="21"/>
      <w:szCs w:val="20"/>
    </w:rPr>
  </w:style>
  <w:style w:type="character" w:customStyle="1" w:styleId="46">
    <w:name w:val="表格 Char"/>
    <w:link w:val="45"/>
    <w:autoRedefine/>
    <w:qFormat/>
    <w:locked/>
    <w:uiPriority w:val="0"/>
    <w:rPr>
      <w:rFonts w:ascii="宋体"/>
      <w:sz w:val="21"/>
    </w:rPr>
  </w:style>
  <w:style w:type="paragraph" w:customStyle="1" w:styleId="47">
    <w:name w:val="样式1"/>
    <w:basedOn w:val="1"/>
    <w:autoRedefine/>
    <w:qFormat/>
    <w:uiPriority w:val="0"/>
    <w:pPr>
      <w:ind w:firstLine="720"/>
    </w:pPr>
    <w:rPr>
      <w:kern w:val="0"/>
    </w:rPr>
  </w:style>
  <w:style w:type="character" w:customStyle="1" w:styleId="48">
    <w:name w:val="批注框文本 Char"/>
    <w:link w:val="17"/>
    <w:autoRedefine/>
    <w:semiHidden/>
    <w:qFormat/>
    <w:locked/>
    <w:uiPriority w:val="0"/>
    <w:rPr>
      <w:rFonts w:ascii="Times New Roman" w:hAnsi="Times New Roman" w:eastAsia="宋体"/>
      <w:sz w:val="18"/>
    </w:rPr>
  </w:style>
  <w:style w:type="character" w:customStyle="1" w:styleId="49">
    <w:name w:val="表2内容 Char"/>
    <w:link w:val="37"/>
    <w:autoRedefine/>
    <w:qFormat/>
    <w:uiPriority w:val="0"/>
    <w:rPr>
      <w:rFonts w:ascii="Times New Roman" w:hAnsi="Times New Roman" w:eastAsia="宋体"/>
      <w:sz w:val="18"/>
    </w:rPr>
  </w:style>
  <w:style w:type="character" w:customStyle="1" w:styleId="50">
    <w:name w:val="注释标题 Char"/>
    <w:link w:val="10"/>
    <w:autoRedefine/>
    <w:qFormat/>
    <w:uiPriority w:val="0"/>
    <w:rPr>
      <w:b/>
      <w:kern w:val="0"/>
      <w:sz w:val="20"/>
      <w:szCs w:val="20"/>
    </w:rPr>
  </w:style>
  <w:style w:type="character" w:customStyle="1" w:styleId="51">
    <w:name w:val="正文文本缩进 Char"/>
    <w:link w:val="5"/>
    <w:autoRedefine/>
    <w:semiHidden/>
    <w:qFormat/>
    <w:locked/>
    <w:uiPriority w:val="0"/>
    <w:rPr>
      <w:rFonts w:ascii="Times New Roman" w:hAnsi="Times New Roman" w:eastAsia="宋体"/>
      <w:sz w:val="24"/>
    </w:rPr>
  </w:style>
  <w:style w:type="character" w:customStyle="1" w:styleId="52">
    <w:name w:val="批注文字 Char"/>
    <w:link w:val="12"/>
    <w:autoRedefine/>
    <w:qFormat/>
    <w:locked/>
    <w:uiPriority w:val="0"/>
    <w:rPr>
      <w:rFonts w:ascii="Times New Roman" w:hAnsi="Times New Roman" w:eastAsia="宋体"/>
      <w:sz w:val="24"/>
    </w:rPr>
  </w:style>
  <w:style w:type="character" w:customStyle="1" w:styleId="53">
    <w:name w:val="正文文本 Char"/>
    <w:link w:val="13"/>
    <w:autoRedefine/>
    <w:qFormat/>
    <w:locked/>
    <w:uiPriority w:val="0"/>
    <w:rPr>
      <w:sz w:val="18"/>
    </w:rPr>
  </w:style>
  <w:style w:type="character" w:customStyle="1" w:styleId="54">
    <w:name w:val="日期 Char"/>
    <w:link w:val="15"/>
    <w:autoRedefine/>
    <w:qFormat/>
    <w:locked/>
    <w:uiPriority w:val="0"/>
    <w:rPr>
      <w:rFonts w:ascii="Times New Roman" w:hAnsi="Times New Roman" w:eastAsia="宋体"/>
      <w:sz w:val="24"/>
    </w:rPr>
  </w:style>
  <w:style w:type="character" w:customStyle="1" w:styleId="55">
    <w:name w:val="页脚 Char"/>
    <w:link w:val="18"/>
    <w:autoRedefine/>
    <w:qFormat/>
    <w:locked/>
    <w:uiPriority w:val="99"/>
    <w:rPr>
      <w:sz w:val="18"/>
    </w:rPr>
  </w:style>
  <w:style w:type="character" w:customStyle="1" w:styleId="56">
    <w:name w:val="页眉 Char"/>
    <w:link w:val="19"/>
    <w:autoRedefine/>
    <w:qFormat/>
    <w:locked/>
    <w:uiPriority w:val="0"/>
    <w:rPr>
      <w:sz w:val="18"/>
    </w:rPr>
  </w:style>
  <w:style w:type="character" w:customStyle="1" w:styleId="57">
    <w:name w:val="普通(网站) Char"/>
    <w:link w:val="24"/>
    <w:autoRedefine/>
    <w:qFormat/>
    <w:locked/>
    <w:uiPriority w:val="0"/>
    <w:rPr>
      <w:rFonts w:ascii="宋体" w:hAnsi="宋体" w:eastAsia="宋体"/>
      <w:sz w:val="24"/>
    </w:rPr>
  </w:style>
  <w:style w:type="character" w:customStyle="1" w:styleId="58">
    <w:name w:val="批注主题 Char"/>
    <w:link w:val="25"/>
    <w:autoRedefine/>
    <w:semiHidden/>
    <w:qFormat/>
    <w:locked/>
    <w:uiPriority w:val="0"/>
    <w:rPr>
      <w:rFonts w:ascii="Times New Roman" w:hAnsi="Times New Roman" w:eastAsia="宋体"/>
      <w:b/>
      <w:kern w:val="2"/>
      <w:sz w:val="24"/>
    </w:rPr>
  </w:style>
  <w:style w:type="character" w:customStyle="1" w:styleId="59">
    <w:name w:val="表格内容 Char1"/>
    <w:link w:val="36"/>
    <w:autoRedefine/>
    <w:qFormat/>
    <w:uiPriority w:val="0"/>
    <w:rPr>
      <w:rFonts w:ascii="Times New Roman" w:hAnsi="Times New Roman" w:eastAsia="宋体" w:cs="宋体"/>
      <w:sz w:val="21"/>
      <w:szCs w:val="22"/>
      <w:lang w:val="zh-CN" w:bidi="zh-CN"/>
    </w:rPr>
  </w:style>
  <w:style w:type="character" w:customStyle="1" w:styleId="60">
    <w:name w:val="表头 Char"/>
    <w:link w:val="38"/>
    <w:autoRedefine/>
    <w:qFormat/>
    <w:uiPriority w:val="0"/>
    <w:rPr>
      <w:rFonts w:ascii="Times New Roman" w:hAnsi="Times New Roman" w:eastAsia="宋体"/>
      <w:b/>
      <w:snapToGrid w:val="0"/>
      <w:spacing w:val="6"/>
      <w:kern w:val="10"/>
      <w:sz w:val="21"/>
    </w:rPr>
  </w:style>
  <w:style w:type="character" w:customStyle="1" w:styleId="61">
    <w:name w:val="表图头 Char1"/>
    <w:link w:val="42"/>
    <w:autoRedefine/>
    <w:qFormat/>
    <w:uiPriority w:val="0"/>
    <w:rPr>
      <w:rFonts w:ascii="Times New Roman" w:hAnsi="Times New Roman" w:eastAsia="宋体"/>
      <w:b/>
    </w:rPr>
  </w:style>
  <w:style w:type="paragraph" w:customStyle="1" w:styleId="62">
    <w:name w:val="a-文本缩2"/>
    <w:next w:val="1"/>
    <w:autoRedefine/>
    <w:qFormat/>
    <w:uiPriority w:val="0"/>
    <w:pPr>
      <w:spacing w:line="360" w:lineRule="auto"/>
      <w:ind w:left="200" w:firstLine="4296"/>
      <w:jc w:val="both"/>
    </w:pPr>
    <w:rPr>
      <w:rFonts w:ascii="Times New Roman" w:hAnsi="Times New Roman" w:eastAsia="宋体" w:cs="Times New Roman"/>
      <w:lang w:val="en-US" w:eastAsia="zh-CN" w:bidi="ar-SA"/>
    </w:rPr>
  </w:style>
  <w:style w:type="paragraph" w:customStyle="1" w:styleId="63">
    <w:name w:val="纯文本1"/>
    <w:basedOn w:val="1"/>
    <w:autoRedefine/>
    <w:qFormat/>
    <w:uiPriority w:val="0"/>
    <w:pPr>
      <w:adjustRightInd w:val="0"/>
      <w:spacing w:line="240" w:lineRule="auto"/>
      <w:textAlignment w:val="baseline"/>
    </w:pPr>
    <w:rPr>
      <w:rFonts w:ascii="Courier New" w:hAnsi="Courier New"/>
      <w:sz w:val="15"/>
    </w:rPr>
  </w:style>
  <w:style w:type="paragraph" w:customStyle="1" w:styleId="64">
    <w:name w:val="Default1"/>
    <w:basedOn w:val="65"/>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65">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character" w:customStyle="1" w:styleId="66">
    <w:name w:val="表头 Char Char"/>
    <w:autoRedefine/>
    <w:qFormat/>
    <w:uiPriority w:val="0"/>
    <w:rPr>
      <w:rFonts w:ascii="Times New Roman" w:hAnsi="Times New Roman" w:eastAsia="宋体"/>
      <w:b/>
      <w:spacing w:val="4"/>
      <w:sz w:val="24"/>
    </w:rPr>
  </w:style>
  <w:style w:type="character" w:customStyle="1" w:styleId="67">
    <w:name w:val="日期 字符"/>
    <w:autoRedefine/>
    <w:semiHidden/>
    <w:qFormat/>
    <w:uiPriority w:val="0"/>
    <w:rPr>
      <w:rFonts w:ascii="Times New Roman" w:hAnsi="Times New Roman" w:eastAsia="宋体"/>
      <w:sz w:val="24"/>
    </w:rPr>
  </w:style>
  <w:style w:type="character" w:customStyle="1" w:styleId="68">
    <w:name w:val="页脚 字符"/>
    <w:autoRedefine/>
    <w:qFormat/>
    <w:uiPriority w:val="99"/>
  </w:style>
  <w:style w:type="character" w:customStyle="1" w:styleId="69">
    <w:name w:val="font21"/>
    <w:autoRedefine/>
    <w:qFormat/>
    <w:uiPriority w:val="0"/>
    <w:rPr>
      <w:rFonts w:hint="default" w:ascii="仿宋_GB2312" w:eastAsia="仿宋_GB2312" w:cs="仿宋_GB2312"/>
      <w:b/>
      <w:color w:val="000000"/>
      <w:sz w:val="18"/>
      <w:szCs w:val="18"/>
      <w:u w:val="none"/>
    </w:rPr>
  </w:style>
  <w:style w:type="character" w:customStyle="1" w:styleId="70">
    <w:name w:val="font11"/>
    <w:autoRedefine/>
    <w:qFormat/>
    <w:uiPriority w:val="0"/>
    <w:rPr>
      <w:rFonts w:hint="default" w:ascii="仿宋_GB2312" w:eastAsia="仿宋_GB2312" w:cs="仿宋_GB2312"/>
      <w:b/>
      <w:color w:val="000000"/>
      <w:sz w:val="18"/>
      <w:szCs w:val="18"/>
      <w:u w:val="none"/>
      <w:vertAlign w:val="subscript"/>
    </w:rPr>
  </w:style>
  <w:style w:type="character" w:customStyle="1" w:styleId="71">
    <w:name w:val="楷体 Char"/>
    <w:link w:val="72"/>
    <w:autoRedefine/>
    <w:qFormat/>
    <w:uiPriority w:val="0"/>
    <w:rPr>
      <w:rFonts w:eastAsia="楷体"/>
      <w:sz w:val="24"/>
      <w:szCs w:val="24"/>
    </w:rPr>
  </w:style>
  <w:style w:type="paragraph" w:customStyle="1" w:styleId="72">
    <w:name w:val="楷体"/>
    <w:basedOn w:val="1"/>
    <w:link w:val="71"/>
    <w:autoRedefine/>
    <w:qFormat/>
    <w:uiPriority w:val="0"/>
    <w:pPr>
      <w:ind w:firstLine="640"/>
    </w:pPr>
    <w:rPr>
      <w:rFonts w:eastAsia="楷体"/>
      <w:kern w:val="0"/>
    </w:rPr>
  </w:style>
  <w:style w:type="character" w:customStyle="1" w:styleId="73">
    <w:name w:val="正文文本2"/>
    <w:autoRedefine/>
    <w:qFormat/>
    <w:uiPriority w:val="0"/>
    <w:rPr>
      <w:rFonts w:ascii="MingLiU" w:hAnsi="MingLiU" w:eastAsia="MingLiU" w:cs="MingLiU"/>
      <w:color w:val="000000"/>
      <w:spacing w:val="0"/>
      <w:w w:val="100"/>
      <w:position w:val="0"/>
      <w:sz w:val="19"/>
      <w:szCs w:val="19"/>
      <w:shd w:val="clear" w:color="auto" w:fill="FFFFFF"/>
      <w:lang w:val="zh-TW"/>
    </w:rPr>
  </w:style>
  <w:style w:type="character" w:customStyle="1" w:styleId="74">
    <w:name w:val="正文文本 字符1"/>
    <w:autoRedefine/>
    <w:semiHidden/>
    <w:qFormat/>
    <w:uiPriority w:val="0"/>
    <w:rPr>
      <w:rFonts w:ascii="Times New Roman" w:hAnsi="Times New Roman" w:eastAsia="宋体"/>
      <w:sz w:val="24"/>
    </w:rPr>
  </w:style>
  <w:style w:type="character" w:customStyle="1" w:styleId="75">
    <w:name w:val="批注框文本 字符"/>
    <w:autoRedefine/>
    <w:semiHidden/>
    <w:qFormat/>
    <w:locked/>
    <w:uiPriority w:val="0"/>
    <w:rPr>
      <w:rFonts w:ascii="Times New Roman" w:hAnsi="Times New Roman" w:eastAsia="宋体"/>
      <w:sz w:val="18"/>
    </w:rPr>
  </w:style>
  <w:style w:type="character" w:customStyle="1" w:styleId="76">
    <w:name w:val="font01"/>
    <w:autoRedefine/>
    <w:qFormat/>
    <w:uiPriority w:val="0"/>
    <w:rPr>
      <w:rFonts w:hint="default" w:ascii="Times New Roman" w:hAnsi="Times New Roman" w:cs="Times New Roman"/>
      <w:color w:val="000000"/>
      <w:sz w:val="18"/>
      <w:szCs w:val="18"/>
      <w:u w:val="none"/>
      <w:vertAlign w:val="subscript"/>
    </w:rPr>
  </w:style>
  <w:style w:type="character" w:customStyle="1" w:styleId="77">
    <w:name w:val="批注文字 字符1"/>
    <w:autoRedefine/>
    <w:semiHidden/>
    <w:qFormat/>
    <w:uiPriority w:val="0"/>
    <w:rPr>
      <w:rFonts w:ascii="Times New Roman" w:hAnsi="Times New Roman" w:eastAsia="宋体"/>
      <w:sz w:val="24"/>
    </w:rPr>
  </w:style>
  <w:style w:type="character" w:customStyle="1" w:styleId="78">
    <w:name w:val="font31"/>
    <w:autoRedefine/>
    <w:qFormat/>
    <w:uiPriority w:val="0"/>
    <w:rPr>
      <w:rFonts w:hint="default" w:ascii="Times New Roman" w:hAnsi="Times New Roman" w:cs="Times New Roman"/>
      <w:color w:val="000000"/>
      <w:sz w:val="18"/>
      <w:szCs w:val="18"/>
      <w:u w:val="none"/>
    </w:rPr>
  </w:style>
  <w:style w:type="paragraph" w:customStyle="1" w:styleId="79">
    <w:name w:val="Body text|2"/>
    <w:basedOn w:val="1"/>
    <w:autoRedefine/>
    <w:qFormat/>
    <w:uiPriority w:val="0"/>
    <w:pPr>
      <w:jc w:val="center"/>
    </w:pPr>
    <w:rPr>
      <w:rFonts w:ascii="宋体" w:hAnsi="宋体" w:cs="宋体"/>
      <w:lang w:val="zh-TW" w:eastAsia="zh-TW" w:bidi="zh-TW"/>
    </w:rPr>
  </w:style>
  <w:style w:type="paragraph" w:customStyle="1" w:styleId="80">
    <w:name w:val="D表0"/>
    <w:basedOn w:val="81"/>
    <w:autoRedefine/>
    <w:qFormat/>
    <w:uiPriority w:val="0"/>
    <w:pPr>
      <w:spacing w:before="0" w:after="0"/>
    </w:pPr>
  </w:style>
  <w:style w:type="paragraph" w:customStyle="1" w:styleId="81">
    <w:name w:val="D表内"/>
    <w:basedOn w:val="82"/>
    <w:autoRedefine/>
    <w:semiHidden/>
    <w:qFormat/>
    <w:uiPriority w:val="0"/>
    <w:pPr>
      <w:spacing w:before="40" w:after="40"/>
    </w:pPr>
  </w:style>
  <w:style w:type="paragraph" w:customStyle="1" w:styleId="82">
    <w:name w:val="图表"/>
    <w:basedOn w:val="1"/>
    <w:autoRedefine/>
    <w:semiHidden/>
    <w:qFormat/>
    <w:uiPriority w:val="0"/>
    <w:pPr>
      <w:spacing w:before="120" w:after="120"/>
      <w:jc w:val="center"/>
    </w:pPr>
    <w:rPr>
      <w:szCs w:val="21"/>
    </w:rPr>
  </w:style>
  <w:style w:type="paragraph" w:customStyle="1" w:styleId="8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4">
    <w:name w:val="Table Paragraph"/>
    <w:basedOn w:val="1"/>
    <w:autoRedefine/>
    <w:qFormat/>
    <w:uiPriority w:val="1"/>
    <w:pPr>
      <w:jc w:val="center"/>
    </w:pPr>
    <w:rPr>
      <w:rFonts w:ascii="宋体" w:hAnsi="宋体" w:cs="宋体"/>
      <w:lang w:val="zh-CN" w:bidi="zh-CN"/>
    </w:rPr>
  </w:style>
  <w:style w:type="paragraph" w:customStyle="1" w:styleId="85">
    <w:name w:val="表头，alt+D"/>
    <w:basedOn w:val="1"/>
    <w:autoRedefine/>
    <w:qFormat/>
    <w:uiPriority w:val="0"/>
    <w:pPr>
      <w:spacing w:before="60" w:after="60" w:line="240" w:lineRule="atLeast"/>
      <w:ind w:left="-113" w:right="-113"/>
      <w:jc w:val="center"/>
      <w:textAlignment w:val="center"/>
    </w:pPr>
    <w:rPr>
      <w:rFonts w:ascii="宋体"/>
      <w:color w:val="808000"/>
    </w:rPr>
  </w:style>
  <w:style w:type="paragraph" w:customStyle="1" w:styleId="86">
    <w:name w:val="Body text|1"/>
    <w:basedOn w:val="1"/>
    <w:autoRedefine/>
    <w:qFormat/>
    <w:uiPriority w:val="0"/>
    <w:pPr>
      <w:jc w:val="center"/>
    </w:pPr>
    <w:rPr>
      <w:rFonts w:ascii="宋体" w:hAnsi="宋体" w:cs="宋体"/>
      <w:lang w:val="zh-TW" w:eastAsia="zh-TW" w:bidi="zh-TW"/>
    </w:rPr>
  </w:style>
  <w:style w:type="paragraph" w:customStyle="1" w:styleId="87">
    <w:name w:val="图表内容"/>
    <w:basedOn w:val="22"/>
    <w:next w:val="1"/>
    <w:autoRedefine/>
    <w:qFormat/>
    <w:uiPriority w:val="0"/>
    <w:pPr>
      <w:spacing w:line="240" w:lineRule="auto"/>
      <w:ind w:firstLine="0" w:firstLineChars="0"/>
      <w:jc w:val="left"/>
    </w:pPr>
    <w:rPr>
      <w:rFonts w:ascii="Calibri" w:hAnsi="Calibri"/>
      <w:sz w:val="21"/>
    </w:rPr>
  </w:style>
  <w:style w:type="paragraph" w:customStyle="1" w:styleId="88">
    <w:name w:val="正文文本5"/>
    <w:basedOn w:val="1"/>
    <w:autoRedefine/>
    <w:qFormat/>
    <w:uiPriority w:val="0"/>
    <w:pPr>
      <w:shd w:val="clear" w:color="auto" w:fill="FFFFFF"/>
      <w:spacing w:after="960" w:line="0" w:lineRule="atLeast"/>
      <w:jc w:val="center"/>
    </w:pPr>
    <w:rPr>
      <w:rFonts w:ascii="MingLiU" w:hAnsi="MingLiU" w:eastAsia="MingLiU"/>
      <w:sz w:val="19"/>
      <w:szCs w:val="19"/>
    </w:rPr>
  </w:style>
  <w:style w:type="paragraph" w:customStyle="1" w:styleId="89">
    <w:name w:val="六表内容"/>
    <w:basedOn w:val="1"/>
    <w:autoRedefine/>
    <w:qFormat/>
    <w:uiPriority w:val="0"/>
    <w:pPr>
      <w:spacing w:line="340" w:lineRule="exact"/>
      <w:jc w:val="center"/>
    </w:pPr>
    <w:rPr>
      <w:rFonts w:ascii="Calibri" w:hAnsi="Calibri"/>
      <w:szCs w:val="21"/>
    </w:rPr>
  </w:style>
  <w:style w:type="paragraph" w:customStyle="1" w:styleId="90">
    <w:name w:val="1文章"/>
    <w:basedOn w:val="1"/>
    <w:autoRedefine/>
    <w:qFormat/>
    <w:uiPriority w:val="0"/>
    <w:pPr>
      <w:snapToGrid w:val="0"/>
      <w:ind w:firstLine="573"/>
    </w:pPr>
    <w:rPr>
      <w:rFonts w:eastAsia="仿宋_GB2312"/>
      <w:sz w:val="28"/>
    </w:rPr>
  </w:style>
  <w:style w:type="paragraph" w:customStyle="1" w:styleId="91">
    <w:name w:val="普通(网站)2"/>
    <w:basedOn w:val="1"/>
    <w:autoRedefine/>
    <w:qFormat/>
    <w:uiPriority w:val="0"/>
    <w:pPr>
      <w:widowControl/>
      <w:spacing w:before="100" w:beforeAutospacing="1" w:after="100" w:afterAutospacing="1"/>
      <w:jc w:val="left"/>
    </w:pPr>
    <w:rPr>
      <w:rFonts w:ascii="宋体" w:hAnsi="宋体"/>
      <w:szCs w:val="20"/>
    </w:rPr>
  </w:style>
  <w:style w:type="paragraph" w:customStyle="1" w:styleId="92">
    <w:name w:val="Heading #1|1"/>
    <w:basedOn w:val="1"/>
    <w:autoRedefine/>
    <w:qFormat/>
    <w:uiPriority w:val="0"/>
    <w:pPr>
      <w:spacing w:after="680"/>
      <w:jc w:val="center"/>
      <w:outlineLvl w:val="0"/>
    </w:pPr>
    <w:rPr>
      <w:rFonts w:ascii="宋体" w:hAnsi="宋体" w:cs="宋体"/>
      <w:sz w:val="44"/>
      <w:szCs w:val="44"/>
      <w:lang w:val="zh-TW" w:eastAsia="zh-TW" w:bidi="zh-TW"/>
    </w:rPr>
  </w:style>
  <w:style w:type="paragraph" w:customStyle="1" w:styleId="93">
    <w:name w:val="表格正文"/>
    <w:basedOn w:val="3"/>
    <w:next w:val="1"/>
    <w:autoRedefine/>
    <w:qFormat/>
    <w:uiPriority w:val="0"/>
    <w:pPr>
      <w:snapToGrid w:val="0"/>
      <w:jc w:val="center"/>
    </w:pPr>
    <w:rPr>
      <w:rFonts w:ascii="宋体"/>
      <w:snapToGrid w:val="0"/>
      <w:spacing w:val="4"/>
      <w:szCs w:val="21"/>
    </w:rPr>
  </w:style>
  <w:style w:type="paragraph" w:customStyle="1" w:styleId="94">
    <w:name w:val="Other|1"/>
    <w:basedOn w:val="1"/>
    <w:autoRedefine/>
    <w:qFormat/>
    <w:uiPriority w:val="0"/>
    <w:pPr>
      <w:jc w:val="center"/>
    </w:pPr>
    <w:rPr>
      <w:rFonts w:ascii="宋体" w:hAnsi="宋体" w:cs="宋体"/>
      <w:sz w:val="20"/>
      <w:szCs w:val="20"/>
    </w:rPr>
  </w:style>
  <w:style w:type="paragraph" w:customStyle="1" w:styleId="95">
    <w:name w:val="05F凡式正文"/>
    <w:basedOn w:val="1"/>
    <w:autoRedefine/>
    <w:qFormat/>
    <w:uiPriority w:val="0"/>
    <w:pPr>
      <w:ind w:firstLine="720"/>
    </w:pPr>
    <w:rPr>
      <w:kern w:val="0"/>
      <w:szCs w:val="20"/>
    </w:rPr>
  </w:style>
  <w:style w:type="paragraph" w:customStyle="1" w:styleId="96">
    <w:name w:val="正文样式"/>
    <w:basedOn w:val="1"/>
    <w:autoRedefine/>
    <w:qFormat/>
    <w:uiPriority w:val="0"/>
    <w:pPr>
      <w:ind w:right="170" w:firstLine="480"/>
    </w:pPr>
    <w:rPr>
      <w:rFonts w:hAnsi="宋体"/>
    </w:rPr>
  </w:style>
  <w:style w:type="paragraph" w:customStyle="1" w:styleId="97">
    <w:name w:val="表格内正文 Char Char"/>
    <w:basedOn w:val="1"/>
    <w:autoRedefine/>
    <w:qFormat/>
    <w:uiPriority w:val="0"/>
    <w:pPr>
      <w:ind w:firstLine="493"/>
    </w:pPr>
    <w:rPr>
      <w:rFonts w:ascii="宋体" w:hAnsi="宋体"/>
      <w:spacing w:val="4"/>
      <w:kern w:val="18"/>
    </w:rPr>
  </w:style>
  <w:style w:type="paragraph" w:customStyle="1" w:styleId="98">
    <w:name w:val="表格内正文"/>
    <w:basedOn w:val="1"/>
    <w:autoRedefine/>
    <w:qFormat/>
    <w:uiPriority w:val="0"/>
    <w:pPr>
      <w:ind w:firstLine="493"/>
    </w:pPr>
    <w:rPr>
      <w:rFonts w:ascii="宋体" w:hAnsi="宋体"/>
      <w:spacing w:val="4"/>
      <w:kern w:val="18"/>
    </w:rPr>
  </w:style>
  <w:style w:type="paragraph" w:customStyle="1" w:styleId="99">
    <w:name w:val="_C正文"/>
    <w:basedOn w:val="1"/>
    <w:autoRedefine/>
    <w:qFormat/>
    <w:uiPriority w:val="0"/>
    <w:pPr>
      <w:ind w:firstLine="200"/>
    </w:pPr>
  </w:style>
  <w:style w:type="paragraph" w:customStyle="1" w:styleId="100">
    <w:name w:val="xl37"/>
    <w:basedOn w:val="1"/>
    <w:autoRedefine/>
    <w:qFormat/>
    <w:uiPriority w:val="0"/>
    <w:pPr>
      <w:widowControl/>
      <w:spacing w:before="100" w:beforeAutospacing="1" w:after="100" w:afterAutospacing="1"/>
      <w:jc w:val="center"/>
    </w:pPr>
    <w:rPr>
      <w:rFonts w:ascii="宋体" w:hAnsi="宋体"/>
      <w:kern w:val="0"/>
    </w:rPr>
  </w:style>
  <w:style w:type="paragraph" w:customStyle="1" w:styleId="101">
    <w:name w:val="yt正文"/>
    <w:basedOn w:val="11"/>
    <w:next w:val="16"/>
    <w:autoRedefine/>
    <w:qFormat/>
    <w:uiPriority w:val="0"/>
    <w:pPr>
      <w:ind w:firstLine="200"/>
    </w:pPr>
  </w:style>
  <w:style w:type="paragraph" w:customStyle="1" w:styleId="102">
    <w:name w:val="正文文本 22"/>
    <w:basedOn w:val="1"/>
    <w:autoRedefine/>
    <w:qFormat/>
    <w:uiPriority w:val="0"/>
    <w:pPr>
      <w:adjustRightInd w:val="0"/>
      <w:jc w:val="center"/>
      <w:textAlignment w:val="baseline"/>
    </w:pPr>
    <w:rPr>
      <w:szCs w:val="20"/>
    </w:rPr>
  </w:style>
  <w:style w:type="paragraph" w:customStyle="1" w:styleId="103">
    <w:name w:val="样式 小四 黑色 行距: 固定值 26 磅"/>
    <w:basedOn w:val="1"/>
    <w:autoRedefine/>
    <w:qFormat/>
    <w:uiPriority w:val="0"/>
    <w:pPr>
      <w:spacing w:line="520" w:lineRule="exact"/>
      <w:ind w:firstLine="509" w:firstLineChars="202"/>
    </w:pPr>
    <w:rPr>
      <w:color w:val="000000"/>
      <w:spacing w:val="6"/>
    </w:rPr>
  </w:style>
  <w:style w:type="paragraph" w:customStyle="1" w:styleId="104">
    <w:name w:val="文本"/>
    <w:basedOn w:val="1"/>
    <w:autoRedefine/>
    <w:qFormat/>
    <w:uiPriority w:val="0"/>
    <w:pPr>
      <w:ind w:firstLine="480"/>
    </w:pPr>
  </w:style>
  <w:style w:type="paragraph" w:customStyle="1" w:styleId="105">
    <w:name w:val="D图表内容"/>
    <w:basedOn w:val="1"/>
    <w:next w:val="1"/>
    <w:autoRedefine/>
    <w:qFormat/>
    <w:uiPriority w:val="0"/>
    <w:pPr>
      <w:widowControl/>
      <w:jc w:val="center"/>
    </w:pPr>
    <w:rPr>
      <w:rFonts w:cs="宋体"/>
      <w:szCs w:val="18"/>
    </w:rPr>
  </w:style>
  <w:style w:type="paragraph" w:customStyle="1" w:styleId="106">
    <w:name w:val="_B五号图表加粗"/>
    <w:basedOn w:val="107"/>
    <w:autoRedefine/>
    <w:qFormat/>
    <w:uiPriority w:val="0"/>
    <w:rPr>
      <w:b/>
    </w:rPr>
  </w:style>
  <w:style w:type="paragraph" w:customStyle="1" w:styleId="107">
    <w:name w:val="_B五号图表内容"/>
    <w:basedOn w:val="1"/>
    <w:next w:val="87"/>
    <w:autoRedefine/>
    <w:qFormat/>
    <w:uiPriority w:val="0"/>
    <w:pPr>
      <w:widowControl/>
      <w:spacing w:line="240" w:lineRule="atLeast"/>
      <w:ind w:firstLine="0" w:firstLineChars="0"/>
      <w:jc w:val="center"/>
    </w:pPr>
    <w:rPr>
      <w:rFonts w:cs="宋体"/>
      <w:sz w:val="21"/>
      <w:szCs w:val="18"/>
    </w:rPr>
  </w:style>
  <w:style w:type="paragraph" w:customStyle="1" w:styleId="108">
    <w:name w:val="表体"/>
    <w:autoRedefine/>
    <w:qFormat/>
    <w:uiPriority w:val="0"/>
    <w:pPr>
      <w:spacing w:before="40" w:after="40"/>
      <w:jc w:val="center"/>
    </w:pPr>
    <w:rPr>
      <w:rFonts w:ascii="宋体" w:hAnsi="Times New Roman" w:eastAsia="宋体" w:cs="Times New Roman"/>
      <w:color w:val="000080"/>
      <w:kern w:val="2"/>
      <w:sz w:val="24"/>
      <w:szCs w:val="24"/>
      <w:lang w:val="en-US" w:eastAsia="zh-CN" w:bidi="ar-SA"/>
    </w:rPr>
  </w:style>
  <w:style w:type="paragraph" w:customStyle="1" w:styleId="109">
    <w:name w:val="正文(首行缩进)"/>
    <w:basedOn w:val="1"/>
    <w:autoRedefine/>
    <w:qFormat/>
    <w:uiPriority w:val="0"/>
    <w:pPr>
      <w:ind w:firstLine="510"/>
    </w:pPr>
    <w:rPr>
      <w:kern w:val="0"/>
    </w:rPr>
  </w:style>
  <w:style w:type="paragraph" w:customStyle="1" w:styleId="110">
    <w:name w:val="文本正文"/>
    <w:basedOn w:val="1"/>
    <w:autoRedefine/>
    <w:qFormat/>
    <w:uiPriority w:val="0"/>
    <w:pPr>
      <w:autoSpaceDE w:val="0"/>
      <w:autoSpaceDN w:val="0"/>
      <w:ind w:firstLine="510"/>
    </w:pPr>
    <w:rPr>
      <w:rFonts w:ascii="宋体" w:hAnsi="宋体"/>
      <w:snapToGrid w:val="0"/>
      <w:color w:val="000000"/>
      <w:spacing w:val="4"/>
      <w:kern w:val="18"/>
    </w:rPr>
  </w:style>
  <w:style w:type="paragraph" w:customStyle="1" w:styleId="111">
    <w:name w:val="正文文本 24"/>
    <w:basedOn w:val="1"/>
    <w:autoRedefine/>
    <w:qFormat/>
    <w:uiPriority w:val="0"/>
    <w:pPr>
      <w:spacing w:line="240" w:lineRule="auto"/>
      <w:jc w:val="center"/>
    </w:pPr>
  </w:style>
  <w:style w:type="paragraph" w:customStyle="1" w:styleId="112">
    <w:name w:val="表格正文 Char"/>
    <w:basedOn w:val="1"/>
    <w:next w:val="1"/>
    <w:autoRedefine/>
    <w:qFormat/>
    <w:uiPriority w:val="0"/>
    <w:pPr>
      <w:jc w:val="center"/>
    </w:pPr>
    <w:rPr>
      <w:rFonts w:ascii="宋体"/>
      <w:color w:val="000000"/>
      <w:spacing w:val="4"/>
      <w:w w:val="90"/>
    </w:rPr>
  </w:style>
  <w:style w:type="paragraph" w:customStyle="1" w:styleId="113">
    <w:name w:val="正本文字0705"/>
    <w:basedOn w:val="1"/>
    <w:autoRedefine/>
    <w:qFormat/>
    <w:uiPriority w:val="0"/>
    <w:pPr>
      <w:adjustRightInd w:val="0"/>
      <w:snapToGrid w:val="0"/>
      <w:ind w:firstLine="200"/>
    </w:pPr>
    <w:rPr>
      <w:rFonts w:cs="宋体"/>
      <w:color w:val="000000"/>
      <w:kern w:val="18"/>
    </w:rPr>
  </w:style>
  <w:style w:type="paragraph" w:customStyle="1" w:styleId="114">
    <w:name w:val="样式 文本正文 + 首行缩进:  2 字符3"/>
    <w:basedOn w:val="110"/>
    <w:autoRedefine/>
    <w:qFormat/>
    <w:uiPriority w:val="0"/>
    <w:pPr>
      <w:ind w:firstLine="496"/>
    </w:pPr>
    <w:rPr>
      <w:rFonts w:cs="宋体"/>
      <w:kern w:val="21"/>
    </w:rPr>
  </w:style>
  <w:style w:type="paragraph" w:customStyle="1" w:styleId="115">
    <w:name w:val="正文文本 21"/>
    <w:basedOn w:val="1"/>
    <w:autoRedefine/>
    <w:qFormat/>
    <w:uiPriority w:val="0"/>
    <w:pPr>
      <w:jc w:val="center"/>
    </w:pPr>
  </w:style>
  <w:style w:type="paragraph" w:customStyle="1" w:styleId="116">
    <w:name w:val="样式"/>
    <w:autoRedefine/>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17">
    <w:name w:val="_Style 116"/>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118">
    <w:name w:val="表格居中 Char"/>
    <w:basedOn w:val="1"/>
    <w:autoRedefine/>
    <w:qFormat/>
    <w:uiPriority w:val="0"/>
    <w:pPr>
      <w:jc w:val="center"/>
    </w:pPr>
    <w:rPr>
      <w:rFonts w:ascii="宋体" w:hAnsi="宋体"/>
      <w:w w:val="90"/>
    </w:rPr>
  </w:style>
  <w:style w:type="paragraph" w:customStyle="1" w:styleId="119">
    <w:name w:val="报告正文"/>
    <w:basedOn w:val="1"/>
    <w:autoRedefine/>
    <w:qFormat/>
    <w:uiPriority w:val="0"/>
    <w:pPr>
      <w:ind w:firstLine="482"/>
    </w:pPr>
  </w:style>
  <w:style w:type="paragraph" w:customStyle="1" w:styleId="120">
    <w:name w:val="TBL_Para10N"/>
    <w:basedOn w:val="1"/>
    <w:autoRedefine/>
    <w:qFormat/>
    <w:uiPriority w:val="0"/>
    <w:pPr>
      <w:widowControl/>
      <w:jc w:val="left"/>
    </w:pPr>
    <w:rPr>
      <w:rFonts w:ascii="Times" w:hAnsi="Times"/>
      <w:kern w:val="0"/>
      <w:sz w:val="20"/>
      <w:szCs w:val="20"/>
    </w:rPr>
  </w:style>
  <w:style w:type="paragraph" w:customStyle="1" w:styleId="121">
    <w:name w:val="BG"/>
    <w:basedOn w:val="1"/>
    <w:autoRedefine/>
    <w:unhideWhenUsed/>
    <w:qFormat/>
    <w:uiPriority w:val="99"/>
    <w:pPr>
      <w:snapToGrid w:val="0"/>
      <w:spacing w:line="240" w:lineRule="auto"/>
      <w:jc w:val="center"/>
    </w:pPr>
  </w:style>
  <w:style w:type="character" w:customStyle="1" w:styleId="122">
    <w:name w:val="font51"/>
    <w:autoRedefine/>
    <w:qFormat/>
    <w:uiPriority w:val="0"/>
    <w:rPr>
      <w:rFonts w:hint="default" w:ascii="Times New Roman" w:hAnsi="Times New Roman" w:cs="Times New Roman"/>
      <w:color w:val="000000"/>
      <w:sz w:val="18"/>
      <w:szCs w:val="18"/>
      <w:u w:val="none"/>
      <w:vertAlign w:val="subscript"/>
    </w:rPr>
  </w:style>
  <w:style w:type="paragraph" w:customStyle="1" w:styleId="123">
    <w:name w:val="_a正文"/>
    <w:autoRedefine/>
    <w:qFormat/>
    <w:uiPriority w:val="0"/>
    <w:pPr>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customStyle="1" w:styleId="124">
    <w:name w:val="_a正文加粗"/>
    <w:autoRedefine/>
    <w:qFormat/>
    <w:uiPriority w:val="0"/>
    <w:pPr>
      <w:spacing w:line="360" w:lineRule="auto"/>
      <w:ind w:firstLine="482"/>
      <w:jc w:val="both"/>
    </w:pPr>
    <w:rPr>
      <w:rFonts w:ascii="Times New Roman" w:hAnsi="Times New Roman" w:eastAsia="宋体" w:cs="Times New Roman"/>
      <w:b/>
      <w:kern w:val="2"/>
      <w:sz w:val="24"/>
      <w:szCs w:val="22"/>
      <w:lang w:val="en-US" w:eastAsia="zh-CN" w:bidi="ar-SA"/>
    </w:rPr>
  </w:style>
  <w:style w:type="character" w:customStyle="1" w:styleId="125">
    <w:name w:val="font41"/>
    <w:autoRedefine/>
    <w:qFormat/>
    <w:uiPriority w:val="0"/>
    <w:rPr>
      <w:rFonts w:hint="default" w:ascii="Times New Roman" w:hAnsi="Times New Roman" w:cs="Times New Roman"/>
      <w:color w:val="000000"/>
      <w:sz w:val="18"/>
      <w:szCs w:val="18"/>
      <w:u w:val="none"/>
      <w:vertAlign w:val="subscript"/>
    </w:rPr>
  </w:style>
  <w:style w:type="paragraph" w:customStyle="1" w:styleId="126">
    <w:name w:val="B表头"/>
    <w:basedOn w:val="1"/>
    <w:autoRedefine/>
    <w:qFormat/>
    <w:uiPriority w:val="0"/>
    <w:pPr>
      <w:spacing w:beforeLines="50"/>
      <w:jc w:val="center"/>
    </w:pPr>
    <w:rPr>
      <w:b/>
      <w:kern w:val="0"/>
    </w:rPr>
  </w:style>
  <w:style w:type="paragraph" w:customStyle="1" w:styleId="127">
    <w:name w:val="A表内"/>
    <w:basedOn w:val="1"/>
    <w:autoRedefine/>
    <w:qFormat/>
    <w:uiPriority w:val="0"/>
    <w:pPr>
      <w:spacing w:line="0" w:lineRule="atLeast"/>
      <w:jc w:val="center"/>
    </w:pPr>
    <w:rPr>
      <w:rFonts w:cs="宋体"/>
      <w:szCs w:val="20"/>
    </w:rPr>
  </w:style>
  <w:style w:type="paragraph" w:customStyle="1" w:styleId="128">
    <w:name w:val="环评表格"/>
    <w:autoRedefine/>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129">
    <w:name w:val="样式 正文文本文本正文正文文字 Char Char Char Char + 居中 首行缩进:  0 厘米 段前: 6 磅"/>
    <w:basedOn w:val="13"/>
    <w:autoRedefine/>
    <w:qFormat/>
    <w:uiPriority w:val="0"/>
    <w:pPr>
      <w:spacing w:line="240" w:lineRule="auto"/>
      <w:ind w:firstLine="0"/>
      <w:jc w:val="center"/>
    </w:pPr>
    <w:rPr>
      <w:rFonts w:cs="宋体"/>
      <w:w w:val="90"/>
      <w:kern w:val="2"/>
    </w:rPr>
  </w:style>
  <w:style w:type="table" w:customStyle="1" w:styleId="130">
    <w:name w:val="Table Normal"/>
    <w:autoRedefine/>
    <w:unhideWhenUsed/>
    <w:qFormat/>
    <w:uiPriority w:val="0"/>
    <w:tblPr>
      <w:tblCellMar>
        <w:top w:w="0" w:type="dxa"/>
        <w:left w:w="0" w:type="dxa"/>
        <w:bottom w:w="0" w:type="dxa"/>
        <w:right w:w="0" w:type="dxa"/>
      </w:tblCellMar>
    </w:tblPr>
  </w:style>
  <w:style w:type="paragraph" w:customStyle="1" w:styleId="131">
    <w:name w:val="Table Text"/>
    <w:basedOn w:val="1"/>
    <w:autoRedefine/>
    <w:semiHidden/>
    <w:qFormat/>
    <w:uiPriority w:val="0"/>
    <w:rPr>
      <w:rFonts w:eastAsia="Times New Roman"/>
      <w:sz w:val="20"/>
      <w:szCs w:val="20"/>
      <w:lang w:eastAsia="en-US"/>
    </w:rPr>
  </w:style>
  <w:style w:type="paragraph" w:customStyle="1" w:styleId="132">
    <w:name w:val="222222222222222222222"/>
    <w:basedOn w:val="1"/>
    <w:autoRedefine/>
    <w:qFormat/>
    <w:uiPriority w:val="0"/>
    <w:pPr>
      <w:spacing w:line="240" w:lineRule="auto"/>
      <w:ind w:firstLine="0" w:firstLineChars="0"/>
      <w:jc w:val="center"/>
    </w:pPr>
    <w:rPr>
      <w:sz w:val="21"/>
      <w:szCs w:val="21"/>
    </w:rPr>
  </w:style>
  <w:style w:type="paragraph" w:customStyle="1" w:styleId="133">
    <w:name w:val="B表内"/>
    <w:basedOn w:val="1"/>
    <w:autoRedefine/>
    <w:qFormat/>
    <w:uiPriority w:val="0"/>
    <w:pPr>
      <w:spacing w:line="0" w:lineRule="atLeast"/>
      <w:jc w:val="center"/>
    </w:pPr>
    <w:rPr>
      <w:rFonts w:cs="宋体"/>
      <w:szCs w:val="20"/>
    </w:rPr>
  </w:style>
  <w:style w:type="paragraph" w:customStyle="1" w:styleId="134">
    <w:name w:val="正文2"/>
    <w:autoRedefine/>
    <w:qFormat/>
    <w:uiPriority w:val="0"/>
    <w:pPr>
      <w:widowControl w:val="0"/>
      <w:adjustRightInd w:val="0"/>
      <w:spacing w:line="312" w:lineRule="atLeast"/>
      <w:jc w:val="both"/>
      <w:textAlignment w:val="baseline"/>
    </w:pPr>
    <w:rPr>
      <w:rFonts w:ascii="Arial" w:hAnsi="Calibri" w:eastAsia="楷体_GB2312" w:cs="Times New Roman"/>
      <w:spacing w:val="-6"/>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wmf"/><Relationship Id="rId27" Type="http://schemas.openxmlformats.org/officeDocument/2006/relationships/oleObject" Target="embeddings/oleObject2.bin"/><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wmf"/><Relationship Id="rId23" Type="http://schemas.openxmlformats.org/officeDocument/2006/relationships/oleObject" Target="embeddings/oleObject1.bin"/><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Microsoft_Visio_2003-2010___2.vsd"/><Relationship Id="rId18" Type="http://schemas.openxmlformats.org/officeDocument/2006/relationships/image" Target="media/image3.emf"/><Relationship Id="rId17" Type="http://schemas.openxmlformats.org/officeDocument/2006/relationships/oleObject" Target="embeddings/Microsoft_Visio_2003-2010___1.vsd"/><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73</Pages>
  <Words>46742</Words>
  <Characters>57055</Characters>
  <Lines>467</Lines>
  <Paragraphs>131</Paragraphs>
  <TotalTime>20</TotalTime>
  <ScaleCrop>false</ScaleCrop>
  <LinksUpToDate>false</LinksUpToDate>
  <CharactersWithSpaces>57421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Charon</cp:lastModifiedBy>
  <cp:lastPrinted>2021-06-15T01:35:00Z</cp:lastPrinted>
  <dcterms:modified xsi:type="dcterms:W3CDTF">2024-03-06T07:41:11Z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C9A46474341345FBADF260B0C1B5A2A2_13</vt:lpwstr>
  </property>
  <property fmtid="{D5CDD505-2E9C-101B-9397-08002B2CF9AE}" pid="4" name="commondata">
    <vt:lpwstr>eyJoZGlkIjoiNGVhZjMxOGI5MzkzMjZlMjgyYTEyODU1ZTljNjI4NTkifQ==</vt:lpwstr>
  </property>
</Properties>
</file>